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51A57" w14:textId="534D22EF" w:rsidR="00F11138" w:rsidRDefault="00F11138">
      <w:pPr>
        <w:rPr>
          <w:rFonts w:ascii="Arial" w:hAnsi="Arial" w:cs="Arial"/>
          <w:sz w:val="20"/>
          <w:szCs w:val="20"/>
        </w:rPr>
      </w:pPr>
    </w:p>
    <w:p w14:paraId="514207E2" w14:textId="77777777" w:rsidR="004074B0" w:rsidRDefault="004074B0">
      <w:pPr>
        <w:rPr>
          <w:rFonts w:ascii="Arial" w:hAnsi="Arial" w:cs="Arial"/>
          <w:sz w:val="20"/>
          <w:szCs w:val="20"/>
        </w:rPr>
      </w:pPr>
    </w:p>
    <w:p w14:paraId="45961341" w14:textId="3F213FF9" w:rsidR="001A7C17" w:rsidRDefault="003C72EC" w:rsidP="003C72EC">
      <w:pPr>
        <w:tabs>
          <w:tab w:val="left" w:pos="1276"/>
          <w:tab w:val="center" w:pos="4762"/>
        </w:tabs>
        <w:jc w:val="center"/>
        <w:rPr>
          <w:rFonts w:ascii="Arial" w:hAnsi="Arial" w:cs="Arial"/>
          <w:b/>
          <w:bCs/>
          <w:color w:val="000000" w:themeColor="text1"/>
          <w:sz w:val="18"/>
          <w:szCs w:val="18"/>
        </w:rPr>
      </w:pPr>
      <w:r w:rsidRPr="003C72EC">
        <w:rPr>
          <w:rFonts w:ascii="Arial" w:hAnsi="Arial" w:cs="Arial"/>
          <w:b/>
          <w:bCs/>
          <w:color w:val="000000" w:themeColor="text1"/>
          <w:sz w:val="18"/>
          <w:szCs w:val="18"/>
        </w:rPr>
        <w:t>ANNEXE</w:t>
      </w:r>
    </w:p>
    <w:p w14:paraId="79A018AF" w14:textId="2EF80181" w:rsidR="003C72EC" w:rsidRDefault="003C72EC" w:rsidP="003C72EC">
      <w:pPr>
        <w:tabs>
          <w:tab w:val="left" w:pos="1276"/>
          <w:tab w:val="center" w:pos="4762"/>
        </w:tabs>
        <w:jc w:val="center"/>
        <w:rPr>
          <w:rFonts w:ascii="Arial" w:hAnsi="Arial" w:cs="Arial"/>
          <w:b/>
          <w:bCs/>
          <w:color w:val="000000" w:themeColor="text1"/>
          <w:sz w:val="18"/>
          <w:szCs w:val="18"/>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18CFE99B"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w:t>
      </w:r>
      <w:r w:rsidR="00114ED2" w:rsidRPr="00AF6AB6">
        <w:rPr>
          <w:rFonts w:ascii="Arial" w:hAnsi="Arial" w:cs="Arial"/>
          <w:b/>
          <w:bCs/>
          <w:i/>
          <w:color w:val="000000" w:themeColor="text1"/>
          <w:sz w:val="18"/>
          <w:szCs w:val="18"/>
        </w:rPr>
        <w:t xml:space="preserve">au comité de suivi du </w:t>
      </w:r>
      <w:r w:rsidR="00AF6AB6" w:rsidRPr="00AF6AB6">
        <w:rPr>
          <w:rFonts w:ascii="Arial" w:hAnsi="Arial" w:cs="Arial"/>
          <w:b/>
          <w:bCs/>
          <w:i/>
          <w:color w:val="000000" w:themeColor="text1"/>
          <w:sz w:val="18"/>
          <w:szCs w:val="18"/>
        </w:rPr>
        <w:t>10/07</w:t>
      </w:r>
      <w:r w:rsidR="00114ED2" w:rsidRPr="00AF6AB6">
        <w:rPr>
          <w:rFonts w:ascii="Arial" w:hAnsi="Arial" w:cs="Arial"/>
          <w:b/>
          <w:bCs/>
          <w:i/>
          <w:color w:val="000000" w:themeColor="text1"/>
          <w:sz w:val="18"/>
          <w:szCs w:val="18"/>
        </w:rPr>
        <w:t>/2023</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41ED07A5" w:rsidR="003C72EC" w:rsidRDefault="003C72EC" w:rsidP="003C72EC">
      <w:pPr>
        <w:tabs>
          <w:tab w:val="left" w:pos="1276"/>
          <w:tab w:val="center" w:pos="4762"/>
        </w:tabs>
        <w:rPr>
          <w:rFonts w:ascii="Arial" w:hAnsi="Arial" w:cs="Arial"/>
          <w:b/>
          <w:bCs/>
          <w:i/>
          <w:color w:val="000000" w:themeColor="text1"/>
          <w:sz w:val="18"/>
          <w:szCs w:val="18"/>
        </w:rPr>
      </w:pPr>
    </w:p>
    <w:p w14:paraId="650A4CB4" w14:textId="5885D437" w:rsidR="003C72EC" w:rsidRPr="008428E9" w:rsidRDefault="003C72EC" w:rsidP="008428E9">
      <w:pPr>
        <w:tabs>
          <w:tab w:val="left" w:pos="1276"/>
          <w:tab w:val="center" w:pos="4762"/>
        </w:tabs>
        <w:rPr>
          <w:rFonts w:ascii="Arial" w:hAnsi="Arial" w:cs="Arial"/>
          <w:bCs/>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008428E9" w:rsidRPr="008428E9">
        <w:rPr>
          <w:rFonts w:ascii="Arial" w:hAnsi="Arial" w:cs="Arial"/>
          <w:bCs/>
          <w:color w:val="000000" w:themeColor="text1"/>
          <w:sz w:val="18"/>
          <w:szCs w:val="18"/>
        </w:rPr>
        <w:t xml:space="preserve">2 </w:t>
      </w:r>
      <w:r w:rsidR="00596945">
        <w:rPr>
          <w:rFonts w:ascii="Arial" w:hAnsi="Arial" w:cs="Arial"/>
          <w:bCs/>
          <w:color w:val="000000" w:themeColor="text1"/>
          <w:sz w:val="18"/>
          <w:szCs w:val="18"/>
        </w:rPr>
        <w:t>–</w:t>
      </w:r>
      <w:r w:rsidR="008428E9" w:rsidRPr="008428E9">
        <w:rPr>
          <w:rFonts w:ascii="Arial" w:hAnsi="Arial" w:cs="Arial"/>
          <w:bCs/>
          <w:color w:val="000000" w:themeColor="text1"/>
          <w:sz w:val="18"/>
          <w:szCs w:val="18"/>
        </w:rPr>
        <w:t xml:space="preserve"> Une</w:t>
      </w:r>
      <w:r w:rsidR="00596945">
        <w:rPr>
          <w:rFonts w:ascii="Arial" w:hAnsi="Arial" w:cs="Arial"/>
          <w:bCs/>
          <w:color w:val="000000" w:themeColor="text1"/>
          <w:sz w:val="18"/>
          <w:szCs w:val="18"/>
        </w:rPr>
        <w:t xml:space="preserve"> </w:t>
      </w:r>
      <w:r w:rsidR="008428E9" w:rsidRPr="008428E9">
        <w:rPr>
          <w:rFonts w:ascii="Arial" w:hAnsi="Arial" w:cs="Arial"/>
          <w:bCs/>
          <w:color w:val="000000" w:themeColor="text1"/>
          <w:sz w:val="18"/>
          <w:szCs w:val="18"/>
        </w:rPr>
        <w:t>Europe plus verte, résiliente et à faibles émissions de carbone évoluant vers une économie à zéro émission nette de carbone, par la promotion d’une transition énergétique propre et équitable, des investissements verts et bleus, de l’économie circulaire, de l’atténuation du changement climatique et de l’adaptation à celui-ci, de la prévention et de la gestion des risques, et d’une mobilité urbaine durable.</w:t>
      </w:r>
    </w:p>
    <w:p w14:paraId="572D7EF7" w14:textId="355B9988" w:rsidR="003C72EC" w:rsidRPr="003C72EC" w:rsidRDefault="003C72EC" w:rsidP="008428E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sidR="008428E9" w:rsidRPr="008428E9">
        <w:rPr>
          <w:rFonts w:ascii="Arial" w:hAnsi="Arial" w:cs="Arial"/>
          <w:bCs/>
          <w:color w:val="000000" w:themeColor="text1"/>
          <w:sz w:val="18"/>
          <w:szCs w:val="18"/>
        </w:rPr>
        <w:t xml:space="preserve">6 </w:t>
      </w:r>
      <w:r w:rsidR="008428E9">
        <w:rPr>
          <w:rFonts w:ascii="Arial" w:hAnsi="Arial" w:cs="Arial"/>
          <w:bCs/>
          <w:color w:val="000000" w:themeColor="text1"/>
          <w:sz w:val="18"/>
          <w:szCs w:val="18"/>
        </w:rPr>
        <w:t>–</w:t>
      </w:r>
      <w:r w:rsidR="008428E9">
        <w:rPr>
          <w:rFonts w:ascii="Arial" w:hAnsi="Arial" w:cs="Arial"/>
          <w:b/>
          <w:bCs/>
          <w:i/>
          <w:color w:val="000000" w:themeColor="text1"/>
          <w:sz w:val="18"/>
          <w:szCs w:val="18"/>
        </w:rPr>
        <w:t xml:space="preserve"> </w:t>
      </w:r>
      <w:r w:rsidR="008428E9" w:rsidRPr="008428E9">
        <w:rPr>
          <w:rFonts w:ascii="Arial" w:hAnsi="Arial" w:cs="Arial"/>
          <w:bCs/>
          <w:color w:val="000000" w:themeColor="text1"/>
          <w:sz w:val="18"/>
          <w:szCs w:val="18"/>
        </w:rPr>
        <w:t>Améliorer</w:t>
      </w:r>
      <w:r w:rsidR="008428E9">
        <w:rPr>
          <w:rFonts w:ascii="Arial" w:hAnsi="Arial" w:cs="Arial"/>
          <w:bCs/>
          <w:color w:val="000000" w:themeColor="text1"/>
          <w:sz w:val="18"/>
          <w:szCs w:val="18"/>
        </w:rPr>
        <w:t xml:space="preserve"> l’usage des transports, voyageurs et marchandises, dans une stratégie d’intermodalité, d’efficacité énergétique et de résilience face aux facteurs climatiques</w:t>
      </w:r>
    </w:p>
    <w:p w14:paraId="076CA0F3" w14:textId="72CA4D5A" w:rsidR="003C72EC" w:rsidRPr="008428E9" w:rsidRDefault="003C72EC" w:rsidP="008428E9">
      <w:pPr>
        <w:tabs>
          <w:tab w:val="left" w:pos="1276"/>
          <w:tab w:val="center" w:pos="4762"/>
        </w:tabs>
        <w:rPr>
          <w:rFonts w:ascii="Arial" w:hAnsi="Arial" w:cs="Arial"/>
          <w:bCs/>
          <w:color w:val="000000" w:themeColor="text1"/>
          <w:sz w:val="18"/>
          <w:szCs w:val="18"/>
        </w:rPr>
      </w:pPr>
      <w:r>
        <w:rPr>
          <w:rFonts w:ascii="Arial" w:hAnsi="Arial" w:cs="Arial"/>
          <w:b/>
          <w:bCs/>
          <w:i/>
          <w:color w:val="000000" w:themeColor="text1"/>
          <w:sz w:val="18"/>
          <w:szCs w:val="18"/>
        </w:rPr>
        <w:t xml:space="preserve">Objectif spécifique : </w:t>
      </w:r>
      <w:r w:rsidR="008428E9" w:rsidRPr="008428E9">
        <w:rPr>
          <w:rFonts w:ascii="Arial" w:hAnsi="Arial" w:cs="Arial"/>
          <w:bCs/>
          <w:color w:val="000000" w:themeColor="text1"/>
          <w:sz w:val="18"/>
          <w:szCs w:val="18"/>
        </w:rPr>
        <w:t xml:space="preserve">2.8 </w:t>
      </w:r>
      <w:r w:rsidR="00596945">
        <w:rPr>
          <w:rFonts w:ascii="Arial" w:hAnsi="Arial" w:cs="Arial"/>
          <w:bCs/>
          <w:color w:val="000000" w:themeColor="text1"/>
          <w:sz w:val="18"/>
          <w:szCs w:val="18"/>
        </w:rPr>
        <w:t>–</w:t>
      </w:r>
      <w:r w:rsidR="008428E9" w:rsidRPr="008428E9">
        <w:rPr>
          <w:rFonts w:ascii="Arial" w:hAnsi="Arial" w:cs="Arial"/>
          <w:bCs/>
          <w:color w:val="000000" w:themeColor="text1"/>
          <w:sz w:val="18"/>
          <w:szCs w:val="18"/>
        </w:rPr>
        <w:t xml:space="preserve"> Favoriser</w:t>
      </w:r>
      <w:r w:rsidR="00596945">
        <w:rPr>
          <w:rFonts w:ascii="Arial" w:hAnsi="Arial" w:cs="Arial"/>
          <w:bCs/>
          <w:color w:val="000000" w:themeColor="text1"/>
          <w:sz w:val="18"/>
          <w:szCs w:val="18"/>
        </w:rPr>
        <w:t xml:space="preserve"> </w:t>
      </w:r>
      <w:r w:rsidR="008428E9" w:rsidRPr="008428E9">
        <w:rPr>
          <w:rFonts w:ascii="Arial" w:hAnsi="Arial" w:cs="Arial"/>
          <w:bCs/>
          <w:color w:val="000000" w:themeColor="text1"/>
          <w:sz w:val="18"/>
          <w:szCs w:val="18"/>
        </w:rPr>
        <w:t>une mobilité urbaine multimodale durable, dans le cadre de la transition</w:t>
      </w:r>
      <w:r w:rsidR="008428E9">
        <w:rPr>
          <w:rFonts w:ascii="Arial" w:hAnsi="Arial" w:cs="Arial"/>
          <w:bCs/>
          <w:color w:val="000000" w:themeColor="text1"/>
          <w:sz w:val="18"/>
          <w:szCs w:val="18"/>
        </w:rPr>
        <w:t xml:space="preserve"> </w:t>
      </w:r>
      <w:r w:rsidR="008428E9" w:rsidRPr="008428E9">
        <w:rPr>
          <w:rFonts w:ascii="Arial" w:hAnsi="Arial" w:cs="Arial"/>
          <w:bCs/>
          <w:color w:val="000000" w:themeColor="text1"/>
          <w:sz w:val="18"/>
          <w:szCs w:val="18"/>
        </w:rPr>
        <w:t>vers une économie à zéro émission nette de carbone</w:t>
      </w:r>
    </w:p>
    <w:p w14:paraId="7BEBFDD2" w14:textId="75821ECB" w:rsidR="00F23318" w:rsidRDefault="009A6793"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w:t>
      </w:r>
      <w:r w:rsidR="003C72EC">
        <w:rPr>
          <w:rFonts w:ascii="Arial" w:hAnsi="Arial" w:cs="Arial"/>
          <w:b/>
          <w:bCs/>
          <w:i/>
          <w:color w:val="000000" w:themeColor="text1"/>
          <w:sz w:val="18"/>
          <w:szCs w:val="18"/>
        </w:rPr>
        <w:t>-action concernée</w:t>
      </w:r>
      <w:r w:rsidR="003C72EC" w:rsidRPr="003C72EC">
        <w:rPr>
          <w:rFonts w:ascii="Arial" w:hAnsi="Arial" w:cs="Arial"/>
          <w:b/>
          <w:bCs/>
          <w:i/>
          <w:color w:val="000000" w:themeColor="text1"/>
          <w:sz w:val="18"/>
          <w:szCs w:val="18"/>
        </w:rPr>
        <w:t> :</w:t>
      </w:r>
    </w:p>
    <w:p w14:paraId="2F314A56" w14:textId="062638D3" w:rsidR="003C72EC" w:rsidRPr="009A6793" w:rsidRDefault="00FD2CC3" w:rsidP="009A6793">
      <w:pPr>
        <w:pStyle w:val="Paragraphedeliste"/>
        <w:numPr>
          <w:ilvl w:val="0"/>
          <w:numId w:val="26"/>
        </w:numPr>
        <w:tabs>
          <w:tab w:val="left" w:pos="1276"/>
          <w:tab w:val="center" w:pos="4762"/>
        </w:tabs>
        <w:rPr>
          <w:rFonts w:ascii="Arial" w:hAnsi="Arial" w:cs="Arial"/>
          <w:bCs/>
          <w:color w:val="000000" w:themeColor="text1"/>
          <w:sz w:val="18"/>
          <w:szCs w:val="18"/>
        </w:rPr>
      </w:pPr>
      <w:r w:rsidRPr="00F23318">
        <w:rPr>
          <w:rFonts w:ascii="Arial" w:hAnsi="Arial" w:cs="Arial"/>
          <w:bCs/>
          <w:color w:val="000000" w:themeColor="text1"/>
          <w:sz w:val="18"/>
          <w:szCs w:val="18"/>
        </w:rPr>
        <w:t xml:space="preserve">Type d’action 2 – </w:t>
      </w:r>
      <w:bookmarkStart w:id="0" w:name="_GoBack"/>
      <w:r w:rsidRPr="00F23318">
        <w:rPr>
          <w:rFonts w:ascii="Arial" w:hAnsi="Arial" w:cs="Arial"/>
          <w:bCs/>
          <w:color w:val="000000" w:themeColor="text1"/>
          <w:sz w:val="18"/>
          <w:szCs w:val="18"/>
        </w:rPr>
        <w:t>Augmenter l’usage des transports durables, voyageurs et marchandises dans une stratégie d’intermodalité et de réduction des pollutions</w:t>
      </w:r>
      <w:bookmarkEnd w:id="0"/>
      <w:r w:rsidR="00585EB7">
        <w:rPr>
          <w:rFonts w:ascii="Arial" w:hAnsi="Arial" w:cs="Arial"/>
          <w:bCs/>
          <w:color w:val="000000" w:themeColor="text1"/>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3C72EC" w:rsidRPr="003C72EC" w14:paraId="3ADC493A" w14:textId="77777777" w:rsidTr="003C72EC">
        <w:tc>
          <w:tcPr>
            <w:tcW w:w="4815" w:type="dxa"/>
          </w:tcPr>
          <w:p w14:paraId="10FD8682"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691DE4B8"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9A6793" w:rsidRPr="003C72EC" w14:paraId="5D9A1E2C" w14:textId="77777777" w:rsidTr="003C72EC">
        <w:tc>
          <w:tcPr>
            <w:tcW w:w="4815" w:type="dxa"/>
          </w:tcPr>
          <w:p w14:paraId="2ACB0A02" w14:textId="77777777" w:rsidR="009A6793" w:rsidRDefault="009A6793" w:rsidP="009A6793">
            <w:pPr>
              <w:tabs>
                <w:tab w:val="left" w:pos="1276"/>
                <w:tab w:val="center" w:pos="4762"/>
              </w:tabs>
              <w:rPr>
                <w:rFonts w:ascii="Arial" w:hAnsi="Arial" w:cs="Arial"/>
                <w:bCs/>
                <w:color w:val="000000" w:themeColor="text1"/>
                <w:sz w:val="18"/>
                <w:szCs w:val="18"/>
              </w:rPr>
            </w:pPr>
            <w:r w:rsidRPr="00585EB7">
              <w:rPr>
                <w:rFonts w:ascii="Arial" w:hAnsi="Arial" w:cs="Arial"/>
                <w:bCs/>
                <w:color w:val="000000" w:themeColor="text1"/>
                <w:sz w:val="18"/>
                <w:szCs w:val="18"/>
              </w:rPr>
              <w:t xml:space="preserve">Les </w:t>
            </w:r>
            <w:r>
              <w:rPr>
                <w:rFonts w:ascii="Arial" w:hAnsi="Arial" w:cs="Arial"/>
                <w:bCs/>
                <w:color w:val="000000" w:themeColor="text1"/>
                <w:sz w:val="18"/>
                <w:szCs w:val="18"/>
              </w:rPr>
              <w:t xml:space="preserve">projets de </w:t>
            </w:r>
            <w:r>
              <w:rPr>
                <w:rFonts w:ascii="Arial" w:hAnsi="Arial" w:cs="Arial"/>
                <w:b/>
                <w:bCs/>
                <w:color w:val="000000" w:themeColor="text1"/>
                <w:sz w:val="18"/>
                <w:szCs w:val="18"/>
              </w:rPr>
              <w:t xml:space="preserve">lignes de transport à haut niveau de service (THNS) </w:t>
            </w:r>
            <w:r>
              <w:rPr>
                <w:rFonts w:ascii="Arial" w:hAnsi="Arial" w:cs="Arial"/>
                <w:bCs/>
                <w:color w:val="000000" w:themeColor="text1"/>
                <w:sz w:val="18"/>
                <w:szCs w:val="18"/>
              </w:rPr>
              <w:t xml:space="preserve">correspondent à des lignes de métro, </w:t>
            </w:r>
            <w:r>
              <w:rPr>
                <w:rFonts w:ascii="Arial" w:hAnsi="Arial" w:cs="Arial"/>
                <w:bCs/>
                <w:color w:val="000000" w:themeColor="text1"/>
                <w:sz w:val="18"/>
                <w:szCs w:val="18"/>
              </w:rPr>
              <w:lastRenderedPageBreak/>
              <w:t>tramway, bus et cars à haut niveau de service, liaison fluviale ou maritime à vocation urbaine […]</w:t>
            </w:r>
          </w:p>
          <w:p w14:paraId="152B6ECA" w14:textId="6F57EBF2" w:rsidR="009A6793" w:rsidRPr="00F84FF3" w:rsidRDefault="009A6793" w:rsidP="009A6793">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L’assiette éligible est déterminée en fonction du gain en performance global de la ligne de THNS financée.</w:t>
            </w:r>
          </w:p>
        </w:tc>
        <w:tc>
          <w:tcPr>
            <w:tcW w:w="4961" w:type="dxa"/>
          </w:tcPr>
          <w:p w14:paraId="64E1DBAE" w14:textId="77777777" w:rsidR="009A6793" w:rsidRDefault="009A6793" w:rsidP="009A6793">
            <w:pPr>
              <w:tabs>
                <w:tab w:val="left" w:pos="1276"/>
                <w:tab w:val="center" w:pos="4762"/>
              </w:tabs>
              <w:rPr>
                <w:rFonts w:ascii="Arial" w:hAnsi="Arial" w:cs="Arial"/>
                <w:bCs/>
                <w:color w:val="000000" w:themeColor="text1"/>
                <w:sz w:val="18"/>
                <w:szCs w:val="18"/>
              </w:rPr>
            </w:pPr>
            <w:r w:rsidRPr="00585EB7">
              <w:rPr>
                <w:rFonts w:ascii="Arial" w:hAnsi="Arial" w:cs="Arial"/>
                <w:bCs/>
                <w:color w:val="000000" w:themeColor="text1"/>
                <w:sz w:val="18"/>
                <w:szCs w:val="18"/>
              </w:rPr>
              <w:lastRenderedPageBreak/>
              <w:t xml:space="preserve">Les </w:t>
            </w:r>
            <w:r>
              <w:rPr>
                <w:rFonts w:ascii="Arial" w:hAnsi="Arial" w:cs="Arial"/>
                <w:bCs/>
                <w:color w:val="000000" w:themeColor="text1"/>
                <w:sz w:val="18"/>
                <w:szCs w:val="18"/>
              </w:rPr>
              <w:t xml:space="preserve">projets de </w:t>
            </w:r>
            <w:r>
              <w:rPr>
                <w:rFonts w:ascii="Arial" w:hAnsi="Arial" w:cs="Arial"/>
                <w:b/>
                <w:bCs/>
                <w:color w:val="000000" w:themeColor="text1"/>
                <w:sz w:val="18"/>
                <w:szCs w:val="18"/>
              </w:rPr>
              <w:t xml:space="preserve">lignes de transport à haut niveau de service (THNS) </w:t>
            </w:r>
            <w:r>
              <w:rPr>
                <w:rFonts w:ascii="Arial" w:hAnsi="Arial" w:cs="Arial"/>
                <w:bCs/>
                <w:color w:val="000000" w:themeColor="text1"/>
                <w:sz w:val="18"/>
                <w:szCs w:val="18"/>
              </w:rPr>
              <w:t xml:space="preserve">correspondent à des lignes de métro, </w:t>
            </w:r>
            <w:r>
              <w:rPr>
                <w:rFonts w:ascii="Arial" w:hAnsi="Arial" w:cs="Arial"/>
                <w:bCs/>
                <w:color w:val="000000" w:themeColor="text1"/>
                <w:sz w:val="18"/>
                <w:szCs w:val="18"/>
              </w:rPr>
              <w:lastRenderedPageBreak/>
              <w:t>tramway, bus et cars à haut niveau de service, liaison fluviale ou maritime à vocation urbaine […]</w:t>
            </w:r>
          </w:p>
          <w:p w14:paraId="780B1E66" w14:textId="47B5917B" w:rsidR="009A6793" w:rsidRPr="009A6793" w:rsidRDefault="009A6793" w:rsidP="009A6793">
            <w:pPr>
              <w:tabs>
                <w:tab w:val="left" w:pos="1276"/>
                <w:tab w:val="center" w:pos="4762"/>
              </w:tabs>
              <w:rPr>
                <w:rFonts w:ascii="Arial" w:hAnsi="Arial" w:cs="Arial"/>
                <w:bCs/>
                <w:strike/>
                <w:color w:val="000000" w:themeColor="text1"/>
                <w:sz w:val="18"/>
                <w:szCs w:val="18"/>
              </w:rPr>
            </w:pPr>
            <w:r w:rsidRPr="009A6793">
              <w:rPr>
                <w:rFonts w:ascii="Arial" w:hAnsi="Arial" w:cs="Arial"/>
                <w:bCs/>
                <w:strike/>
                <w:color w:val="FF0000"/>
                <w:sz w:val="18"/>
                <w:szCs w:val="18"/>
              </w:rPr>
              <w:t>L’assiette éligible est déterminée en fonction du gain en performance global de la ligne de THNS financée.</w:t>
            </w:r>
          </w:p>
        </w:tc>
      </w:tr>
    </w:tbl>
    <w:p w14:paraId="7C846635"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E51F27D" w14:textId="2BFA7EB1" w:rsidR="003C72EC" w:rsidRDefault="003C72EC" w:rsidP="003C72EC">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42B0A369" w14:textId="16705ADE" w:rsidR="00BB5508" w:rsidRDefault="009A6793" w:rsidP="00585EB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 xml:space="preserve">La suppression des modalités de détermination </w:t>
      </w:r>
      <w:r w:rsidR="00606203">
        <w:rPr>
          <w:rFonts w:ascii="Arial" w:hAnsi="Arial" w:cs="Arial"/>
          <w:bCs/>
          <w:color w:val="000000" w:themeColor="text1"/>
          <w:sz w:val="18"/>
          <w:szCs w:val="18"/>
        </w:rPr>
        <w:t xml:space="preserve">de l’assiette éligible pour ce type de projet </w:t>
      </w:r>
      <w:r>
        <w:rPr>
          <w:rFonts w:ascii="Arial" w:hAnsi="Arial" w:cs="Arial"/>
          <w:bCs/>
          <w:color w:val="000000" w:themeColor="text1"/>
          <w:sz w:val="18"/>
          <w:szCs w:val="18"/>
        </w:rPr>
        <w:t>intervient suite à l’expérimentation infructueuse de l’application d’une telle définition. En effet, le gain en performance est difficilement mesurable de manière objective</w:t>
      </w:r>
      <w:r w:rsidR="004C7C20">
        <w:rPr>
          <w:rFonts w:ascii="Arial" w:hAnsi="Arial" w:cs="Arial"/>
          <w:bCs/>
          <w:color w:val="000000" w:themeColor="text1"/>
          <w:sz w:val="18"/>
          <w:szCs w:val="18"/>
        </w:rPr>
        <w:t>, peut différer d’un projet à un autre,</w:t>
      </w:r>
      <w:r>
        <w:rPr>
          <w:rFonts w:ascii="Arial" w:hAnsi="Arial" w:cs="Arial"/>
          <w:bCs/>
          <w:color w:val="000000" w:themeColor="text1"/>
          <w:sz w:val="18"/>
          <w:szCs w:val="18"/>
        </w:rPr>
        <w:t xml:space="preserve"> et peut fluctuer entre l’instruction de la demande d’aide européenne et la mise en service du projet. </w:t>
      </w:r>
    </w:p>
    <w:p w14:paraId="262721A1" w14:textId="603CE51A" w:rsidR="00452937" w:rsidRDefault="009A6793" w:rsidP="00585EB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Ainsi, il est</w:t>
      </w:r>
      <w:r w:rsidR="00BB5508">
        <w:rPr>
          <w:rFonts w:ascii="Arial" w:hAnsi="Arial" w:cs="Arial"/>
          <w:bCs/>
          <w:color w:val="000000" w:themeColor="text1"/>
          <w:sz w:val="18"/>
          <w:szCs w:val="18"/>
        </w:rPr>
        <w:t xml:space="preserve"> </w:t>
      </w:r>
      <w:r w:rsidR="004C7C20">
        <w:rPr>
          <w:rFonts w:ascii="Arial" w:hAnsi="Arial" w:cs="Arial"/>
          <w:bCs/>
          <w:color w:val="000000" w:themeColor="text1"/>
          <w:sz w:val="18"/>
          <w:szCs w:val="18"/>
        </w:rPr>
        <w:t xml:space="preserve">plus simple et davantage opérationnel </w:t>
      </w:r>
      <w:r>
        <w:rPr>
          <w:rFonts w:ascii="Arial" w:hAnsi="Arial" w:cs="Arial"/>
          <w:bCs/>
          <w:color w:val="000000" w:themeColor="text1"/>
          <w:sz w:val="18"/>
          <w:szCs w:val="18"/>
        </w:rPr>
        <w:t xml:space="preserve">d’appliquer </w:t>
      </w:r>
      <w:r w:rsidR="00BB5508">
        <w:rPr>
          <w:rFonts w:ascii="Arial" w:hAnsi="Arial" w:cs="Arial"/>
          <w:bCs/>
          <w:color w:val="000000" w:themeColor="text1"/>
          <w:sz w:val="18"/>
          <w:szCs w:val="18"/>
        </w:rPr>
        <w:t>une autre méthode : u</w:t>
      </w:r>
      <w:r>
        <w:rPr>
          <w:rFonts w:ascii="Arial" w:hAnsi="Arial" w:cs="Arial"/>
          <w:bCs/>
          <w:color w:val="000000" w:themeColor="text1"/>
          <w:sz w:val="18"/>
          <w:szCs w:val="18"/>
        </w:rPr>
        <w:t>n prorata surfacique en fonction des zones aménagées relevant ou non de la mise en place d’un site propre pour la ligne de transport concernée. Par exemple, un projet de BHNS qui comprend la réf</w:t>
      </w:r>
      <w:r w:rsidR="00BB5508">
        <w:rPr>
          <w:rFonts w:ascii="Arial" w:hAnsi="Arial" w:cs="Arial"/>
          <w:bCs/>
          <w:color w:val="000000" w:themeColor="text1"/>
          <w:sz w:val="18"/>
          <w:szCs w:val="18"/>
        </w:rPr>
        <w:t>e</w:t>
      </w:r>
      <w:r>
        <w:rPr>
          <w:rFonts w:ascii="Arial" w:hAnsi="Arial" w:cs="Arial"/>
          <w:bCs/>
          <w:color w:val="000000" w:themeColor="text1"/>
          <w:sz w:val="18"/>
          <w:szCs w:val="18"/>
        </w:rPr>
        <w:t xml:space="preserve">ction </w:t>
      </w:r>
      <w:r w:rsidR="00BB5508">
        <w:rPr>
          <w:rFonts w:ascii="Arial" w:hAnsi="Arial" w:cs="Arial"/>
          <w:bCs/>
          <w:color w:val="000000" w:themeColor="text1"/>
          <w:sz w:val="18"/>
          <w:szCs w:val="18"/>
        </w:rPr>
        <w:t>de chaussée routière se verra appliquer un taux correspondant uniquement à la surface aménagée exclusivement pour les bus. Pour un métro, l’ensemble des coûts, modulo certaines dépenses inéligibles, serait pris en compte.</w:t>
      </w:r>
    </w:p>
    <w:p w14:paraId="331D010B" w14:textId="30EF5861" w:rsidR="00BB5508" w:rsidRPr="00873168" w:rsidRDefault="00BB5508" w:rsidP="00585EB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Néanmoins, il ne nous apparaît pas opportun de modifier la phrase concernée mais de la supprimer. En effet, initialement</w:t>
      </w:r>
      <w:r w:rsidR="00606203">
        <w:rPr>
          <w:rFonts w:ascii="Arial" w:hAnsi="Arial" w:cs="Arial"/>
          <w:bCs/>
          <w:color w:val="000000" w:themeColor="text1"/>
          <w:sz w:val="18"/>
          <w:szCs w:val="18"/>
        </w:rPr>
        <w:t xml:space="preserve"> elle </w:t>
      </w:r>
      <w:r>
        <w:rPr>
          <w:rFonts w:ascii="Arial" w:hAnsi="Arial" w:cs="Arial"/>
          <w:bCs/>
          <w:color w:val="000000" w:themeColor="text1"/>
          <w:sz w:val="18"/>
          <w:szCs w:val="18"/>
        </w:rPr>
        <w:t>visait surtout à encourager les porteurs à privilégier la performance plutôt que de définir une méthode précise</w:t>
      </w:r>
      <w:r w:rsidR="00606203">
        <w:rPr>
          <w:rFonts w:ascii="Arial" w:hAnsi="Arial" w:cs="Arial"/>
          <w:bCs/>
          <w:color w:val="000000" w:themeColor="text1"/>
          <w:sz w:val="18"/>
          <w:szCs w:val="18"/>
        </w:rPr>
        <w:t xml:space="preserve"> de définition de l’assiette</w:t>
      </w:r>
      <w:r>
        <w:rPr>
          <w:rFonts w:ascii="Arial" w:hAnsi="Arial" w:cs="Arial"/>
          <w:bCs/>
          <w:color w:val="000000" w:themeColor="text1"/>
          <w:sz w:val="18"/>
          <w:szCs w:val="18"/>
        </w:rPr>
        <w:t>.</w:t>
      </w:r>
      <w:r w:rsidR="00606203">
        <w:rPr>
          <w:rFonts w:ascii="Arial" w:hAnsi="Arial" w:cs="Arial"/>
          <w:bCs/>
          <w:color w:val="000000" w:themeColor="text1"/>
          <w:sz w:val="18"/>
          <w:szCs w:val="18"/>
        </w:rPr>
        <w:t xml:space="preserve"> Par ailleurs, la méthode de définition de l’assiette éligible n’est pas </w:t>
      </w:r>
      <w:r w:rsidR="00290784">
        <w:rPr>
          <w:rFonts w:ascii="Arial" w:hAnsi="Arial" w:cs="Arial"/>
          <w:bCs/>
          <w:color w:val="000000" w:themeColor="text1"/>
          <w:sz w:val="18"/>
          <w:szCs w:val="18"/>
        </w:rPr>
        <w:t>mentionnée</w:t>
      </w:r>
      <w:r w:rsidR="00606203">
        <w:rPr>
          <w:rFonts w:ascii="Arial" w:hAnsi="Arial" w:cs="Arial"/>
          <w:bCs/>
          <w:color w:val="000000" w:themeColor="text1"/>
          <w:sz w:val="18"/>
          <w:szCs w:val="18"/>
        </w:rPr>
        <w:t xml:space="preserve"> pour les autres types d’action</w:t>
      </w:r>
      <w:r w:rsidR="00290784">
        <w:rPr>
          <w:rFonts w:ascii="Arial" w:hAnsi="Arial" w:cs="Arial"/>
          <w:bCs/>
          <w:color w:val="000000" w:themeColor="text1"/>
          <w:sz w:val="18"/>
          <w:szCs w:val="18"/>
        </w:rPr>
        <w:t xml:space="preserve"> de l’OS concerné</w:t>
      </w:r>
      <w:r w:rsidR="00606203">
        <w:rPr>
          <w:rFonts w:ascii="Arial" w:hAnsi="Arial" w:cs="Arial"/>
          <w:bCs/>
          <w:color w:val="000000" w:themeColor="text1"/>
          <w:sz w:val="18"/>
          <w:szCs w:val="18"/>
        </w:rPr>
        <w:t>.</w:t>
      </w:r>
    </w:p>
    <w:sectPr w:rsidR="00BB5508" w:rsidRPr="00873168" w:rsidSect="004E789F">
      <w:headerReference w:type="default" r:id="rId7"/>
      <w:footerReference w:type="default" r:id="rId8"/>
      <w:pgSz w:w="11906" w:h="16838" w:code="9"/>
      <w:pgMar w:top="851" w:right="851" w:bottom="73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A0E9" w14:textId="77777777" w:rsidR="00F80ECC" w:rsidRDefault="00F80ECC" w:rsidP="00F80ECC">
      <w:pPr>
        <w:spacing w:after="0" w:line="240" w:lineRule="auto"/>
      </w:pPr>
      <w:r>
        <w:separator/>
      </w:r>
    </w:p>
  </w:endnote>
  <w:endnote w:type="continuationSeparator" w:id="0">
    <w:p w14:paraId="5748D42E" w14:textId="77777777" w:rsidR="00F80ECC" w:rsidRDefault="00F80ECC"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EUAlbertina">
    <w:altName w:val="EU Albertin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4D012B" w:rsidRDefault="004D012B">
    <w:pPr>
      <w:pStyle w:val="Pieddepage"/>
    </w:pPr>
  </w:p>
  <w:tbl>
    <w:tblPr>
      <w:tblStyle w:val="Grilledutableau"/>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274"/>
      <w:gridCol w:w="1274"/>
      <w:gridCol w:w="1274"/>
      <w:gridCol w:w="1274"/>
      <w:gridCol w:w="1274"/>
      <w:gridCol w:w="1274"/>
      <w:gridCol w:w="1275"/>
      <w:gridCol w:w="1275"/>
    </w:tblGrid>
    <w:tr w:rsidR="004D012B" w14:paraId="7CC24A14" w14:textId="77777777" w:rsidTr="005E21EB">
      <w:tc>
        <w:tcPr>
          <w:tcW w:w="1274" w:type="dxa"/>
          <w:vAlign w:val="center"/>
        </w:tcPr>
        <w:p w14:paraId="2A850781" w14:textId="77777777" w:rsidR="004D012B" w:rsidRDefault="004D012B" w:rsidP="004D012B">
          <w:pPr>
            <w:pStyle w:val="Pieddepage"/>
            <w:jc w:val="right"/>
          </w:pPr>
          <w:r w:rsidRPr="00EE5F8C">
            <w:rPr>
              <w:rFonts w:ascii="Arial" w:hAnsi="Arial" w:cs="Arial"/>
              <w:sz w:val="18"/>
              <w:szCs w:val="18"/>
            </w:rPr>
            <w:t>Référence</w:t>
          </w:r>
        </w:p>
      </w:tc>
      <w:tc>
        <w:tcPr>
          <w:tcW w:w="1274" w:type="dxa"/>
          <w:vAlign w:val="center"/>
        </w:tcPr>
        <w:p w14:paraId="4C7D97AF" w14:textId="77C1A885" w:rsidR="004D012B" w:rsidRDefault="004D012B" w:rsidP="004D012B">
          <w:pPr>
            <w:pStyle w:val="Pieddepage"/>
            <w:jc w:val="center"/>
          </w:pPr>
        </w:p>
      </w:tc>
      <w:tc>
        <w:tcPr>
          <w:tcW w:w="1274" w:type="dxa"/>
          <w:vAlign w:val="center"/>
        </w:tcPr>
        <w:p w14:paraId="0930FAC8" w14:textId="77777777" w:rsidR="004D012B" w:rsidRDefault="004D012B" w:rsidP="004D012B">
          <w:pPr>
            <w:pStyle w:val="Pieddepage"/>
            <w:jc w:val="right"/>
          </w:pPr>
          <w:r w:rsidRPr="00EE5F8C">
            <w:rPr>
              <w:rFonts w:ascii="Arial" w:hAnsi="Arial" w:cs="Arial"/>
              <w:sz w:val="18"/>
              <w:szCs w:val="18"/>
            </w:rPr>
            <w:t>Version</w:t>
          </w:r>
        </w:p>
      </w:tc>
      <w:tc>
        <w:tcPr>
          <w:tcW w:w="1274" w:type="dxa"/>
          <w:vAlign w:val="center"/>
        </w:tcPr>
        <w:p w14:paraId="371174D7" w14:textId="5B6AF29F" w:rsidR="004D012B" w:rsidRDefault="004D012B" w:rsidP="004D012B">
          <w:pPr>
            <w:pStyle w:val="Pieddepage"/>
            <w:jc w:val="center"/>
          </w:pPr>
        </w:p>
      </w:tc>
      <w:tc>
        <w:tcPr>
          <w:tcW w:w="1274" w:type="dxa"/>
          <w:vAlign w:val="center"/>
        </w:tcPr>
        <w:p w14:paraId="33BC4010" w14:textId="77777777" w:rsidR="004D012B" w:rsidRDefault="004D012B" w:rsidP="004D012B">
          <w:pPr>
            <w:pStyle w:val="Pieddepage"/>
            <w:jc w:val="right"/>
          </w:pPr>
          <w:r w:rsidRPr="00EE5F8C">
            <w:rPr>
              <w:rFonts w:ascii="Arial" w:hAnsi="Arial" w:cs="Arial"/>
              <w:sz w:val="18"/>
              <w:szCs w:val="18"/>
            </w:rPr>
            <w:t>Date</w:t>
          </w:r>
        </w:p>
      </w:tc>
      <w:tc>
        <w:tcPr>
          <w:tcW w:w="1274" w:type="dxa"/>
          <w:vAlign w:val="center"/>
        </w:tcPr>
        <w:p w14:paraId="57F26520" w14:textId="30EAA4CA" w:rsidR="004D012B" w:rsidRDefault="004D012B" w:rsidP="004D012B">
          <w:pPr>
            <w:pStyle w:val="Pieddepage"/>
            <w:jc w:val="center"/>
          </w:pPr>
        </w:p>
      </w:tc>
      <w:tc>
        <w:tcPr>
          <w:tcW w:w="1275" w:type="dxa"/>
          <w:vAlign w:val="center"/>
        </w:tcPr>
        <w:p w14:paraId="091E6920" w14:textId="77777777" w:rsidR="004D012B" w:rsidRDefault="004D012B" w:rsidP="004D012B">
          <w:pPr>
            <w:pStyle w:val="Pieddepage"/>
            <w:jc w:val="right"/>
          </w:pPr>
          <w:r w:rsidRPr="00EE5F8C">
            <w:rPr>
              <w:rFonts w:ascii="Arial" w:hAnsi="Arial" w:cs="Arial"/>
              <w:sz w:val="18"/>
              <w:szCs w:val="18"/>
            </w:rPr>
            <w:t>Page</w:t>
          </w:r>
        </w:p>
      </w:tc>
      <w:tc>
        <w:tcPr>
          <w:tcW w:w="1275" w:type="dxa"/>
          <w:vAlign w:val="center"/>
        </w:tcPr>
        <w:p w14:paraId="6EB3A4B3" w14:textId="35EB7B22" w:rsidR="004D012B" w:rsidRPr="00131D4A" w:rsidRDefault="004D012B" w:rsidP="004D012B">
          <w:pPr>
            <w:pStyle w:val="Pieddepage"/>
            <w:jc w:val="center"/>
            <w:rPr>
              <w:b/>
            </w:rPr>
          </w:pPr>
          <w:r w:rsidRPr="00131D4A">
            <w:rPr>
              <w:rFonts w:ascii="Arial" w:hAnsi="Arial" w:cs="Arial"/>
              <w:b/>
              <w:sz w:val="18"/>
              <w:szCs w:val="18"/>
            </w:rPr>
            <w:fldChar w:fldCharType="begin"/>
          </w:r>
          <w:r w:rsidRPr="00131D4A">
            <w:rPr>
              <w:rFonts w:ascii="Arial" w:hAnsi="Arial" w:cs="Arial"/>
              <w:b/>
              <w:sz w:val="18"/>
              <w:szCs w:val="18"/>
            </w:rPr>
            <w:instrText xml:space="preserve"> PAGE </w:instrText>
          </w:r>
          <w:r w:rsidRPr="00131D4A">
            <w:rPr>
              <w:rFonts w:ascii="Arial" w:hAnsi="Arial" w:cs="Arial"/>
              <w:b/>
              <w:sz w:val="18"/>
              <w:szCs w:val="18"/>
            </w:rPr>
            <w:fldChar w:fldCharType="separate"/>
          </w:r>
          <w:r w:rsidR="00B92B32">
            <w:rPr>
              <w:rFonts w:ascii="Arial" w:hAnsi="Arial" w:cs="Arial"/>
              <w:b/>
              <w:noProof/>
              <w:sz w:val="18"/>
              <w:szCs w:val="18"/>
            </w:rPr>
            <w:t>1</w:t>
          </w:r>
          <w:r w:rsidRPr="00131D4A">
            <w:rPr>
              <w:rFonts w:ascii="Arial" w:hAnsi="Arial" w:cs="Arial"/>
              <w:b/>
              <w:sz w:val="18"/>
              <w:szCs w:val="18"/>
            </w:rPr>
            <w:fldChar w:fldCharType="end"/>
          </w:r>
          <w:r w:rsidRPr="00131D4A">
            <w:rPr>
              <w:rFonts w:ascii="Arial" w:hAnsi="Arial" w:cs="Arial"/>
              <w:b/>
              <w:sz w:val="18"/>
              <w:szCs w:val="18"/>
            </w:rPr>
            <w:t xml:space="preserve"> sur </w:t>
          </w:r>
          <w:r w:rsidRPr="00131D4A">
            <w:rPr>
              <w:rFonts w:ascii="Arial" w:hAnsi="Arial" w:cs="Arial"/>
              <w:b/>
              <w:sz w:val="18"/>
              <w:szCs w:val="18"/>
            </w:rPr>
            <w:fldChar w:fldCharType="begin"/>
          </w:r>
          <w:r w:rsidRPr="00131D4A">
            <w:rPr>
              <w:rFonts w:ascii="Arial" w:hAnsi="Arial" w:cs="Arial"/>
              <w:b/>
              <w:sz w:val="18"/>
              <w:szCs w:val="18"/>
            </w:rPr>
            <w:instrText xml:space="preserve"> NUMPAGES </w:instrText>
          </w:r>
          <w:r w:rsidRPr="00131D4A">
            <w:rPr>
              <w:rFonts w:ascii="Arial" w:hAnsi="Arial" w:cs="Arial"/>
              <w:b/>
              <w:sz w:val="18"/>
              <w:szCs w:val="18"/>
            </w:rPr>
            <w:fldChar w:fldCharType="separate"/>
          </w:r>
          <w:r w:rsidR="00B92B32">
            <w:rPr>
              <w:rFonts w:ascii="Arial" w:hAnsi="Arial" w:cs="Arial"/>
              <w:b/>
              <w:noProof/>
              <w:sz w:val="18"/>
              <w:szCs w:val="18"/>
            </w:rPr>
            <w:t>1</w:t>
          </w:r>
          <w:r w:rsidRPr="00131D4A">
            <w:rPr>
              <w:rFonts w:ascii="Arial" w:hAnsi="Arial" w:cs="Arial"/>
              <w:b/>
              <w:sz w:val="18"/>
              <w:szCs w:val="18"/>
            </w:rPr>
            <w:fldChar w:fldCharType="end"/>
          </w:r>
        </w:p>
      </w:tc>
    </w:tr>
  </w:tbl>
  <w:p w14:paraId="6A53C3A2" w14:textId="77777777" w:rsidR="004D012B" w:rsidRDefault="004D012B"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736D" w14:textId="77777777" w:rsidR="00F80ECC" w:rsidRDefault="00F80ECC" w:rsidP="00F80ECC">
      <w:pPr>
        <w:spacing w:after="0" w:line="240" w:lineRule="auto"/>
      </w:pPr>
      <w:r>
        <w:separator/>
      </w:r>
    </w:p>
  </w:footnote>
  <w:footnote w:type="continuationSeparator" w:id="0">
    <w:p w14:paraId="4152167A" w14:textId="77777777" w:rsidR="00F80ECC" w:rsidRDefault="00F80ECC"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jc w:val="center"/>
      <w:tblBorders>
        <w:top w:val="single" w:sz="4" w:space="0" w:color="0A3083"/>
        <w:left w:val="single" w:sz="4" w:space="0" w:color="0A3083"/>
        <w:bottom w:val="single" w:sz="4" w:space="0" w:color="0A3083"/>
        <w:right w:val="single" w:sz="4" w:space="0" w:color="0A3083"/>
        <w:insideH w:val="single" w:sz="4" w:space="0" w:color="0A3083"/>
        <w:insideV w:val="single" w:sz="4" w:space="0" w:color="0A3083"/>
      </w:tblBorders>
      <w:tblLayout w:type="fixed"/>
      <w:tblLook w:val="04A0" w:firstRow="1" w:lastRow="0" w:firstColumn="1" w:lastColumn="0" w:noHBand="0" w:noVBand="1"/>
    </w:tblPr>
    <w:tblGrid>
      <w:gridCol w:w="1418"/>
      <w:gridCol w:w="6654"/>
      <w:gridCol w:w="2281"/>
    </w:tblGrid>
    <w:tr w:rsidR="004D012B" w:rsidRPr="00BB4BE9" w14:paraId="5F0F1B3E" w14:textId="77777777" w:rsidTr="005E21EB">
      <w:trPr>
        <w:trHeight w:val="312"/>
        <w:jc w:val="center"/>
      </w:trPr>
      <w:tc>
        <w:tcPr>
          <w:tcW w:w="1418" w:type="dxa"/>
          <w:vMerge w:val="restart"/>
          <w:tc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tcBorders>
          <w:shd w:val="clear" w:color="auto" w:fill="auto"/>
          <w:vAlign w:val="center"/>
        </w:tcPr>
        <w:p w14:paraId="61D1820C" w14:textId="77777777" w:rsidR="004D012B" w:rsidRPr="0057068F" w:rsidRDefault="004D012B" w:rsidP="004D012B">
          <w:pPr>
            <w:spacing w:after="0"/>
            <w:jc w:val="center"/>
            <w:rPr>
              <w:rFonts w:cs="Arial"/>
              <w:szCs w:val="18"/>
            </w:rPr>
          </w:pPr>
          <w:r>
            <w:rPr>
              <w:rFonts w:cs="Arial"/>
              <w:noProof/>
              <w:szCs w:val="18"/>
              <w:lang w:eastAsia="fr-FR"/>
            </w:rPr>
            <w:drawing>
              <wp:inline distT="0" distB="0" distL="0" distR="0" wp14:anchorId="6B2795FB" wp14:editId="68B1B94A">
                <wp:extent cx="762000" cy="762000"/>
                <wp:effectExtent l="0" t="0" r="0" b="0"/>
                <wp:docPr id="7" name="Image 7" descr="Logo_NPdCP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PdCP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654" w:type="dxa"/>
          <w:tc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tcBorders>
          <w:vAlign w:val="center"/>
        </w:tcPr>
        <w:p w14:paraId="3D76FC12" w14:textId="1C671504" w:rsidR="004D012B" w:rsidRPr="003A2061" w:rsidRDefault="00C51C35" w:rsidP="007C0EFF">
          <w:pPr>
            <w:spacing w:after="0"/>
            <w:jc w:val="center"/>
            <w:rPr>
              <w:rFonts w:ascii="Arial" w:hAnsi="Arial" w:cs="Arial"/>
              <w:b/>
              <w:sz w:val="28"/>
              <w:szCs w:val="28"/>
            </w:rPr>
          </w:pPr>
          <w:r>
            <w:rPr>
              <w:rFonts w:ascii="Arial" w:hAnsi="Arial" w:cs="Arial"/>
              <w:b/>
              <w:sz w:val="28"/>
              <w:szCs w:val="28"/>
            </w:rPr>
            <w:t>Guide des procédures P</w:t>
          </w:r>
          <w:r w:rsidR="007C0EFF">
            <w:rPr>
              <w:rFonts w:ascii="Arial" w:hAnsi="Arial" w:cs="Arial"/>
              <w:b/>
              <w:sz w:val="28"/>
              <w:szCs w:val="28"/>
            </w:rPr>
            <w:t>R</w:t>
          </w:r>
          <w:r>
            <w:rPr>
              <w:rFonts w:ascii="Arial" w:hAnsi="Arial" w:cs="Arial"/>
              <w:b/>
              <w:sz w:val="28"/>
              <w:szCs w:val="28"/>
            </w:rPr>
            <w:t xml:space="preserve"> 21-27</w:t>
          </w:r>
        </w:p>
      </w:tc>
      <w:tc>
        <w:tcPr>
          <w:tcW w:w="2281" w:type="dxa"/>
          <w:vMerge w:val="restart"/>
          <w:tc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tcBorders>
          <w:vAlign w:val="center"/>
        </w:tcPr>
        <w:p w14:paraId="18B12618" w14:textId="1C2F7E4C" w:rsidR="004D012B" w:rsidRPr="00EE5F8C" w:rsidRDefault="007C0EFF" w:rsidP="004D012B">
          <w:pPr>
            <w:spacing w:after="0"/>
            <w:jc w:val="center"/>
            <w:rPr>
              <w:rFonts w:ascii="Arial" w:hAnsi="Arial" w:cs="Arial"/>
              <w:sz w:val="18"/>
              <w:szCs w:val="18"/>
            </w:rPr>
          </w:pPr>
          <w:r>
            <w:rPr>
              <w:rFonts w:ascii="Arial" w:hAnsi="Arial" w:cs="Arial"/>
              <w:b/>
              <w:noProof/>
              <w:sz w:val="28"/>
              <w:szCs w:val="28"/>
              <w:lang w:eastAsia="fr-FR"/>
            </w:rPr>
            <w:drawing>
              <wp:inline distT="0" distB="0" distL="0" distR="0" wp14:anchorId="3A250618" wp14:editId="74A6658E">
                <wp:extent cx="1048915" cy="817419"/>
                <wp:effectExtent l="0" t="0" r="0" b="1905"/>
                <wp:docPr id="1" name="Image 1" descr="C:\Users\mmolenda\AppData\Local\Microsoft\Windows\INetCache\Content.Word\Logo U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molenda\AppData\Local\Microsoft\Windows\INetCache\Content.Word\Logo UE H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774" cy="821206"/>
                        </a:xfrm>
                        <a:prstGeom prst="rect">
                          <a:avLst/>
                        </a:prstGeom>
                        <a:noFill/>
                        <a:ln>
                          <a:noFill/>
                        </a:ln>
                      </pic:spPr>
                    </pic:pic>
                  </a:graphicData>
                </a:graphic>
              </wp:inline>
            </w:drawing>
          </w:r>
        </w:p>
      </w:tc>
    </w:tr>
    <w:tr w:rsidR="004D012B" w:rsidRPr="00BB4BE9" w14:paraId="3B3E96AF" w14:textId="77777777" w:rsidTr="005E21EB">
      <w:trPr>
        <w:trHeight w:val="956"/>
        <w:jc w:val="center"/>
      </w:trPr>
      <w:tc>
        <w:tcPr>
          <w:tcW w:w="1418" w:type="dxa"/>
          <w:vMerge/>
          <w:tcBorders>
            <w:top w:val="single" w:sz="6" w:space="0" w:color="538135" w:themeColor="accent6" w:themeShade="BF"/>
            <w:left w:val="single" w:sz="4" w:space="0" w:color="538135" w:themeColor="accent6" w:themeShade="BF"/>
            <w:bottom w:val="single" w:sz="6" w:space="0" w:color="538135" w:themeColor="accent6" w:themeShade="BF"/>
            <w:right w:val="single" w:sz="4" w:space="0" w:color="538135" w:themeColor="accent6" w:themeShade="BF"/>
          </w:tcBorders>
          <w:shd w:val="clear" w:color="auto" w:fill="auto"/>
          <w:vAlign w:val="center"/>
        </w:tcPr>
        <w:p w14:paraId="61950006" w14:textId="77777777" w:rsidR="004D012B" w:rsidRDefault="004D012B" w:rsidP="004D012B">
          <w:pPr>
            <w:spacing w:after="0"/>
            <w:jc w:val="center"/>
            <w:rPr>
              <w:rFonts w:cs="Arial"/>
              <w:szCs w:val="18"/>
            </w:rPr>
          </w:pPr>
        </w:p>
      </w:tc>
      <w:tc>
        <w:tcPr>
          <w:tcW w:w="6654" w:type="dxa"/>
          <w:tcBorders>
            <w:top w:val="single" w:sz="6" w:space="0" w:color="538135" w:themeColor="accent6" w:themeShade="BF"/>
            <w:left w:val="single" w:sz="4" w:space="0" w:color="538135" w:themeColor="accent6" w:themeShade="BF"/>
            <w:bottom w:val="single" w:sz="6" w:space="0" w:color="538135" w:themeColor="accent6" w:themeShade="BF"/>
            <w:right w:val="single" w:sz="4" w:space="0" w:color="538135" w:themeColor="accent6" w:themeShade="BF"/>
          </w:tcBorders>
          <w:vAlign w:val="center"/>
        </w:tcPr>
        <w:p w14:paraId="2C2ED29A" w14:textId="47AF0E29" w:rsidR="00EC2934" w:rsidRPr="00CF4582" w:rsidRDefault="007C0EFF" w:rsidP="007C0EFF">
          <w:pPr>
            <w:spacing w:after="0"/>
            <w:jc w:val="center"/>
            <w:rPr>
              <w:rFonts w:ascii="Arial" w:hAnsi="Arial" w:cs="Arial"/>
              <w:b/>
              <w:sz w:val="28"/>
              <w:szCs w:val="28"/>
            </w:rPr>
          </w:pPr>
          <w:r>
            <w:rPr>
              <w:rFonts w:ascii="Arial" w:hAnsi="Arial" w:cs="Arial"/>
              <w:b/>
              <w:sz w:val="28"/>
              <w:szCs w:val="28"/>
            </w:rPr>
            <w:t xml:space="preserve">Procédure de modification du Document de Mise en </w:t>
          </w:r>
          <w:r w:rsidR="00596945">
            <w:rPr>
              <w:rFonts w:ascii="Arial" w:hAnsi="Arial" w:cs="Arial"/>
              <w:b/>
              <w:sz w:val="28"/>
              <w:szCs w:val="28"/>
            </w:rPr>
            <w:t>Œuvre</w:t>
          </w:r>
        </w:p>
      </w:tc>
      <w:tc>
        <w:tcPr>
          <w:tcW w:w="2281" w:type="dxa"/>
          <w:vMerge/>
          <w:tcBorders>
            <w:top w:val="single" w:sz="6" w:space="0" w:color="538135" w:themeColor="accent6" w:themeShade="BF"/>
            <w:left w:val="single" w:sz="4" w:space="0" w:color="538135" w:themeColor="accent6" w:themeShade="BF"/>
            <w:bottom w:val="single" w:sz="6" w:space="0" w:color="538135" w:themeColor="accent6" w:themeShade="BF"/>
            <w:right w:val="single" w:sz="4" w:space="0" w:color="538135" w:themeColor="accent6" w:themeShade="BF"/>
          </w:tcBorders>
          <w:vAlign w:val="center"/>
        </w:tcPr>
        <w:p w14:paraId="1B52316B" w14:textId="77777777" w:rsidR="004D012B" w:rsidRPr="00EE5F8C" w:rsidRDefault="004D012B" w:rsidP="004D012B">
          <w:pPr>
            <w:spacing w:after="0"/>
            <w:jc w:val="center"/>
            <w:rPr>
              <w:rFonts w:ascii="Arial" w:hAnsi="Arial" w:cs="Arial"/>
              <w:sz w:val="18"/>
              <w:szCs w:val="18"/>
            </w:rPr>
          </w:pPr>
        </w:p>
      </w:tc>
    </w:tr>
  </w:tbl>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5E975C8"/>
    <w:multiLevelType w:val="hybridMultilevel"/>
    <w:tmpl w:val="AA3EA20E"/>
    <w:lvl w:ilvl="0" w:tplc="6142B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31844"/>
    <w:multiLevelType w:val="hybridMultilevel"/>
    <w:tmpl w:val="3A009A34"/>
    <w:lvl w:ilvl="0" w:tplc="6142B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B401D"/>
    <w:multiLevelType w:val="hybridMultilevel"/>
    <w:tmpl w:val="CBB80DE2"/>
    <w:lvl w:ilvl="0" w:tplc="90B021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0"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066DB5"/>
    <w:multiLevelType w:val="hybridMultilevel"/>
    <w:tmpl w:val="2F2E82F4"/>
    <w:lvl w:ilvl="0" w:tplc="6142B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BD4028F"/>
    <w:multiLevelType w:val="hybridMultilevel"/>
    <w:tmpl w:val="C7AC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15"/>
  </w:num>
  <w:num w:numId="5">
    <w:abstractNumId w:val="6"/>
  </w:num>
  <w:num w:numId="6">
    <w:abstractNumId w:val="7"/>
  </w:num>
  <w:num w:numId="7">
    <w:abstractNumId w:val="0"/>
  </w:num>
  <w:num w:numId="8">
    <w:abstractNumId w:val="1"/>
  </w:num>
  <w:num w:numId="9">
    <w:abstractNumId w:val="11"/>
  </w:num>
  <w:num w:numId="10">
    <w:abstractNumId w:val="18"/>
  </w:num>
  <w:num w:numId="11">
    <w:abstractNumId w:val="22"/>
  </w:num>
  <w:num w:numId="12">
    <w:abstractNumId w:val="8"/>
  </w:num>
  <w:num w:numId="13">
    <w:abstractNumId w:val="2"/>
  </w:num>
  <w:num w:numId="14">
    <w:abstractNumId w:val="27"/>
  </w:num>
  <w:num w:numId="15">
    <w:abstractNumId w:val="20"/>
  </w:num>
  <w:num w:numId="16">
    <w:abstractNumId w:val="24"/>
  </w:num>
  <w:num w:numId="17">
    <w:abstractNumId w:val="5"/>
  </w:num>
  <w:num w:numId="18">
    <w:abstractNumId w:val="14"/>
  </w:num>
  <w:num w:numId="19">
    <w:abstractNumId w:val="16"/>
  </w:num>
  <w:num w:numId="20">
    <w:abstractNumId w:val="17"/>
  </w:num>
  <w:num w:numId="21">
    <w:abstractNumId w:val="26"/>
  </w:num>
  <w:num w:numId="22">
    <w:abstractNumId w:val="28"/>
  </w:num>
  <w:num w:numId="23">
    <w:abstractNumId w:val="12"/>
  </w:num>
  <w:num w:numId="24">
    <w:abstractNumId w:val="4"/>
  </w:num>
  <w:num w:numId="25">
    <w:abstractNumId w:val="19"/>
  </w:num>
  <w:num w:numId="26">
    <w:abstractNumId w:val="23"/>
  </w:num>
  <w:num w:numId="27">
    <w:abstractNumId w:val="13"/>
  </w:num>
  <w:num w:numId="28">
    <w:abstractNumId w:val="10"/>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1136D"/>
    <w:rsid w:val="000352B6"/>
    <w:rsid w:val="00045390"/>
    <w:rsid w:val="00060F29"/>
    <w:rsid w:val="00062E91"/>
    <w:rsid w:val="00066AA1"/>
    <w:rsid w:val="00093711"/>
    <w:rsid w:val="000A027C"/>
    <w:rsid w:val="000A1775"/>
    <w:rsid w:val="000A41ED"/>
    <w:rsid w:val="000B1A34"/>
    <w:rsid w:val="000B2680"/>
    <w:rsid w:val="000C108B"/>
    <w:rsid w:val="000E760E"/>
    <w:rsid w:val="000E7E2D"/>
    <w:rsid w:val="000F3FDE"/>
    <w:rsid w:val="000F4CDC"/>
    <w:rsid w:val="0010294E"/>
    <w:rsid w:val="0011319C"/>
    <w:rsid w:val="00114ED2"/>
    <w:rsid w:val="00131D4A"/>
    <w:rsid w:val="001342F8"/>
    <w:rsid w:val="00150F2A"/>
    <w:rsid w:val="001641A2"/>
    <w:rsid w:val="00172962"/>
    <w:rsid w:val="00184090"/>
    <w:rsid w:val="00190B1D"/>
    <w:rsid w:val="001A2108"/>
    <w:rsid w:val="001A7C17"/>
    <w:rsid w:val="001B0ED6"/>
    <w:rsid w:val="001B41EC"/>
    <w:rsid w:val="001C0CAA"/>
    <w:rsid w:val="001C4243"/>
    <w:rsid w:val="001D02D7"/>
    <w:rsid w:val="001D4892"/>
    <w:rsid w:val="001D643C"/>
    <w:rsid w:val="002228E8"/>
    <w:rsid w:val="00227AE9"/>
    <w:rsid w:val="002344E3"/>
    <w:rsid w:val="00240932"/>
    <w:rsid w:val="00244610"/>
    <w:rsid w:val="00254239"/>
    <w:rsid w:val="00255EFD"/>
    <w:rsid w:val="00257D7A"/>
    <w:rsid w:val="00273699"/>
    <w:rsid w:val="00290784"/>
    <w:rsid w:val="0029278D"/>
    <w:rsid w:val="002956EA"/>
    <w:rsid w:val="002A1DE4"/>
    <w:rsid w:val="002B60FB"/>
    <w:rsid w:val="002C05DB"/>
    <w:rsid w:val="00312AFF"/>
    <w:rsid w:val="00315B26"/>
    <w:rsid w:val="00336CD4"/>
    <w:rsid w:val="00373E03"/>
    <w:rsid w:val="00387B42"/>
    <w:rsid w:val="003B7254"/>
    <w:rsid w:val="003C006C"/>
    <w:rsid w:val="003C4004"/>
    <w:rsid w:val="003C72EC"/>
    <w:rsid w:val="003F7D4A"/>
    <w:rsid w:val="00406C8D"/>
    <w:rsid w:val="004074B0"/>
    <w:rsid w:val="004138A8"/>
    <w:rsid w:val="00424053"/>
    <w:rsid w:val="00452937"/>
    <w:rsid w:val="00483905"/>
    <w:rsid w:val="004B092E"/>
    <w:rsid w:val="004C1703"/>
    <w:rsid w:val="004C7C20"/>
    <w:rsid w:val="004D012B"/>
    <w:rsid w:val="004D18FB"/>
    <w:rsid w:val="004D3984"/>
    <w:rsid w:val="004E4666"/>
    <w:rsid w:val="004E6450"/>
    <w:rsid w:val="004E76B6"/>
    <w:rsid w:val="004E789F"/>
    <w:rsid w:val="004F48C4"/>
    <w:rsid w:val="00521226"/>
    <w:rsid w:val="0054162B"/>
    <w:rsid w:val="00553E6D"/>
    <w:rsid w:val="00560554"/>
    <w:rsid w:val="005728C9"/>
    <w:rsid w:val="00585EB7"/>
    <w:rsid w:val="00590BBE"/>
    <w:rsid w:val="00596945"/>
    <w:rsid w:val="005B256F"/>
    <w:rsid w:val="005C72E7"/>
    <w:rsid w:val="005D53C9"/>
    <w:rsid w:val="005E0D3C"/>
    <w:rsid w:val="005E105F"/>
    <w:rsid w:val="00606203"/>
    <w:rsid w:val="0061262E"/>
    <w:rsid w:val="00632DEF"/>
    <w:rsid w:val="00635C88"/>
    <w:rsid w:val="00640863"/>
    <w:rsid w:val="0064501E"/>
    <w:rsid w:val="00690CDB"/>
    <w:rsid w:val="006D3139"/>
    <w:rsid w:val="006D4D89"/>
    <w:rsid w:val="006E2576"/>
    <w:rsid w:val="006F188F"/>
    <w:rsid w:val="007039CB"/>
    <w:rsid w:val="007159CB"/>
    <w:rsid w:val="00726526"/>
    <w:rsid w:val="00736B01"/>
    <w:rsid w:val="00740470"/>
    <w:rsid w:val="00754324"/>
    <w:rsid w:val="0075607A"/>
    <w:rsid w:val="00763481"/>
    <w:rsid w:val="007639FA"/>
    <w:rsid w:val="007B10CF"/>
    <w:rsid w:val="007B4D98"/>
    <w:rsid w:val="007B5735"/>
    <w:rsid w:val="007C0EFF"/>
    <w:rsid w:val="00804B0D"/>
    <w:rsid w:val="00805645"/>
    <w:rsid w:val="008428E9"/>
    <w:rsid w:val="00843308"/>
    <w:rsid w:val="00847040"/>
    <w:rsid w:val="00855673"/>
    <w:rsid w:val="008579D6"/>
    <w:rsid w:val="008613F2"/>
    <w:rsid w:val="00873168"/>
    <w:rsid w:val="00880EE0"/>
    <w:rsid w:val="00887883"/>
    <w:rsid w:val="008944F5"/>
    <w:rsid w:val="008E64B8"/>
    <w:rsid w:val="0090063A"/>
    <w:rsid w:val="00923E25"/>
    <w:rsid w:val="00926018"/>
    <w:rsid w:val="00937089"/>
    <w:rsid w:val="00975353"/>
    <w:rsid w:val="009A6793"/>
    <w:rsid w:val="009B74E3"/>
    <w:rsid w:val="009C2F34"/>
    <w:rsid w:val="009D01D3"/>
    <w:rsid w:val="009D086C"/>
    <w:rsid w:val="009E1963"/>
    <w:rsid w:val="00A42B2E"/>
    <w:rsid w:val="00A83496"/>
    <w:rsid w:val="00A871EB"/>
    <w:rsid w:val="00A928CF"/>
    <w:rsid w:val="00AA5953"/>
    <w:rsid w:val="00AB5925"/>
    <w:rsid w:val="00AE543F"/>
    <w:rsid w:val="00AF6AB6"/>
    <w:rsid w:val="00B141BC"/>
    <w:rsid w:val="00B20F7B"/>
    <w:rsid w:val="00B25D31"/>
    <w:rsid w:val="00B30B4C"/>
    <w:rsid w:val="00B351D6"/>
    <w:rsid w:val="00B35A1A"/>
    <w:rsid w:val="00B51BCA"/>
    <w:rsid w:val="00B823D5"/>
    <w:rsid w:val="00B83EB5"/>
    <w:rsid w:val="00B9172B"/>
    <w:rsid w:val="00B92B32"/>
    <w:rsid w:val="00B936B4"/>
    <w:rsid w:val="00BB5508"/>
    <w:rsid w:val="00BE5CA9"/>
    <w:rsid w:val="00BF65AD"/>
    <w:rsid w:val="00C17115"/>
    <w:rsid w:val="00C21EA6"/>
    <w:rsid w:val="00C43C01"/>
    <w:rsid w:val="00C51C35"/>
    <w:rsid w:val="00C571A7"/>
    <w:rsid w:val="00C71897"/>
    <w:rsid w:val="00C751D0"/>
    <w:rsid w:val="00CB3F56"/>
    <w:rsid w:val="00CD33AE"/>
    <w:rsid w:val="00CF0A7A"/>
    <w:rsid w:val="00CF3378"/>
    <w:rsid w:val="00D10495"/>
    <w:rsid w:val="00D10571"/>
    <w:rsid w:val="00D15B1F"/>
    <w:rsid w:val="00D22DD5"/>
    <w:rsid w:val="00D23799"/>
    <w:rsid w:val="00D3385D"/>
    <w:rsid w:val="00D43C56"/>
    <w:rsid w:val="00D460C3"/>
    <w:rsid w:val="00D7275F"/>
    <w:rsid w:val="00D7501E"/>
    <w:rsid w:val="00D83DD2"/>
    <w:rsid w:val="00DB2AC3"/>
    <w:rsid w:val="00DB7F94"/>
    <w:rsid w:val="00DC030D"/>
    <w:rsid w:val="00DC43DD"/>
    <w:rsid w:val="00DC732A"/>
    <w:rsid w:val="00DD4C44"/>
    <w:rsid w:val="00E35F98"/>
    <w:rsid w:val="00E43B66"/>
    <w:rsid w:val="00E5764A"/>
    <w:rsid w:val="00E747D8"/>
    <w:rsid w:val="00E81ECE"/>
    <w:rsid w:val="00EC17ED"/>
    <w:rsid w:val="00EC2934"/>
    <w:rsid w:val="00ED2E5A"/>
    <w:rsid w:val="00EF6A31"/>
    <w:rsid w:val="00F00D1E"/>
    <w:rsid w:val="00F11138"/>
    <w:rsid w:val="00F16791"/>
    <w:rsid w:val="00F222E0"/>
    <w:rsid w:val="00F23318"/>
    <w:rsid w:val="00F45AC3"/>
    <w:rsid w:val="00F5585C"/>
    <w:rsid w:val="00F80ECC"/>
    <w:rsid w:val="00F84FF3"/>
    <w:rsid w:val="00F90548"/>
    <w:rsid w:val="00FB479C"/>
    <w:rsid w:val="00FC5F39"/>
    <w:rsid w:val="00FC6B6B"/>
    <w:rsid w:val="00FD0597"/>
    <w:rsid w:val="00FD2CC3"/>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E0D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23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character" w:customStyle="1" w:styleId="Titre1Car">
    <w:name w:val="Titre 1 Car"/>
    <w:basedOn w:val="Policepardfaut"/>
    <w:link w:val="Titre1"/>
    <w:uiPriority w:val="9"/>
    <w:rsid w:val="005E0D3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23E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2736</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BORNSIAK Dominique</cp:lastModifiedBy>
  <cp:revision>2</cp:revision>
  <cp:lastPrinted>2018-01-26T14:33:00Z</cp:lastPrinted>
  <dcterms:created xsi:type="dcterms:W3CDTF">2024-06-13T15:47:00Z</dcterms:created>
  <dcterms:modified xsi:type="dcterms:W3CDTF">2024-06-13T15:47:00Z</dcterms:modified>
</cp:coreProperties>
</file>