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8187806" w:displacedByCustomXml="next"/>
    <w:bookmarkEnd w:id="0" w:displacedByCustomXml="next"/>
    <w:sdt>
      <w:sdtPr>
        <w:rPr>
          <w:sz w:val="16"/>
        </w:rPr>
        <w:id w:val="840050196"/>
        <w:docPartObj>
          <w:docPartGallery w:val="Cover Pages"/>
          <w:docPartUnique/>
        </w:docPartObj>
      </w:sdtPr>
      <w:sdtEndPr>
        <w:rPr>
          <w:b/>
          <w:noProof/>
          <w:lang w:eastAsia="fr-FR"/>
        </w:rPr>
      </w:sdtEndPr>
      <w:sdtContent>
        <w:tbl>
          <w:tblPr>
            <w:tblStyle w:val="TableGrid"/>
            <w:tblW w:w="907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6195"/>
            <w:gridCol w:w="2140"/>
          </w:tblGrid>
          <w:tr w:rsidR="00B34F49" w:rsidRPr="00E5671C" w14:paraId="25BDCE56" w14:textId="77777777" w:rsidTr="2EB32BDA">
            <w:trPr>
              <w:trHeight w:hRule="exact" w:val="3515"/>
            </w:trPr>
            <w:tc>
              <w:tcPr>
                <w:tcW w:w="737" w:type="dxa"/>
              </w:tcPr>
              <w:p w14:paraId="45ECBD94" w14:textId="09E42CE7" w:rsidR="00B34F49" w:rsidRPr="00E5671C" w:rsidRDefault="00B34F49" w:rsidP="2EB32BDA">
                <w:pPr>
                  <w:pStyle w:val="BodyText"/>
                  <w:rPr>
                    <w:sz w:val="16"/>
                  </w:rPr>
                </w:pPr>
              </w:p>
            </w:tc>
            <w:tc>
              <w:tcPr>
                <w:tcW w:w="6195" w:type="dxa"/>
                <w:tcMar>
                  <w:right w:w="567" w:type="dxa"/>
                </w:tcMar>
              </w:tcPr>
              <w:p w14:paraId="2631A67E" w14:textId="1D274274" w:rsidR="00B34F49" w:rsidRPr="00E5671C" w:rsidRDefault="00B34F49" w:rsidP="00E5671C">
                <w:r w:rsidRPr="00E5671C">
                  <w:fldChar w:fldCharType="begin"/>
                </w:r>
                <w:r w:rsidRPr="00E5671C">
                  <w:instrText xml:space="preserve"> COMMENTS   \* MERGEFORMAT </w:instrText>
                </w:r>
                <w:r w:rsidRPr="00E5671C">
                  <w:fldChar w:fldCharType="end"/>
                </w:r>
                <w:r w:rsidRPr="00E5671C">
                  <w:fldChar w:fldCharType="begin"/>
                </w:r>
                <w:r w:rsidRPr="00E5671C">
                  <w:instrText xml:space="preserve"> COMMENTS   \* MERGEFORMAT </w:instrText>
                </w:r>
                <w:r w:rsidRPr="00E5671C">
                  <w:fldChar w:fldCharType="end"/>
                </w:r>
              </w:p>
            </w:tc>
            <w:tc>
              <w:tcPr>
                <w:tcW w:w="2140" w:type="dxa"/>
              </w:tcPr>
              <w:p w14:paraId="59CCED70" w14:textId="1EF0C5E3" w:rsidR="00B34F49" w:rsidRPr="00E5671C" w:rsidRDefault="00B34F49" w:rsidP="00E5671C"/>
            </w:tc>
          </w:tr>
          <w:tr w:rsidR="00B34F49" w:rsidRPr="00E5671C" w14:paraId="22C0E288" w14:textId="77777777" w:rsidTr="2EB32BDA">
            <w:trPr>
              <w:trHeight w:hRule="exact" w:val="567"/>
            </w:trPr>
            <w:tc>
              <w:tcPr>
                <w:tcW w:w="737" w:type="dxa"/>
                <w:shd w:val="clear" w:color="auto" w:fill="CF342C" w:themeFill="text2"/>
              </w:tcPr>
              <w:p w14:paraId="7DA17B40" w14:textId="77777777" w:rsidR="00B34F49" w:rsidRPr="00E5671C" w:rsidRDefault="00B34F49" w:rsidP="0013762C"/>
            </w:tc>
            <w:tc>
              <w:tcPr>
                <w:tcW w:w="6195" w:type="dxa"/>
                <w:shd w:val="clear" w:color="auto" w:fill="CF342C" w:themeFill="text2"/>
                <w:tcMar>
                  <w:right w:w="567" w:type="dxa"/>
                </w:tcMar>
              </w:tcPr>
              <w:p w14:paraId="3702476D" w14:textId="77777777" w:rsidR="00B34F49" w:rsidRPr="00E5671C" w:rsidRDefault="00B34F49" w:rsidP="0013762C"/>
            </w:tc>
            <w:tc>
              <w:tcPr>
                <w:tcW w:w="2140" w:type="dxa"/>
                <w:shd w:val="clear" w:color="auto" w:fill="auto"/>
              </w:tcPr>
              <w:p w14:paraId="6D7B0021" w14:textId="77777777" w:rsidR="00B34F49" w:rsidRPr="00E5671C" w:rsidRDefault="00B34F49" w:rsidP="0013762C"/>
            </w:tc>
          </w:tr>
          <w:tr w:rsidR="00B34F49" w:rsidRPr="00E5671C" w14:paraId="49C32490" w14:textId="77777777" w:rsidTr="2EB32BDA">
            <w:trPr>
              <w:trHeight w:val="8108"/>
            </w:trPr>
            <w:tc>
              <w:tcPr>
                <w:tcW w:w="737" w:type="dxa"/>
                <w:shd w:val="clear" w:color="auto" w:fill="CF342C" w:themeFill="text2"/>
              </w:tcPr>
              <w:p w14:paraId="5CBF4EA6" w14:textId="77777777" w:rsidR="00B34F49" w:rsidRPr="00E5671C" w:rsidRDefault="00B34F49" w:rsidP="0013762C">
                <w:pPr>
                  <w:pStyle w:val="Date"/>
                </w:pPr>
              </w:p>
            </w:tc>
            <w:tc>
              <w:tcPr>
                <w:tcW w:w="6195" w:type="dxa"/>
                <w:shd w:val="clear" w:color="auto" w:fill="CF342C" w:themeFill="text2"/>
                <w:tcMar>
                  <w:right w:w="567" w:type="dxa"/>
                </w:tcMar>
              </w:tcPr>
              <w:p w14:paraId="32392EF1" w14:textId="2721D985" w:rsidR="00B34F49" w:rsidRDefault="00B455B7" w:rsidP="0013762C">
                <w:pPr>
                  <w:pStyle w:val="Date"/>
                </w:pPr>
                <w:sdt>
                  <w:sdtPr>
                    <w:alias w:val="Date"/>
                    <w:tag w:val=""/>
                    <w:id w:val="972176993"/>
                    <w:placeholder>
                      <w:docPart w:val="713178053954430894B59C4FAFB36C4A"/>
                    </w:placeholder>
                    <w:dataBinding w:prefixMappings="xmlns:ns0='http://schemas.microsoft.com/office/2006/coverPageProps' " w:xpath="/ns0:CoverPageProperties[1]/ns0:Abstract[1]" w:storeItemID="{55AF091B-3C7A-41E3-B477-F2FDAA23CFDA}"/>
                    <w:text/>
                  </w:sdtPr>
                  <w:sdtContent>
                    <w:r w:rsidR="006C5C38">
                      <w:t>Janvier 2021</w:t>
                    </w:r>
                  </w:sdtContent>
                </w:sdt>
              </w:p>
              <w:p w14:paraId="35348BFD" w14:textId="571EC4AB" w:rsidR="00B34F49" w:rsidRPr="00E5671C" w:rsidRDefault="00C27CFB" w:rsidP="00092802">
                <w:pPr>
                  <w:pStyle w:val="Subtitle"/>
                </w:pPr>
                <w:r w:rsidRPr="00C27CFB">
                  <w:rPr>
                    <w:color w:val="FFFFFF" w:themeColor="background1"/>
                    <w:sz w:val="44"/>
                    <w:szCs w:val="44"/>
                  </w:rPr>
                  <w:t xml:space="preserve">Évaluation ex-ante et élaboration d'une stratégie opérationnelle d’investissement pour le financement européen des instruments financiers sur la période 2021-2027 en Hauts-de-France – Volet transition énergétique et écologique des territoires </w:t>
                </w:r>
                <w:sdt>
                  <w:sdtPr>
                    <w:alias w:val="Subject"/>
                    <w:tag w:val=""/>
                    <w:id w:val="237911958"/>
                    <w:placeholder>
                      <w:docPart w:val="CF6349D75C6244399DF63B56179E7445"/>
                    </w:placeholder>
                    <w:dataBinding w:prefixMappings="xmlns:ns0='http://purl.org/dc/elements/1.1/' xmlns:ns1='http://schemas.openxmlformats.org/package/2006/metadata/core-properties' " w:xpath="/ns1:coreProperties[1]/ns0:subject[1]" w:storeItemID="{6C3C8BC8-F283-45AE-878A-BAB7291924A1}"/>
                    <w:text/>
                  </w:sdtPr>
                  <w:sdtContent>
                    <w:r w:rsidR="00366C6E">
                      <w:t xml:space="preserve">Rapport </w:t>
                    </w:r>
                    <w:r w:rsidR="00FA2A11">
                      <w:t>final</w:t>
                    </w:r>
                  </w:sdtContent>
                </w:sdt>
              </w:p>
            </w:tc>
            <w:tc>
              <w:tcPr>
                <w:tcW w:w="2140" w:type="dxa"/>
              </w:tcPr>
              <w:p w14:paraId="3BEB37A9" w14:textId="069C557D" w:rsidR="00B34F49" w:rsidRPr="00E5671C" w:rsidRDefault="00410285" w:rsidP="002313EE">
                <w:r w:rsidRPr="00410285">
                  <w:rPr>
                    <w:noProof/>
                    <w:lang w:eastAsia="fr-FR"/>
                  </w:rPr>
                  <w:drawing>
                    <wp:anchor distT="0" distB="0" distL="114300" distR="114300" simplePos="0" relativeHeight="251658240" behindDoc="0" locked="0" layoutInCell="1" allowOverlap="1" wp14:anchorId="487EB431" wp14:editId="434D1761">
                      <wp:simplePos x="0" y="0"/>
                      <wp:positionH relativeFrom="column">
                        <wp:posOffset>-1633025</wp:posOffset>
                      </wp:positionH>
                      <wp:positionV relativeFrom="paragraph">
                        <wp:posOffset>4210616</wp:posOffset>
                      </wp:positionV>
                      <wp:extent cx="3778836" cy="964612"/>
                      <wp:effectExtent l="0" t="0" r="0" b="6985"/>
                      <wp:wrapNone/>
                      <wp:docPr id="6" name="Image 5" descr="Une image contenant capture d’écran&#10;&#10;Description générée automatiquement">
                        <a:extLst xmlns:a="http://schemas.openxmlformats.org/drawingml/2006/main">
                          <a:ext uri="{FF2B5EF4-FFF2-40B4-BE49-F238E27FC236}">
                            <a16:creationId xmlns:a16="http://schemas.microsoft.com/office/drawing/2014/main" id="{28B90C2F-E30B-4C57-B22B-50AC76040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capture d’écran&#10;&#10;Description générée automatiquement">
                                <a:extLst>
                                  <a:ext uri="{FF2B5EF4-FFF2-40B4-BE49-F238E27FC236}">
                                    <a16:creationId xmlns:a16="http://schemas.microsoft.com/office/drawing/2014/main" id="{28B90C2F-E30B-4C57-B22B-50AC76040ACB}"/>
                                  </a:ext>
                                </a:extLst>
                              </pic:cNvPr>
                              <pic:cNvPicPr>
                                <a:picLocks noChangeAspect="1"/>
                              </pic:cNvPicPr>
                            </pic:nvPicPr>
                            <pic:blipFill>
                              <a:blip r:embed="rId12"/>
                              <a:stretch>
                                <a:fillRect/>
                              </a:stretch>
                            </pic:blipFill>
                            <pic:spPr>
                              <a:xfrm>
                                <a:off x="0" y="0"/>
                                <a:ext cx="3787440" cy="966808"/>
                              </a:xfrm>
                              <a:prstGeom prst="rect">
                                <a:avLst/>
                              </a:prstGeom>
                            </pic:spPr>
                          </pic:pic>
                        </a:graphicData>
                      </a:graphic>
                      <wp14:sizeRelH relativeFrom="margin">
                        <wp14:pctWidth>0</wp14:pctWidth>
                      </wp14:sizeRelH>
                      <wp14:sizeRelV relativeFrom="margin">
                        <wp14:pctHeight>0</wp14:pctHeight>
                      </wp14:sizeRelV>
                    </wp:anchor>
                  </w:drawing>
                </w:r>
              </w:p>
            </w:tc>
          </w:tr>
          <w:tr w:rsidR="00B34F49" w:rsidRPr="00E5671C" w14:paraId="5E8F129A" w14:textId="77777777" w:rsidTr="2EB32BDA">
            <w:trPr>
              <w:trHeight w:hRule="exact" w:val="284"/>
            </w:trPr>
            <w:tc>
              <w:tcPr>
                <w:tcW w:w="737" w:type="dxa"/>
                <w:shd w:val="clear" w:color="auto" w:fill="auto"/>
              </w:tcPr>
              <w:p w14:paraId="5E5E7DCE" w14:textId="77777777" w:rsidR="00B34F49" w:rsidRPr="0010485D" w:rsidRDefault="00B34F49" w:rsidP="0010485D">
                <w:pPr>
                  <w:pStyle w:val="Teammembers"/>
                  <w:rPr>
                    <w:sz w:val="20"/>
                  </w:rPr>
                </w:pPr>
              </w:p>
            </w:tc>
            <w:tc>
              <w:tcPr>
                <w:tcW w:w="6195" w:type="dxa"/>
                <w:shd w:val="clear" w:color="auto" w:fill="auto"/>
                <w:tcMar>
                  <w:right w:w="567" w:type="dxa"/>
                </w:tcMar>
              </w:tcPr>
              <w:p w14:paraId="6A0D2B57" w14:textId="77777777" w:rsidR="00B34F49" w:rsidRPr="0010485D" w:rsidRDefault="00B34F49" w:rsidP="0010485D">
                <w:pPr>
                  <w:pStyle w:val="Teammembers"/>
                  <w:rPr>
                    <w:sz w:val="20"/>
                  </w:rPr>
                </w:pPr>
              </w:p>
            </w:tc>
            <w:tc>
              <w:tcPr>
                <w:tcW w:w="2140" w:type="dxa"/>
                <w:shd w:val="clear" w:color="auto" w:fill="auto"/>
              </w:tcPr>
              <w:p w14:paraId="16448AD7" w14:textId="77777777" w:rsidR="00B34F49" w:rsidRPr="0010485D" w:rsidRDefault="00B34F49" w:rsidP="0010485D">
                <w:pPr>
                  <w:pStyle w:val="Teammembers"/>
                  <w:rPr>
                    <w:sz w:val="20"/>
                  </w:rPr>
                </w:pPr>
              </w:p>
            </w:tc>
          </w:tr>
        </w:tbl>
        <w:p w14:paraId="31C97623" w14:textId="15E4639E" w:rsidR="00B34F49" w:rsidRDefault="00D14572" w:rsidP="009D3E8C">
          <w:pPr>
            <w:pStyle w:val="BodyText"/>
            <w:rPr>
              <w:sz w:val="8"/>
              <w:szCs w:val="8"/>
            </w:rPr>
          </w:pPr>
          <w:r>
            <w:rPr>
              <w:noProof/>
              <w:lang w:eastAsia="fr-FR"/>
            </w:rPr>
            <w:drawing>
              <wp:anchor distT="0" distB="0" distL="114300" distR="114300" simplePos="0" relativeHeight="251658241" behindDoc="0" locked="0" layoutInCell="1" allowOverlap="1" wp14:anchorId="37A6F24B" wp14:editId="3FDA88B7">
                <wp:simplePos x="0" y="0"/>
                <wp:positionH relativeFrom="column">
                  <wp:posOffset>4610100</wp:posOffset>
                </wp:positionH>
                <wp:positionV relativeFrom="paragraph">
                  <wp:posOffset>-7917815</wp:posOffset>
                </wp:positionV>
                <wp:extent cx="1397453" cy="1397453"/>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453" cy="1397453"/>
                        </a:xfrm>
                        <a:prstGeom prst="rect">
                          <a:avLst/>
                        </a:prstGeom>
                        <a:noFill/>
                        <a:ln>
                          <a:noFill/>
                        </a:ln>
                      </pic:spPr>
                    </pic:pic>
                  </a:graphicData>
                </a:graphic>
              </wp:anchor>
            </w:drawing>
          </w:r>
        </w:p>
        <w:p w14:paraId="18C5EE8A" w14:textId="77777777" w:rsidR="00B34F49" w:rsidRPr="0010485D" w:rsidRDefault="00B34F49" w:rsidP="009D3E8C">
          <w:pPr>
            <w:pStyle w:val="BodyText"/>
            <w:rPr>
              <w:sz w:val="8"/>
              <w:szCs w:val="8"/>
            </w:rPr>
          </w:pPr>
        </w:p>
        <w:p w14:paraId="7C5CE518" w14:textId="77777777" w:rsidR="00B34F49" w:rsidRPr="00995E55" w:rsidRDefault="00B34F49" w:rsidP="00064316">
          <w:pPr>
            <w:pStyle w:val="NoSpacing"/>
            <w:rPr>
              <w:lang w:val="fr-FR"/>
            </w:rPr>
            <w:sectPr w:rsidR="00B34F49" w:rsidRPr="00995E55" w:rsidSect="00FE6904">
              <w:headerReference w:type="default" r:id="rId14"/>
              <w:footerReference w:type="even" r:id="rId15"/>
              <w:footerReference w:type="default" r:id="rId16"/>
              <w:headerReference w:type="first" r:id="rId17"/>
              <w:footerReference w:type="first" r:id="rId18"/>
              <w:pgSz w:w="11907" w:h="16839" w:code="9"/>
              <w:pgMar w:top="1701" w:right="1134" w:bottom="1701" w:left="1701" w:header="851" w:footer="590" w:gutter="0"/>
              <w:pgNumType w:fmt="lowerRoman" w:start="0"/>
              <w:cols w:space="708"/>
              <w:titlePg/>
              <w:docGrid w:linePitch="360"/>
            </w:sectPr>
          </w:pPr>
        </w:p>
        <w:p w14:paraId="3AA24F6F" w14:textId="790F3FDB" w:rsidR="00B34F49" w:rsidRDefault="00B455B7">
          <w:pPr>
            <w:rPr>
              <w:b/>
              <w:noProof/>
              <w:lang w:eastAsia="fr-FR"/>
            </w:rPr>
          </w:pPr>
        </w:p>
      </w:sdtContent>
    </w:sdt>
    <w:p w14:paraId="2DB9A49C" w14:textId="77777777" w:rsidR="00CE5ED8" w:rsidRDefault="00CE5ED8"/>
    <w:tbl>
      <w:tblPr>
        <w:tblW w:w="0" w:type="auto"/>
        <w:tblLayout w:type="fixed"/>
        <w:tblCellMar>
          <w:left w:w="0" w:type="dxa"/>
          <w:right w:w="0" w:type="dxa"/>
        </w:tblCellMar>
        <w:tblLook w:val="04A0" w:firstRow="1" w:lastRow="0" w:firstColumn="1" w:lastColumn="0" w:noHBand="0" w:noVBand="1"/>
      </w:tblPr>
      <w:tblGrid>
        <w:gridCol w:w="9071"/>
      </w:tblGrid>
      <w:tr w:rsidR="00723459" w:rsidRPr="00FB6623" w14:paraId="2256428E" w14:textId="77777777" w:rsidTr="00F105DE">
        <w:trPr>
          <w:cantSplit/>
          <w:trHeight w:hRule="exact" w:val="3742"/>
        </w:trPr>
        <w:tc>
          <w:tcPr>
            <w:tcW w:w="9071" w:type="dxa"/>
          </w:tcPr>
          <w:p w14:paraId="7FCE245F" w14:textId="77777777" w:rsidR="00723459" w:rsidRPr="00FB6623" w:rsidRDefault="00723459" w:rsidP="00F105DE">
            <w:pPr>
              <w:pStyle w:val="Version"/>
            </w:pPr>
          </w:p>
        </w:tc>
      </w:tr>
      <w:tr w:rsidR="00723459" w:rsidRPr="00FB6623" w14:paraId="4FED657B" w14:textId="77777777" w:rsidTr="00F105DE">
        <w:trPr>
          <w:cantSplit/>
          <w:trHeight w:hRule="exact" w:val="1134"/>
        </w:trPr>
        <w:tc>
          <w:tcPr>
            <w:tcW w:w="9071" w:type="dxa"/>
          </w:tcPr>
          <w:p w14:paraId="624406BE" w14:textId="13A78546" w:rsidR="00723459" w:rsidRPr="007E7F47" w:rsidRDefault="00723459" w:rsidP="00F105DE">
            <w:pPr>
              <w:pStyle w:val="Version"/>
              <w:rPr>
                <w:lang w:val="en-US"/>
              </w:rPr>
            </w:pPr>
            <w:r w:rsidRPr="007E7F47">
              <w:rPr>
                <w:lang w:val="en-US"/>
              </w:rPr>
              <w:t xml:space="preserve">Version </w:t>
            </w:r>
            <w:r w:rsidR="006C5C38">
              <w:rPr>
                <w:lang w:val="en-US"/>
              </w:rPr>
              <w:t>1</w:t>
            </w:r>
          </w:p>
          <w:p w14:paraId="66C399F6" w14:textId="7A2E4084" w:rsidR="00723459" w:rsidRPr="00FB6623" w:rsidRDefault="00B455B7" w:rsidP="00F105DE">
            <w:pPr>
              <w:pStyle w:val="Date"/>
              <w:rPr>
                <w:i w:val="0"/>
                <w:color w:val="auto"/>
                <w:sz w:val="20"/>
              </w:rPr>
            </w:pPr>
            <w:sdt>
              <w:sdtPr>
                <w:rPr>
                  <w:color w:val="auto"/>
                </w:rPr>
                <w:alias w:val="Date"/>
                <w:tag w:val=""/>
                <w:id w:val="1660875233"/>
                <w:dataBinding w:prefixMappings="xmlns:ns0='http://schemas.microsoft.com/office/2006/coverPageProps' " w:xpath="/ns0:CoverPageProperties[1]/ns0:Abstract[1]" w:storeItemID="{55AF091B-3C7A-41E3-B477-F2FDAA23CFDA}"/>
                <w:text/>
              </w:sdtPr>
              <w:sdtContent>
                <w:r w:rsidR="006C5C38">
                  <w:rPr>
                    <w:color w:val="auto"/>
                  </w:rPr>
                  <w:t>Janvier</w:t>
                </w:r>
                <w:r w:rsidR="00C27CFB">
                  <w:rPr>
                    <w:color w:val="auto"/>
                  </w:rPr>
                  <w:t xml:space="preserve"> 2021</w:t>
                </w:r>
              </w:sdtContent>
            </w:sdt>
          </w:p>
          <w:p w14:paraId="78F664A1" w14:textId="77777777" w:rsidR="00723459" w:rsidRPr="00FB6623" w:rsidRDefault="00723459" w:rsidP="00F105DE"/>
          <w:p w14:paraId="1F7F74C5" w14:textId="77777777" w:rsidR="00723459" w:rsidRPr="00FB6623" w:rsidRDefault="00723459" w:rsidP="00F105DE"/>
          <w:p w14:paraId="77AF5BD7" w14:textId="77777777" w:rsidR="00723459" w:rsidRPr="00FB6623" w:rsidRDefault="00723459" w:rsidP="00F105DE"/>
          <w:p w14:paraId="1D6342BD" w14:textId="77777777" w:rsidR="00723459" w:rsidRPr="00FB6623" w:rsidRDefault="00723459" w:rsidP="00F105DE"/>
          <w:p w14:paraId="04041B6A" w14:textId="77777777" w:rsidR="00723459" w:rsidRPr="00FB6623" w:rsidRDefault="00723459" w:rsidP="00F105DE"/>
          <w:p w14:paraId="2C9C6150" w14:textId="77777777" w:rsidR="00723459" w:rsidRPr="00FB6623" w:rsidRDefault="00723459" w:rsidP="00F105DE"/>
          <w:p w14:paraId="064E0F8F" w14:textId="77777777" w:rsidR="00723459" w:rsidRPr="00FB6623" w:rsidRDefault="00723459" w:rsidP="00F105DE"/>
          <w:p w14:paraId="7BB79E16" w14:textId="77777777" w:rsidR="00723459" w:rsidRPr="00FB6623" w:rsidRDefault="00723459" w:rsidP="00F105DE"/>
          <w:p w14:paraId="4E38BA96" w14:textId="77777777" w:rsidR="00723459" w:rsidRPr="00FB6623" w:rsidRDefault="00723459" w:rsidP="00F105DE"/>
          <w:p w14:paraId="715AEB6C" w14:textId="77777777" w:rsidR="00723459" w:rsidRPr="00FB6623" w:rsidRDefault="00723459" w:rsidP="00F105DE"/>
          <w:p w14:paraId="480693C2" w14:textId="77777777" w:rsidR="00723459" w:rsidRPr="00FB6623" w:rsidRDefault="00723459" w:rsidP="00F105DE"/>
          <w:p w14:paraId="3F5F4754" w14:textId="77777777" w:rsidR="00723459" w:rsidRPr="00FB6623" w:rsidRDefault="00723459" w:rsidP="00F105DE"/>
          <w:p w14:paraId="454030CA" w14:textId="77777777" w:rsidR="00723459" w:rsidRPr="00FB6623" w:rsidRDefault="00723459" w:rsidP="00F105DE"/>
          <w:p w14:paraId="4A9C95F7" w14:textId="77777777" w:rsidR="00723459" w:rsidRPr="00FB6623" w:rsidRDefault="00723459" w:rsidP="00F105DE"/>
          <w:p w14:paraId="743203BD" w14:textId="77777777" w:rsidR="00723459" w:rsidRPr="00FB6623" w:rsidRDefault="00723459" w:rsidP="00F105DE"/>
          <w:p w14:paraId="3DC64FCA" w14:textId="77777777" w:rsidR="00723459" w:rsidRPr="00FB6623" w:rsidRDefault="00723459" w:rsidP="00F105DE"/>
          <w:p w14:paraId="7BEFC209" w14:textId="77777777" w:rsidR="00723459" w:rsidRPr="00FB6623" w:rsidRDefault="00723459" w:rsidP="00F105DE"/>
          <w:p w14:paraId="37F3C250" w14:textId="77777777" w:rsidR="00723459" w:rsidRPr="00FB6623" w:rsidRDefault="00723459" w:rsidP="00F105DE"/>
          <w:p w14:paraId="1D725866" w14:textId="77777777" w:rsidR="00723459" w:rsidRPr="00FB6623" w:rsidRDefault="00723459" w:rsidP="00F105DE"/>
          <w:p w14:paraId="46B5F2A8" w14:textId="77777777" w:rsidR="00723459" w:rsidRPr="00FB6623" w:rsidRDefault="00723459" w:rsidP="00F105DE"/>
          <w:p w14:paraId="4D2AFA50" w14:textId="77777777" w:rsidR="00723459" w:rsidRPr="00FB6623" w:rsidRDefault="00723459" w:rsidP="00F105DE"/>
          <w:p w14:paraId="04D19C64" w14:textId="77777777" w:rsidR="00723459" w:rsidRPr="00FB6623" w:rsidRDefault="00723459" w:rsidP="00F105DE"/>
          <w:p w14:paraId="78696D2F" w14:textId="77777777" w:rsidR="00723459" w:rsidRPr="00FB6623" w:rsidRDefault="00723459" w:rsidP="00F105DE"/>
          <w:p w14:paraId="7F8EA180" w14:textId="77777777" w:rsidR="00723459" w:rsidRPr="00FB6623" w:rsidRDefault="00723459" w:rsidP="00F105DE"/>
          <w:p w14:paraId="1DD6AE67" w14:textId="77777777" w:rsidR="00723459" w:rsidRPr="00FB6623" w:rsidRDefault="00723459" w:rsidP="00F105DE"/>
        </w:tc>
      </w:tr>
      <w:tr w:rsidR="00723459" w:rsidRPr="00574862" w14:paraId="3D21555E" w14:textId="77777777" w:rsidTr="00CE5ED8">
        <w:trPr>
          <w:cantSplit/>
          <w:trHeight w:hRule="exact" w:val="7088"/>
        </w:trPr>
        <w:tc>
          <w:tcPr>
            <w:tcW w:w="9071" w:type="dxa"/>
          </w:tcPr>
          <w:sdt>
            <w:sdtPr>
              <w:alias w:val="Title"/>
              <w:tag w:val=""/>
              <w:id w:val="-1903515673"/>
              <w:dataBinding w:prefixMappings="xmlns:ns0='http://purl.org/dc/elements/1.1/' xmlns:ns1='http://schemas.openxmlformats.org/package/2006/metadata/core-properties' " w:xpath="/ns1:coreProperties[1]/ns0:title[1]" w:storeItemID="{6C3C8BC8-F283-45AE-878A-BAB7291924A1}"/>
              <w:text/>
            </w:sdtPr>
            <w:sdtContent>
              <w:p w14:paraId="615B0523" w14:textId="18E46936" w:rsidR="00723459" w:rsidRPr="007E7F47" w:rsidRDefault="00E1676F" w:rsidP="00F105DE">
                <w:pPr>
                  <w:pStyle w:val="Titlerepeat"/>
                </w:pPr>
                <w:r>
                  <w:t>Mission d’évaluation ex-ante à la mise en place d’instruments financiers dans le cadre du programme opérationnel 2021-2027 FEDER-FSE de la Région Hauts-de-France</w:t>
                </w:r>
              </w:p>
            </w:sdtContent>
          </w:sdt>
          <w:p w14:paraId="7BE0E74D" w14:textId="10FC2271" w:rsidR="00723459" w:rsidRPr="00574862" w:rsidRDefault="00B455B7" w:rsidP="00F105DE">
            <w:pPr>
              <w:pStyle w:val="Subtitlerepeat"/>
            </w:pPr>
            <w:sdt>
              <w:sdtPr>
                <w:alias w:val="Subject"/>
                <w:tag w:val=""/>
                <w:id w:val="-973667510"/>
                <w:dataBinding w:prefixMappings="xmlns:ns0='http://purl.org/dc/elements/1.1/' xmlns:ns1='http://schemas.openxmlformats.org/package/2006/metadata/core-properties' " w:xpath="/ns1:coreProperties[1]/ns0:subject[1]" w:storeItemID="{6C3C8BC8-F283-45AE-878A-BAB7291924A1}"/>
                <w:text/>
              </w:sdtPr>
              <w:sdtContent>
                <w:r w:rsidR="00FA2A11">
                  <w:t>Rapport final</w:t>
                </w:r>
              </w:sdtContent>
            </w:sdt>
          </w:p>
          <w:p w14:paraId="7E168222" w14:textId="6C689516" w:rsidR="00723459" w:rsidRPr="00574862" w:rsidRDefault="00B455B7" w:rsidP="00F105DE">
            <w:sdt>
              <w:sdtPr>
                <w:alias w:val="Team"/>
                <w:tag w:val=""/>
                <w:id w:val="-789905469"/>
                <w:dataBinding w:prefixMappings="xmlns:ns0='http://purl.org/dc/elements/1.1/' xmlns:ns1='http://schemas.openxmlformats.org/package/2006/metadata/core-properties' " w:xpath="/ns1:coreProperties[1]/ns1:keywords[1]" w:storeItemID="{6C3C8BC8-F283-45AE-878A-BAB7291924A1}"/>
                <w:text/>
              </w:sdtPr>
              <w:sdtContent>
                <w:r w:rsidR="00FF7E81">
                  <w:t>Mathieu Boulestreau, Vanina Choe, Gaëtan Coatanroch, Lamine Dake, Auriane Lamy, Cristina Wallez-</w:t>
                </w:r>
                <w:r w:rsidR="004000E6">
                  <w:t>Cuevas</w:t>
                </w:r>
              </w:sdtContent>
            </w:sdt>
          </w:p>
          <w:p w14:paraId="408B5AA5" w14:textId="77777777" w:rsidR="00723459" w:rsidRPr="00574862" w:rsidRDefault="00723459" w:rsidP="00F105DE"/>
        </w:tc>
      </w:tr>
    </w:tbl>
    <w:p w14:paraId="42D4C06E" w14:textId="77777777" w:rsidR="00723459" w:rsidRPr="00574862" w:rsidRDefault="00723459"/>
    <w:p w14:paraId="183102AF" w14:textId="77777777" w:rsidR="00723459" w:rsidRPr="00574862" w:rsidRDefault="00723459" w:rsidP="00F42170">
      <w:pPr>
        <w:pStyle w:val="BodyText"/>
        <w:sectPr w:rsidR="00723459" w:rsidRPr="00574862" w:rsidSect="0031277E">
          <w:headerReference w:type="default" r:id="rId19"/>
          <w:pgSz w:w="11907" w:h="16839" w:code="9"/>
          <w:pgMar w:top="1701" w:right="1134" w:bottom="1701" w:left="1701" w:header="851" w:footer="567" w:gutter="0"/>
          <w:pgNumType w:fmt="lowerRoman"/>
          <w:cols w:space="708"/>
          <w:docGrid w:linePitch="360"/>
        </w:sectPr>
      </w:pPr>
    </w:p>
    <w:p w14:paraId="2B40BBBB" w14:textId="77777777" w:rsidR="00783196" w:rsidRPr="00FB6623" w:rsidRDefault="00877179" w:rsidP="00E804E0">
      <w:pPr>
        <w:pStyle w:val="Heading1"/>
        <w:numPr>
          <w:ilvl w:val="0"/>
          <w:numId w:val="0"/>
        </w:numPr>
        <w:ind w:left="432" w:hanging="432"/>
      </w:pPr>
      <w:bookmarkStart w:id="1" w:name="_Toc93390260"/>
      <w:bookmarkStart w:id="2" w:name="_Toc422297117"/>
      <w:r w:rsidRPr="00877179">
        <w:t>Table des matières</w:t>
      </w:r>
      <w:bookmarkEnd w:id="1"/>
    </w:p>
    <w:p w14:paraId="3C07F3D5" w14:textId="0AB6AA91" w:rsidR="009A6FEC" w:rsidRDefault="00A917F6">
      <w:pPr>
        <w:pStyle w:val="TOC1"/>
        <w:rPr>
          <w:rFonts w:eastAsiaTheme="minorEastAsia"/>
          <w:noProof/>
          <w:color w:val="auto"/>
          <w:sz w:val="22"/>
          <w:szCs w:val="22"/>
          <w:lang w:eastAsia="fr-FR"/>
        </w:rPr>
      </w:pPr>
      <w:r>
        <w:rPr>
          <w:b/>
          <w:bCs/>
        </w:rPr>
        <w:fldChar w:fldCharType="begin"/>
      </w:r>
      <w:r>
        <w:rPr>
          <w:b/>
          <w:bCs/>
        </w:rPr>
        <w:instrText xml:space="preserve"> TOC \o "1-3" \h \z \u </w:instrText>
      </w:r>
      <w:r>
        <w:rPr>
          <w:b/>
          <w:bCs/>
        </w:rPr>
        <w:fldChar w:fldCharType="separate"/>
      </w:r>
      <w:hyperlink w:anchor="_Toc93390260" w:history="1">
        <w:r w:rsidR="009A6FEC" w:rsidRPr="00F91BFA">
          <w:rPr>
            <w:rStyle w:val="Hyperlink"/>
            <w:noProof/>
          </w:rPr>
          <w:t>Table des matières</w:t>
        </w:r>
        <w:r w:rsidR="009A6FEC">
          <w:rPr>
            <w:noProof/>
            <w:webHidden/>
          </w:rPr>
          <w:tab/>
        </w:r>
        <w:r w:rsidR="009A6FEC">
          <w:rPr>
            <w:noProof/>
            <w:webHidden/>
          </w:rPr>
          <w:fldChar w:fldCharType="begin"/>
        </w:r>
        <w:r w:rsidR="009A6FEC">
          <w:rPr>
            <w:noProof/>
            <w:webHidden/>
          </w:rPr>
          <w:instrText xml:space="preserve"> PAGEREF _Toc93390260 \h </w:instrText>
        </w:r>
        <w:r w:rsidR="009A6FEC">
          <w:rPr>
            <w:noProof/>
            <w:webHidden/>
          </w:rPr>
        </w:r>
        <w:r w:rsidR="009A6FEC">
          <w:rPr>
            <w:noProof/>
            <w:webHidden/>
          </w:rPr>
          <w:fldChar w:fldCharType="separate"/>
        </w:r>
        <w:r w:rsidR="009F0282">
          <w:rPr>
            <w:noProof/>
            <w:webHidden/>
          </w:rPr>
          <w:t>i</w:t>
        </w:r>
        <w:r w:rsidR="009A6FEC">
          <w:rPr>
            <w:noProof/>
            <w:webHidden/>
          </w:rPr>
          <w:fldChar w:fldCharType="end"/>
        </w:r>
      </w:hyperlink>
    </w:p>
    <w:p w14:paraId="1821F8E4" w14:textId="71FDA9FA" w:rsidR="009A6FEC" w:rsidRDefault="00B455B7">
      <w:pPr>
        <w:pStyle w:val="TOC1"/>
        <w:rPr>
          <w:rFonts w:eastAsiaTheme="minorEastAsia"/>
          <w:noProof/>
          <w:color w:val="auto"/>
          <w:sz w:val="22"/>
          <w:szCs w:val="22"/>
          <w:lang w:eastAsia="fr-FR"/>
        </w:rPr>
      </w:pPr>
      <w:hyperlink w:anchor="_Toc93390261" w:history="1">
        <w:r w:rsidR="009A6FEC" w:rsidRPr="00F91BFA">
          <w:rPr>
            <w:rStyle w:val="Hyperlink"/>
            <w:noProof/>
          </w:rPr>
          <w:t>Tableaux</w:t>
        </w:r>
        <w:r w:rsidR="009A6FEC">
          <w:rPr>
            <w:noProof/>
            <w:webHidden/>
          </w:rPr>
          <w:tab/>
        </w:r>
        <w:r w:rsidR="009A6FEC">
          <w:rPr>
            <w:noProof/>
            <w:webHidden/>
          </w:rPr>
          <w:fldChar w:fldCharType="begin"/>
        </w:r>
        <w:r w:rsidR="009A6FEC">
          <w:rPr>
            <w:noProof/>
            <w:webHidden/>
          </w:rPr>
          <w:instrText xml:space="preserve"> PAGEREF _Toc93390261 \h </w:instrText>
        </w:r>
        <w:r w:rsidR="009A6FEC">
          <w:rPr>
            <w:noProof/>
            <w:webHidden/>
          </w:rPr>
        </w:r>
        <w:r w:rsidR="009A6FEC">
          <w:rPr>
            <w:noProof/>
            <w:webHidden/>
          </w:rPr>
          <w:fldChar w:fldCharType="separate"/>
        </w:r>
        <w:r w:rsidR="009F0282">
          <w:rPr>
            <w:noProof/>
            <w:webHidden/>
          </w:rPr>
          <w:t>iii</w:t>
        </w:r>
        <w:r w:rsidR="009A6FEC">
          <w:rPr>
            <w:noProof/>
            <w:webHidden/>
          </w:rPr>
          <w:fldChar w:fldCharType="end"/>
        </w:r>
      </w:hyperlink>
    </w:p>
    <w:p w14:paraId="6A55F361" w14:textId="53CC0FD4" w:rsidR="009A6FEC" w:rsidRDefault="00B455B7">
      <w:pPr>
        <w:pStyle w:val="TOC1"/>
        <w:rPr>
          <w:rFonts w:eastAsiaTheme="minorEastAsia"/>
          <w:noProof/>
          <w:color w:val="auto"/>
          <w:sz w:val="22"/>
          <w:szCs w:val="22"/>
          <w:lang w:eastAsia="fr-FR"/>
        </w:rPr>
      </w:pPr>
      <w:hyperlink w:anchor="_Toc93390262" w:history="1">
        <w:r w:rsidR="009A6FEC" w:rsidRPr="00F91BFA">
          <w:rPr>
            <w:rStyle w:val="Hyperlink"/>
            <w:noProof/>
          </w:rPr>
          <w:t>Figures</w:t>
        </w:r>
        <w:r w:rsidR="009A6FEC">
          <w:rPr>
            <w:noProof/>
            <w:webHidden/>
          </w:rPr>
          <w:tab/>
        </w:r>
        <w:r w:rsidR="009A6FEC">
          <w:rPr>
            <w:noProof/>
            <w:webHidden/>
          </w:rPr>
          <w:fldChar w:fldCharType="begin"/>
        </w:r>
        <w:r w:rsidR="009A6FEC">
          <w:rPr>
            <w:noProof/>
            <w:webHidden/>
          </w:rPr>
          <w:instrText xml:space="preserve"> PAGEREF _Toc93390262 \h </w:instrText>
        </w:r>
        <w:r w:rsidR="009A6FEC">
          <w:rPr>
            <w:noProof/>
            <w:webHidden/>
          </w:rPr>
        </w:r>
        <w:r w:rsidR="009A6FEC">
          <w:rPr>
            <w:noProof/>
            <w:webHidden/>
          </w:rPr>
          <w:fldChar w:fldCharType="separate"/>
        </w:r>
        <w:r w:rsidR="009F0282">
          <w:rPr>
            <w:noProof/>
            <w:webHidden/>
          </w:rPr>
          <w:t>iv</w:t>
        </w:r>
        <w:r w:rsidR="009A6FEC">
          <w:rPr>
            <w:noProof/>
            <w:webHidden/>
          </w:rPr>
          <w:fldChar w:fldCharType="end"/>
        </w:r>
      </w:hyperlink>
    </w:p>
    <w:p w14:paraId="7E66C50C" w14:textId="454C71AC" w:rsidR="009A6FEC" w:rsidRDefault="00B455B7">
      <w:pPr>
        <w:pStyle w:val="TOC1"/>
        <w:rPr>
          <w:rFonts w:eastAsiaTheme="minorEastAsia"/>
          <w:noProof/>
          <w:color w:val="auto"/>
          <w:sz w:val="22"/>
          <w:szCs w:val="22"/>
          <w:lang w:eastAsia="fr-FR"/>
        </w:rPr>
      </w:pPr>
      <w:hyperlink w:anchor="_Toc93390263" w:history="1">
        <w:r w:rsidR="009A6FEC" w:rsidRPr="00F91BFA">
          <w:rPr>
            <w:rStyle w:val="Hyperlink"/>
            <w:noProof/>
          </w:rPr>
          <w:t>Acronymes</w:t>
        </w:r>
        <w:r w:rsidR="009A6FEC">
          <w:rPr>
            <w:noProof/>
            <w:webHidden/>
          </w:rPr>
          <w:tab/>
        </w:r>
        <w:r w:rsidR="009A6FEC">
          <w:rPr>
            <w:noProof/>
            <w:webHidden/>
          </w:rPr>
          <w:fldChar w:fldCharType="begin"/>
        </w:r>
        <w:r w:rsidR="009A6FEC">
          <w:rPr>
            <w:noProof/>
            <w:webHidden/>
          </w:rPr>
          <w:instrText xml:space="preserve"> PAGEREF _Toc93390263 \h </w:instrText>
        </w:r>
        <w:r w:rsidR="009A6FEC">
          <w:rPr>
            <w:noProof/>
            <w:webHidden/>
          </w:rPr>
        </w:r>
        <w:r w:rsidR="009A6FEC">
          <w:rPr>
            <w:noProof/>
            <w:webHidden/>
          </w:rPr>
          <w:fldChar w:fldCharType="separate"/>
        </w:r>
        <w:r w:rsidR="009F0282">
          <w:rPr>
            <w:noProof/>
            <w:webHidden/>
          </w:rPr>
          <w:t>5</w:t>
        </w:r>
        <w:r w:rsidR="009A6FEC">
          <w:rPr>
            <w:noProof/>
            <w:webHidden/>
          </w:rPr>
          <w:fldChar w:fldCharType="end"/>
        </w:r>
      </w:hyperlink>
    </w:p>
    <w:p w14:paraId="47A26461" w14:textId="7D09F934" w:rsidR="009A6FEC" w:rsidRDefault="00B455B7">
      <w:pPr>
        <w:pStyle w:val="TOC1"/>
        <w:rPr>
          <w:rFonts w:eastAsiaTheme="minorEastAsia"/>
          <w:noProof/>
          <w:color w:val="auto"/>
          <w:sz w:val="22"/>
          <w:szCs w:val="22"/>
          <w:lang w:eastAsia="fr-FR"/>
        </w:rPr>
      </w:pPr>
      <w:hyperlink w:anchor="_Toc93390264" w:history="1">
        <w:r w:rsidR="009A6FEC" w:rsidRPr="00F91BFA">
          <w:rPr>
            <w:rStyle w:val="Hyperlink"/>
            <w:noProof/>
          </w:rPr>
          <w:t>Résumé exécutif</w:t>
        </w:r>
        <w:r w:rsidR="009A6FEC">
          <w:rPr>
            <w:noProof/>
            <w:webHidden/>
          </w:rPr>
          <w:tab/>
        </w:r>
        <w:r w:rsidR="009A6FEC">
          <w:rPr>
            <w:noProof/>
            <w:webHidden/>
          </w:rPr>
          <w:fldChar w:fldCharType="begin"/>
        </w:r>
        <w:r w:rsidR="009A6FEC">
          <w:rPr>
            <w:noProof/>
            <w:webHidden/>
          </w:rPr>
          <w:instrText xml:space="preserve"> PAGEREF _Toc93390264 \h </w:instrText>
        </w:r>
        <w:r w:rsidR="009A6FEC">
          <w:rPr>
            <w:noProof/>
            <w:webHidden/>
          </w:rPr>
        </w:r>
        <w:r w:rsidR="009A6FEC">
          <w:rPr>
            <w:noProof/>
            <w:webHidden/>
          </w:rPr>
          <w:fldChar w:fldCharType="separate"/>
        </w:r>
        <w:r w:rsidR="009F0282">
          <w:rPr>
            <w:noProof/>
            <w:webHidden/>
          </w:rPr>
          <w:t>7</w:t>
        </w:r>
        <w:r w:rsidR="009A6FEC">
          <w:rPr>
            <w:noProof/>
            <w:webHidden/>
          </w:rPr>
          <w:fldChar w:fldCharType="end"/>
        </w:r>
      </w:hyperlink>
    </w:p>
    <w:p w14:paraId="3BF1C35E" w14:textId="17D83669" w:rsidR="009A6FEC" w:rsidRDefault="00B455B7">
      <w:pPr>
        <w:pStyle w:val="TOC1"/>
        <w:rPr>
          <w:rFonts w:eastAsiaTheme="minorEastAsia"/>
          <w:noProof/>
          <w:color w:val="auto"/>
          <w:sz w:val="22"/>
          <w:szCs w:val="22"/>
          <w:lang w:eastAsia="fr-FR"/>
        </w:rPr>
      </w:pPr>
      <w:hyperlink w:anchor="_Toc93390265" w:history="1">
        <w:r w:rsidR="009A6FEC" w:rsidRPr="00F91BFA">
          <w:rPr>
            <w:rStyle w:val="Hyperlink"/>
            <w:noProof/>
          </w:rPr>
          <w:t>Introduction</w:t>
        </w:r>
        <w:r w:rsidR="009A6FEC">
          <w:rPr>
            <w:noProof/>
            <w:webHidden/>
          </w:rPr>
          <w:tab/>
        </w:r>
        <w:r w:rsidR="009A6FEC">
          <w:rPr>
            <w:noProof/>
            <w:webHidden/>
          </w:rPr>
          <w:fldChar w:fldCharType="begin"/>
        </w:r>
        <w:r w:rsidR="009A6FEC">
          <w:rPr>
            <w:noProof/>
            <w:webHidden/>
          </w:rPr>
          <w:instrText xml:space="preserve"> PAGEREF _Toc93390265 \h </w:instrText>
        </w:r>
        <w:r w:rsidR="009A6FEC">
          <w:rPr>
            <w:noProof/>
            <w:webHidden/>
          </w:rPr>
        </w:r>
        <w:r w:rsidR="009A6FEC">
          <w:rPr>
            <w:noProof/>
            <w:webHidden/>
          </w:rPr>
          <w:fldChar w:fldCharType="separate"/>
        </w:r>
        <w:r w:rsidR="009F0282">
          <w:rPr>
            <w:noProof/>
            <w:webHidden/>
          </w:rPr>
          <w:t>8</w:t>
        </w:r>
        <w:r w:rsidR="009A6FEC">
          <w:rPr>
            <w:noProof/>
            <w:webHidden/>
          </w:rPr>
          <w:fldChar w:fldCharType="end"/>
        </w:r>
      </w:hyperlink>
    </w:p>
    <w:p w14:paraId="44E0B6BA" w14:textId="026DB928" w:rsidR="009A6FEC" w:rsidRDefault="00B455B7">
      <w:pPr>
        <w:pStyle w:val="TOC1"/>
        <w:rPr>
          <w:rFonts w:eastAsiaTheme="minorEastAsia"/>
          <w:noProof/>
          <w:color w:val="auto"/>
          <w:sz w:val="22"/>
          <w:szCs w:val="22"/>
          <w:lang w:eastAsia="fr-FR"/>
        </w:rPr>
      </w:pPr>
      <w:hyperlink w:anchor="_Toc93390266" w:history="1">
        <w:r w:rsidR="009A6FEC" w:rsidRPr="00F91BFA">
          <w:rPr>
            <w:rStyle w:val="Hyperlink"/>
            <w:noProof/>
          </w:rPr>
          <w:t>1</w:t>
        </w:r>
        <w:r w:rsidR="009A6FEC">
          <w:rPr>
            <w:rFonts w:eastAsiaTheme="minorEastAsia"/>
            <w:noProof/>
            <w:color w:val="auto"/>
            <w:sz w:val="22"/>
            <w:szCs w:val="22"/>
            <w:lang w:eastAsia="fr-FR"/>
          </w:rPr>
          <w:tab/>
        </w:r>
        <w:r w:rsidR="009A6FEC" w:rsidRPr="00F91BFA">
          <w:rPr>
            <w:rStyle w:val="Hyperlink"/>
            <w:noProof/>
          </w:rPr>
          <w:t>Analyse de l’offre de financement des projets de territoire</w:t>
        </w:r>
        <w:r w:rsidR="009A6FEC">
          <w:rPr>
            <w:noProof/>
            <w:webHidden/>
          </w:rPr>
          <w:tab/>
        </w:r>
        <w:r w:rsidR="009A6FEC">
          <w:rPr>
            <w:noProof/>
            <w:webHidden/>
          </w:rPr>
          <w:fldChar w:fldCharType="begin"/>
        </w:r>
        <w:r w:rsidR="009A6FEC">
          <w:rPr>
            <w:noProof/>
            <w:webHidden/>
          </w:rPr>
          <w:instrText xml:space="preserve"> PAGEREF _Toc93390266 \h </w:instrText>
        </w:r>
        <w:r w:rsidR="009A6FEC">
          <w:rPr>
            <w:noProof/>
            <w:webHidden/>
          </w:rPr>
        </w:r>
        <w:r w:rsidR="009A6FEC">
          <w:rPr>
            <w:noProof/>
            <w:webHidden/>
          </w:rPr>
          <w:fldChar w:fldCharType="separate"/>
        </w:r>
        <w:r w:rsidR="009F0282">
          <w:rPr>
            <w:noProof/>
            <w:webHidden/>
          </w:rPr>
          <w:t>11</w:t>
        </w:r>
        <w:r w:rsidR="009A6FEC">
          <w:rPr>
            <w:noProof/>
            <w:webHidden/>
          </w:rPr>
          <w:fldChar w:fldCharType="end"/>
        </w:r>
      </w:hyperlink>
    </w:p>
    <w:p w14:paraId="7BCEE5A4" w14:textId="4664D6D3" w:rsidR="009A6FEC" w:rsidRDefault="00B455B7">
      <w:pPr>
        <w:pStyle w:val="TOC2"/>
        <w:rPr>
          <w:rFonts w:eastAsiaTheme="minorEastAsia"/>
          <w:color w:val="auto"/>
          <w:sz w:val="22"/>
          <w:szCs w:val="22"/>
          <w:lang w:eastAsia="fr-FR"/>
        </w:rPr>
      </w:pPr>
      <w:hyperlink w:anchor="_Toc93390267" w:history="1">
        <w:r w:rsidR="009A6FEC" w:rsidRPr="00F91BFA">
          <w:rPr>
            <w:rStyle w:val="Hyperlink"/>
          </w:rPr>
          <w:t>1.1</w:t>
        </w:r>
        <w:r w:rsidR="009A6FEC">
          <w:rPr>
            <w:rFonts w:eastAsiaTheme="minorEastAsia"/>
            <w:color w:val="auto"/>
            <w:sz w:val="22"/>
            <w:szCs w:val="22"/>
            <w:lang w:eastAsia="fr-FR"/>
          </w:rPr>
          <w:tab/>
        </w:r>
        <w:r w:rsidR="009A6FEC" w:rsidRPr="00F91BFA">
          <w:rPr>
            <w:rStyle w:val="Hyperlink"/>
          </w:rPr>
          <w:t>Financement des énergies renouvelables</w:t>
        </w:r>
        <w:r w:rsidR="009A6FEC">
          <w:rPr>
            <w:webHidden/>
          </w:rPr>
          <w:tab/>
        </w:r>
        <w:r w:rsidR="009A6FEC">
          <w:rPr>
            <w:webHidden/>
          </w:rPr>
          <w:fldChar w:fldCharType="begin"/>
        </w:r>
        <w:r w:rsidR="009A6FEC">
          <w:rPr>
            <w:webHidden/>
          </w:rPr>
          <w:instrText xml:space="preserve"> PAGEREF _Toc93390267 \h </w:instrText>
        </w:r>
        <w:r w:rsidR="009A6FEC">
          <w:rPr>
            <w:webHidden/>
          </w:rPr>
        </w:r>
        <w:r w:rsidR="009A6FEC">
          <w:rPr>
            <w:webHidden/>
          </w:rPr>
          <w:fldChar w:fldCharType="separate"/>
        </w:r>
        <w:r w:rsidR="009F0282">
          <w:rPr>
            <w:webHidden/>
          </w:rPr>
          <w:t>11</w:t>
        </w:r>
        <w:r w:rsidR="009A6FEC">
          <w:rPr>
            <w:webHidden/>
          </w:rPr>
          <w:fldChar w:fldCharType="end"/>
        </w:r>
      </w:hyperlink>
    </w:p>
    <w:p w14:paraId="4B4CD03E" w14:textId="25922556" w:rsidR="009A6FEC" w:rsidRDefault="00B455B7">
      <w:pPr>
        <w:pStyle w:val="TOC3"/>
        <w:rPr>
          <w:rFonts w:eastAsiaTheme="minorEastAsia"/>
          <w:color w:val="auto"/>
          <w:sz w:val="22"/>
          <w:szCs w:val="22"/>
          <w:lang w:eastAsia="fr-FR"/>
        </w:rPr>
      </w:pPr>
      <w:hyperlink w:anchor="_Toc93390268" w:history="1">
        <w:r w:rsidR="009A6FEC" w:rsidRPr="00F91BFA">
          <w:rPr>
            <w:rStyle w:val="Hyperlink"/>
          </w:rPr>
          <w:t>1.1.1</w:t>
        </w:r>
        <w:r w:rsidR="009A6FEC">
          <w:rPr>
            <w:rFonts w:eastAsiaTheme="minorEastAsia"/>
            <w:color w:val="auto"/>
            <w:sz w:val="22"/>
            <w:szCs w:val="22"/>
            <w:lang w:eastAsia="fr-FR"/>
          </w:rPr>
          <w:tab/>
        </w:r>
        <w:r w:rsidR="009A6FEC" w:rsidRPr="00F91BFA">
          <w:rPr>
            <w:rStyle w:val="Hyperlink"/>
          </w:rPr>
          <w:t>Description de l’offre de financement des EnR</w:t>
        </w:r>
        <w:r w:rsidR="009A6FEC">
          <w:rPr>
            <w:webHidden/>
          </w:rPr>
          <w:tab/>
        </w:r>
        <w:r w:rsidR="009A6FEC">
          <w:rPr>
            <w:webHidden/>
          </w:rPr>
          <w:fldChar w:fldCharType="begin"/>
        </w:r>
        <w:r w:rsidR="009A6FEC">
          <w:rPr>
            <w:webHidden/>
          </w:rPr>
          <w:instrText xml:space="preserve"> PAGEREF _Toc93390268 \h </w:instrText>
        </w:r>
        <w:r w:rsidR="009A6FEC">
          <w:rPr>
            <w:webHidden/>
          </w:rPr>
        </w:r>
        <w:r w:rsidR="009A6FEC">
          <w:rPr>
            <w:webHidden/>
          </w:rPr>
          <w:fldChar w:fldCharType="separate"/>
        </w:r>
        <w:r w:rsidR="009F0282">
          <w:rPr>
            <w:webHidden/>
          </w:rPr>
          <w:t>12</w:t>
        </w:r>
        <w:r w:rsidR="009A6FEC">
          <w:rPr>
            <w:webHidden/>
          </w:rPr>
          <w:fldChar w:fldCharType="end"/>
        </w:r>
      </w:hyperlink>
    </w:p>
    <w:p w14:paraId="5CDDCA8A" w14:textId="72AF2610" w:rsidR="009A6FEC" w:rsidRDefault="00B455B7">
      <w:pPr>
        <w:pStyle w:val="TOC3"/>
        <w:rPr>
          <w:rFonts w:eastAsiaTheme="minorEastAsia"/>
          <w:color w:val="auto"/>
          <w:sz w:val="22"/>
          <w:szCs w:val="22"/>
          <w:lang w:eastAsia="fr-FR"/>
        </w:rPr>
      </w:pPr>
      <w:hyperlink w:anchor="_Toc93390269" w:history="1">
        <w:r w:rsidR="009A6FEC" w:rsidRPr="00F91BFA">
          <w:rPr>
            <w:rStyle w:val="Hyperlink"/>
          </w:rPr>
          <w:t>1.1.2</w:t>
        </w:r>
        <w:r w:rsidR="009A6FEC">
          <w:rPr>
            <w:rFonts w:eastAsiaTheme="minorEastAsia"/>
            <w:color w:val="auto"/>
            <w:sz w:val="22"/>
            <w:szCs w:val="22"/>
            <w:lang w:eastAsia="fr-FR"/>
          </w:rPr>
          <w:tab/>
        </w:r>
        <w:r w:rsidR="009A6FEC" w:rsidRPr="00F91BFA">
          <w:rPr>
            <w:rStyle w:val="Hyperlink"/>
          </w:rPr>
          <w:t>Bilan de l’offre de financement des EnR</w:t>
        </w:r>
        <w:r w:rsidR="009A6FEC">
          <w:rPr>
            <w:webHidden/>
          </w:rPr>
          <w:tab/>
        </w:r>
        <w:r w:rsidR="009A6FEC">
          <w:rPr>
            <w:webHidden/>
          </w:rPr>
          <w:fldChar w:fldCharType="begin"/>
        </w:r>
        <w:r w:rsidR="009A6FEC">
          <w:rPr>
            <w:webHidden/>
          </w:rPr>
          <w:instrText xml:space="preserve"> PAGEREF _Toc93390269 \h </w:instrText>
        </w:r>
        <w:r w:rsidR="009A6FEC">
          <w:rPr>
            <w:webHidden/>
          </w:rPr>
        </w:r>
        <w:r w:rsidR="009A6FEC">
          <w:rPr>
            <w:webHidden/>
          </w:rPr>
          <w:fldChar w:fldCharType="separate"/>
        </w:r>
        <w:r w:rsidR="009F0282">
          <w:rPr>
            <w:webHidden/>
          </w:rPr>
          <w:t>28</w:t>
        </w:r>
        <w:r w:rsidR="009A6FEC">
          <w:rPr>
            <w:webHidden/>
          </w:rPr>
          <w:fldChar w:fldCharType="end"/>
        </w:r>
      </w:hyperlink>
    </w:p>
    <w:p w14:paraId="43AFFF2D" w14:textId="44541B24" w:rsidR="009A6FEC" w:rsidRDefault="00B455B7">
      <w:pPr>
        <w:pStyle w:val="TOC2"/>
        <w:rPr>
          <w:rFonts w:eastAsiaTheme="minorEastAsia"/>
          <w:color w:val="auto"/>
          <w:sz w:val="22"/>
          <w:szCs w:val="22"/>
          <w:lang w:eastAsia="fr-FR"/>
        </w:rPr>
      </w:pPr>
      <w:hyperlink w:anchor="_Toc93390270" w:history="1">
        <w:r w:rsidR="009A6FEC" w:rsidRPr="00F91BFA">
          <w:rPr>
            <w:rStyle w:val="Hyperlink"/>
          </w:rPr>
          <w:t>1.2</w:t>
        </w:r>
        <w:r w:rsidR="009A6FEC">
          <w:rPr>
            <w:rFonts w:eastAsiaTheme="minorEastAsia"/>
            <w:color w:val="auto"/>
            <w:sz w:val="22"/>
            <w:szCs w:val="22"/>
            <w:lang w:eastAsia="fr-FR"/>
          </w:rPr>
          <w:tab/>
        </w:r>
        <w:r w:rsidR="009A6FEC" w:rsidRPr="00F91BFA">
          <w:rPr>
            <w:rStyle w:val="Hyperlink"/>
          </w:rPr>
          <w:t>Financement de la rénovation énergétique des bâtiments</w:t>
        </w:r>
        <w:r w:rsidR="009A6FEC">
          <w:rPr>
            <w:webHidden/>
          </w:rPr>
          <w:tab/>
        </w:r>
        <w:r w:rsidR="009A6FEC">
          <w:rPr>
            <w:webHidden/>
          </w:rPr>
          <w:fldChar w:fldCharType="begin"/>
        </w:r>
        <w:r w:rsidR="009A6FEC">
          <w:rPr>
            <w:webHidden/>
          </w:rPr>
          <w:instrText xml:space="preserve"> PAGEREF _Toc93390270 \h </w:instrText>
        </w:r>
        <w:r w:rsidR="009A6FEC">
          <w:rPr>
            <w:webHidden/>
          </w:rPr>
        </w:r>
        <w:r w:rsidR="009A6FEC">
          <w:rPr>
            <w:webHidden/>
          </w:rPr>
          <w:fldChar w:fldCharType="separate"/>
        </w:r>
        <w:r w:rsidR="009F0282">
          <w:rPr>
            <w:webHidden/>
          </w:rPr>
          <w:t>30</w:t>
        </w:r>
        <w:r w:rsidR="009A6FEC">
          <w:rPr>
            <w:webHidden/>
          </w:rPr>
          <w:fldChar w:fldCharType="end"/>
        </w:r>
      </w:hyperlink>
    </w:p>
    <w:p w14:paraId="51DD4287" w14:textId="69A1FA22" w:rsidR="009A6FEC" w:rsidRDefault="00B455B7">
      <w:pPr>
        <w:pStyle w:val="TOC3"/>
        <w:rPr>
          <w:rFonts w:eastAsiaTheme="minorEastAsia"/>
          <w:color w:val="auto"/>
          <w:sz w:val="22"/>
          <w:szCs w:val="22"/>
          <w:lang w:eastAsia="fr-FR"/>
        </w:rPr>
      </w:pPr>
      <w:hyperlink w:anchor="_Toc93390271" w:history="1">
        <w:r w:rsidR="009A6FEC" w:rsidRPr="00F91BFA">
          <w:rPr>
            <w:rStyle w:val="Hyperlink"/>
          </w:rPr>
          <w:t>1.2.1</w:t>
        </w:r>
        <w:r w:rsidR="009A6FEC">
          <w:rPr>
            <w:rFonts w:eastAsiaTheme="minorEastAsia"/>
            <w:color w:val="auto"/>
            <w:sz w:val="22"/>
            <w:szCs w:val="22"/>
            <w:lang w:eastAsia="fr-FR"/>
          </w:rPr>
          <w:tab/>
        </w:r>
        <w:r w:rsidR="009A6FEC" w:rsidRPr="00F91BFA">
          <w:rPr>
            <w:rStyle w:val="Hyperlink"/>
          </w:rPr>
          <w:t>Le financement du bâti tertiaire public en Hauts-de-France</w:t>
        </w:r>
        <w:r w:rsidR="009A6FEC">
          <w:rPr>
            <w:webHidden/>
          </w:rPr>
          <w:tab/>
        </w:r>
        <w:r w:rsidR="009A6FEC">
          <w:rPr>
            <w:webHidden/>
          </w:rPr>
          <w:fldChar w:fldCharType="begin"/>
        </w:r>
        <w:r w:rsidR="009A6FEC">
          <w:rPr>
            <w:webHidden/>
          </w:rPr>
          <w:instrText xml:space="preserve"> PAGEREF _Toc93390271 \h </w:instrText>
        </w:r>
        <w:r w:rsidR="009A6FEC">
          <w:rPr>
            <w:webHidden/>
          </w:rPr>
        </w:r>
        <w:r w:rsidR="009A6FEC">
          <w:rPr>
            <w:webHidden/>
          </w:rPr>
          <w:fldChar w:fldCharType="separate"/>
        </w:r>
        <w:r w:rsidR="009F0282">
          <w:rPr>
            <w:webHidden/>
          </w:rPr>
          <w:t>30</w:t>
        </w:r>
        <w:r w:rsidR="009A6FEC">
          <w:rPr>
            <w:webHidden/>
          </w:rPr>
          <w:fldChar w:fldCharType="end"/>
        </w:r>
      </w:hyperlink>
    </w:p>
    <w:p w14:paraId="304E2570" w14:textId="0605E430" w:rsidR="009A6FEC" w:rsidRDefault="00B455B7">
      <w:pPr>
        <w:pStyle w:val="TOC3"/>
        <w:rPr>
          <w:rFonts w:eastAsiaTheme="minorEastAsia"/>
          <w:color w:val="auto"/>
          <w:sz w:val="22"/>
          <w:szCs w:val="22"/>
          <w:lang w:eastAsia="fr-FR"/>
        </w:rPr>
      </w:pPr>
      <w:hyperlink w:anchor="_Toc93390272" w:history="1">
        <w:r w:rsidR="009A6FEC" w:rsidRPr="00F91BFA">
          <w:rPr>
            <w:rStyle w:val="Hyperlink"/>
          </w:rPr>
          <w:t>1.2.2</w:t>
        </w:r>
        <w:r w:rsidR="009A6FEC">
          <w:rPr>
            <w:rFonts w:eastAsiaTheme="minorEastAsia"/>
            <w:color w:val="auto"/>
            <w:sz w:val="22"/>
            <w:szCs w:val="22"/>
            <w:lang w:eastAsia="fr-FR"/>
          </w:rPr>
          <w:tab/>
        </w:r>
        <w:r w:rsidR="009A6FEC" w:rsidRPr="00F91BFA">
          <w:rPr>
            <w:rStyle w:val="Hyperlink"/>
          </w:rPr>
          <w:t>Le financement du bâti résidentiel social en Hauts-de-France</w:t>
        </w:r>
        <w:r w:rsidR="009A6FEC">
          <w:rPr>
            <w:webHidden/>
          </w:rPr>
          <w:tab/>
        </w:r>
        <w:r w:rsidR="009A6FEC">
          <w:rPr>
            <w:webHidden/>
          </w:rPr>
          <w:fldChar w:fldCharType="begin"/>
        </w:r>
        <w:r w:rsidR="009A6FEC">
          <w:rPr>
            <w:webHidden/>
          </w:rPr>
          <w:instrText xml:space="preserve"> PAGEREF _Toc93390272 \h </w:instrText>
        </w:r>
        <w:r w:rsidR="009A6FEC">
          <w:rPr>
            <w:webHidden/>
          </w:rPr>
        </w:r>
        <w:r w:rsidR="009A6FEC">
          <w:rPr>
            <w:webHidden/>
          </w:rPr>
          <w:fldChar w:fldCharType="separate"/>
        </w:r>
        <w:r w:rsidR="009F0282">
          <w:rPr>
            <w:webHidden/>
          </w:rPr>
          <w:t>33</w:t>
        </w:r>
        <w:r w:rsidR="009A6FEC">
          <w:rPr>
            <w:webHidden/>
          </w:rPr>
          <w:fldChar w:fldCharType="end"/>
        </w:r>
      </w:hyperlink>
    </w:p>
    <w:p w14:paraId="40FEFED9" w14:textId="2D8CB9A6" w:rsidR="009A6FEC" w:rsidRDefault="00B455B7">
      <w:pPr>
        <w:pStyle w:val="TOC3"/>
        <w:rPr>
          <w:rFonts w:eastAsiaTheme="minorEastAsia"/>
          <w:color w:val="auto"/>
          <w:sz w:val="22"/>
          <w:szCs w:val="22"/>
          <w:lang w:eastAsia="fr-FR"/>
        </w:rPr>
      </w:pPr>
      <w:hyperlink w:anchor="_Toc93390273" w:history="1">
        <w:r w:rsidR="009A6FEC" w:rsidRPr="00F91BFA">
          <w:rPr>
            <w:rStyle w:val="Hyperlink"/>
          </w:rPr>
          <w:t>1.2.3</w:t>
        </w:r>
        <w:r w:rsidR="009A6FEC">
          <w:rPr>
            <w:rFonts w:eastAsiaTheme="minorEastAsia"/>
            <w:color w:val="auto"/>
            <w:sz w:val="22"/>
            <w:szCs w:val="22"/>
            <w:lang w:eastAsia="fr-FR"/>
          </w:rPr>
          <w:tab/>
        </w:r>
        <w:r w:rsidR="009A6FEC" w:rsidRPr="00F91BFA">
          <w:rPr>
            <w:rStyle w:val="Hyperlink"/>
          </w:rPr>
          <w:t>Le financement du bâti résidentiel privé en Hauts-de-France</w:t>
        </w:r>
        <w:r w:rsidR="009A6FEC">
          <w:rPr>
            <w:webHidden/>
          </w:rPr>
          <w:tab/>
        </w:r>
        <w:r w:rsidR="009A6FEC">
          <w:rPr>
            <w:webHidden/>
          </w:rPr>
          <w:fldChar w:fldCharType="begin"/>
        </w:r>
        <w:r w:rsidR="009A6FEC">
          <w:rPr>
            <w:webHidden/>
          </w:rPr>
          <w:instrText xml:space="preserve"> PAGEREF _Toc93390273 \h </w:instrText>
        </w:r>
        <w:r w:rsidR="009A6FEC">
          <w:rPr>
            <w:webHidden/>
          </w:rPr>
        </w:r>
        <w:r w:rsidR="009A6FEC">
          <w:rPr>
            <w:webHidden/>
          </w:rPr>
          <w:fldChar w:fldCharType="separate"/>
        </w:r>
        <w:r w:rsidR="009F0282">
          <w:rPr>
            <w:webHidden/>
          </w:rPr>
          <w:t>35</w:t>
        </w:r>
        <w:r w:rsidR="009A6FEC">
          <w:rPr>
            <w:webHidden/>
          </w:rPr>
          <w:fldChar w:fldCharType="end"/>
        </w:r>
      </w:hyperlink>
    </w:p>
    <w:p w14:paraId="11839769" w14:textId="2B0FC641" w:rsidR="009A6FEC" w:rsidRDefault="00B455B7">
      <w:pPr>
        <w:pStyle w:val="TOC3"/>
        <w:rPr>
          <w:rFonts w:eastAsiaTheme="minorEastAsia"/>
          <w:color w:val="auto"/>
          <w:sz w:val="22"/>
          <w:szCs w:val="22"/>
          <w:lang w:eastAsia="fr-FR"/>
        </w:rPr>
      </w:pPr>
      <w:hyperlink w:anchor="_Toc93390274" w:history="1">
        <w:r w:rsidR="009A6FEC" w:rsidRPr="00F91BFA">
          <w:rPr>
            <w:rStyle w:val="Hyperlink"/>
          </w:rPr>
          <w:t>1.2.4</w:t>
        </w:r>
        <w:r w:rsidR="009A6FEC">
          <w:rPr>
            <w:rFonts w:eastAsiaTheme="minorEastAsia"/>
            <w:color w:val="auto"/>
            <w:sz w:val="22"/>
            <w:szCs w:val="22"/>
            <w:lang w:eastAsia="fr-FR"/>
          </w:rPr>
          <w:tab/>
        </w:r>
        <w:r w:rsidR="009A6FEC" w:rsidRPr="00F91BFA">
          <w:rPr>
            <w:rStyle w:val="Hyperlink"/>
          </w:rPr>
          <w:t>Bilan de l’offre de financement de l’efficacité énergétique</w:t>
        </w:r>
        <w:r w:rsidR="009A6FEC">
          <w:rPr>
            <w:webHidden/>
          </w:rPr>
          <w:tab/>
        </w:r>
        <w:r w:rsidR="009A6FEC">
          <w:rPr>
            <w:webHidden/>
          </w:rPr>
          <w:fldChar w:fldCharType="begin"/>
        </w:r>
        <w:r w:rsidR="009A6FEC">
          <w:rPr>
            <w:webHidden/>
          </w:rPr>
          <w:instrText xml:space="preserve"> PAGEREF _Toc93390274 \h </w:instrText>
        </w:r>
        <w:r w:rsidR="009A6FEC">
          <w:rPr>
            <w:webHidden/>
          </w:rPr>
        </w:r>
        <w:r w:rsidR="009A6FEC">
          <w:rPr>
            <w:webHidden/>
          </w:rPr>
          <w:fldChar w:fldCharType="separate"/>
        </w:r>
        <w:r w:rsidR="009F0282">
          <w:rPr>
            <w:webHidden/>
          </w:rPr>
          <w:t>42</w:t>
        </w:r>
        <w:r w:rsidR="009A6FEC">
          <w:rPr>
            <w:webHidden/>
          </w:rPr>
          <w:fldChar w:fldCharType="end"/>
        </w:r>
      </w:hyperlink>
    </w:p>
    <w:p w14:paraId="0054630D" w14:textId="173563AA" w:rsidR="009A6FEC" w:rsidRDefault="00B455B7">
      <w:pPr>
        <w:pStyle w:val="TOC2"/>
        <w:rPr>
          <w:rFonts w:eastAsiaTheme="minorEastAsia"/>
          <w:color w:val="auto"/>
          <w:sz w:val="22"/>
          <w:szCs w:val="22"/>
          <w:lang w:eastAsia="fr-FR"/>
        </w:rPr>
      </w:pPr>
      <w:hyperlink w:anchor="_Toc93390275" w:history="1">
        <w:r w:rsidR="009A6FEC" w:rsidRPr="00F91BFA">
          <w:rPr>
            <w:rStyle w:val="Hyperlink"/>
          </w:rPr>
          <w:t>1.3</w:t>
        </w:r>
        <w:r w:rsidR="009A6FEC">
          <w:rPr>
            <w:rFonts w:eastAsiaTheme="minorEastAsia"/>
            <w:color w:val="auto"/>
            <w:sz w:val="22"/>
            <w:szCs w:val="22"/>
            <w:lang w:eastAsia="fr-FR"/>
          </w:rPr>
          <w:tab/>
        </w:r>
        <w:r w:rsidR="009A6FEC" w:rsidRPr="00F91BFA">
          <w:rPr>
            <w:rStyle w:val="Hyperlink"/>
          </w:rPr>
          <w:t>Financement du recyclage foncier (friches)</w:t>
        </w:r>
        <w:r w:rsidR="009A6FEC">
          <w:rPr>
            <w:webHidden/>
          </w:rPr>
          <w:tab/>
        </w:r>
        <w:r w:rsidR="009A6FEC">
          <w:rPr>
            <w:webHidden/>
          </w:rPr>
          <w:fldChar w:fldCharType="begin"/>
        </w:r>
        <w:r w:rsidR="009A6FEC">
          <w:rPr>
            <w:webHidden/>
          </w:rPr>
          <w:instrText xml:space="preserve"> PAGEREF _Toc93390275 \h </w:instrText>
        </w:r>
        <w:r w:rsidR="009A6FEC">
          <w:rPr>
            <w:webHidden/>
          </w:rPr>
        </w:r>
        <w:r w:rsidR="009A6FEC">
          <w:rPr>
            <w:webHidden/>
          </w:rPr>
          <w:fldChar w:fldCharType="separate"/>
        </w:r>
        <w:r w:rsidR="009F0282">
          <w:rPr>
            <w:webHidden/>
          </w:rPr>
          <w:t>44</w:t>
        </w:r>
        <w:r w:rsidR="009A6FEC">
          <w:rPr>
            <w:webHidden/>
          </w:rPr>
          <w:fldChar w:fldCharType="end"/>
        </w:r>
      </w:hyperlink>
    </w:p>
    <w:p w14:paraId="40689D46" w14:textId="763D1F23" w:rsidR="009A6FEC" w:rsidRDefault="00B455B7">
      <w:pPr>
        <w:pStyle w:val="TOC3"/>
        <w:rPr>
          <w:rFonts w:eastAsiaTheme="minorEastAsia"/>
          <w:color w:val="auto"/>
          <w:sz w:val="22"/>
          <w:szCs w:val="22"/>
          <w:lang w:eastAsia="fr-FR"/>
        </w:rPr>
      </w:pPr>
      <w:hyperlink w:anchor="_Toc93390276" w:history="1">
        <w:r w:rsidR="009A6FEC" w:rsidRPr="00F91BFA">
          <w:rPr>
            <w:rStyle w:val="Hyperlink"/>
          </w:rPr>
          <w:t>1.3.1</w:t>
        </w:r>
        <w:r w:rsidR="009A6FEC">
          <w:rPr>
            <w:rFonts w:eastAsiaTheme="minorEastAsia"/>
            <w:color w:val="auto"/>
            <w:sz w:val="22"/>
            <w:szCs w:val="22"/>
            <w:lang w:eastAsia="fr-FR"/>
          </w:rPr>
          <w:tab/>
        </w:r>
        <w:r w:rsidR="009A6FEC" w:rsidRPr="00F91BFA">
          <w:rPr>
            <w:rStyle w:val="Hyperlink"/>
          </w:rPr>
          <w:t>L’offre en subvention pour la réhabilitation de friches</w:t>
        </w:r>
        <w:r w:rsidR="009A6FEC">
          <w:rPr>
            <w:webHidden/>
          </w:rPr>
          <w:tab/>
        </w:r>
        <w:r w:rsidR="009A6FEC">
          <w:rPr>
            <w:webHidden/>
          </w:rPr>
          <w:fldChar w:fldCharType="begin"/>
        </w:r>
        <w:r w:rsidR="009A6FEC">
          <w:rPr>
            <w:webHidden/>
          </w:rPr>
          <w:instrText xml:space="preserve"> PAGEREF _Toc93390276 \h </w:instrText>
        </w:r>
        <w:r w:rsidR="009A6FEC">
          <w:rPr>
            <w:webHidden/>
          </w:rPr>
        </w:r>
        <w:r w:rsidR="009A6FEC">
          <w:rPr>
            <w:webHidden/>
          </w:rPr>
          <w:fldChar w:fldCharType="separate"/>
        </w:r>
        <w:r w:rsidR="009F0282">
          <w:rPr>
            <w:webHidden/>
          </w:rPr>
          <w:t>47</w:t>
        </w:r>
        <w:r w:rsidR="009A6FEC">
          <w:rPr>
            <w:webHidden/>
          </w:rPr>
          <w:fldChar w:fldCharType="end"/>
        </w:r>
      </w:hyperlink>
    </w:p>
    <w:p w14:paraId="08665F13" w14:textId="6B7E7857" w:rsidR="009A6FEC" w:rsidRDefault="00B455B7">
      <w:pPr>
        <w:pStyle w:val="TOC3"/>
        <w:rPr>
          <w:rFonts w:eastAsiaTheme="minorEastAsia"/>
          <w:color w:val="auto"/>
          <w:sz w:val="22"/>
          <w:szCs w:val="22"/>
          <w:lang w:eastAsia="fr-FR"/>
        </w:rPr>
      </w:pPr>
      <w:hyperlink w:anchor="_Toc93390277" w:history="1">
        <w:r w:rsidR="009A6FEC" w:rsidRPr="00F91BFA">
          <w:rPr>
            <w:rStyle w:val="Hyperlink"/>
          </w:rPr>
          <w:t>1.3.2</w:t>
        </w:r>
        <w:r w:rsidR="009A6FEC">
          <w:rPr>
            <w:rFonts w:eastAsiaTheme="minorEastAsia"/>
            <w:color w:val="auto"/>
            <w:sz w:val="22"/>
            <w:szCs w:val="22"/>
            <w:lang w:eastAsia="fr-FR"/>
          </w:rPr>
          <w:tab/>
        </w:r>
        <w:r w:rsidR="009A6FEC" w:rsidRPr="00F91BFA">
          <w:rPr>
            <w:rStyle w:val="Hyperlink"/>
          </w:rPr>
          <w:t>L’offre de prêt</w:t>
        </w:r>
        <w:r w:rsidR="009A6FEC">
          <w:rPr>
            <w:webHidden/>
          </w:rPr>
          <w:tab/>
        </w:r>
        <w:r w:rsidR="009A6FEC">
          <w:rPr>
            <w:webHidden/>
          </w:rPr>
          <w:fldChar w:fldCharType="begin"/>
        </w:r>
        <w:r w:rsidR="009A6FEC">
          <w:rPr>
            <w:webHidden/>
          </w:rPr>
          <w:instrText xml:space="preserve"> PAGEREF _Toc93390277 \h </w:instrText>
        </w:r>
        <w:r w:rsidR="009A6FEC">
          <w:rPr>
            <w:webHidden/>
          </w:rPr>
        </w:r>
        <w:r w:rsidR="009A6FEC">
          <w:rPr>
            <w:webHidden/>
          </w:rPr>
          <w:fldChar w:fldCharType="separate"/>
        </w:r>
        <w:r w:rsidR="009F0282">
          <w:rPr>
            <w:webHidden/>
          </w:rPr>
          <w:t>50</w:t>
        </w:r>
        <w:r w:rsidR="009A6FEC">
          <w:rPr>
            <w:webHidden/>
          </w:rPr>
          <w:fldChar w:fldCharType="end"/>
        </w:r>
      </w:hyperlink>
    </w:p>
    <w:p w14:paraId="5A5A1931" w14:textId="08BBE36B" w:rsidR="009A6FEC" w:rsidRDefault="00B455B7">
      <w:pPr>
        <w:pStyle w:val="TOC3"/>
        <w:rPr>
          <w:rFonts w:eastAsiaTheme="minorEastAsia"/>
          <w:color w:val="auto"/>
          <w:sz w:val="22"/>
          <w:szCs w:val="22"/>
          <w:lang w:eastAsia="fr-FR"/>
        </w:rPr>
      </w:pPr>
      <w:hyperlink w:anchor="_Toc93390278" w:history="1">
        <w:r w:rsidR="009A6FEC" w:rsidRPr="00F91BFA">
          <w:rPr>
            <w:rStyle w:val="Hyperlink"/>
          </w:rPr>
          <w:t>1.3.3</w:t>
        </w:r>
        <w:r w:rsidR="009A6FEC">
          <w:rPr>
            <w:rFonts w:eastAsiaTheme="minorEastAsia"/>
            <w:color w:val="auto"/>
            <w:sz w:val="22"/>
            <w:szCs w:val="22"/>
            <w:lang w:eastAsia="fr-FR"/>
          </w:rPr>
          <w:tab/>
        </w:r>
        <w:r w:rsidR="009A6FEC" w:rsidRPr="00F91BFA">
          <w:rPr>
            <w:rStyle w:val="Hyperlink"/>
          </w:rPr>
          <w:t>L’offre en fonds propres</w:t>
        </w:r>
        <w:r w:rsidR="009A6FEC">
          <w:rPr>
            <w:webHidden/>
          </w:rPr>
          <w:tab/>
        </w:r>
        <w:r w:rsidR="009A6FEC">
          <w:rPr>
            <w:webHidden/>
          </w:rPr>
          <w:fldChar w:fldCharType="begin"/>
        </w:r>
        <w:r w:rsidR="009A6FEC">
          <w:rPr>
            <w:webHidden/>
          </w:rPr>
          <w:instrText xml:space="preserve"> PAGEREF _Toc93390278 \h </w:instrText>
        </w:r>
        <w:r w:rsidR="009A6FEC">
          <w:rPr>
            <w:webHidden/>
          </w:rPr>
        </w:r>
        <w:r w:rsidR="009A6FEC">
          <w:rPr>
            <w:webHidden/>
          </w:rPr>
          <w:fldChar w:fldCharType="separate"/>
        </w:r>
        <w:r w:rsidR="009F0282">
          <w:rPr>
            <w:webHidden/>
          </w:rPr>
          <w:t>51</w:t>
        </w:r>
        <w:r w:rsidR="009A6FEC">
          <w:rPr>
            <w:webHidden/>
          </w:rPr>
          <w:fldChar w:fldCharType="end"/>
        </w:r>
      </w:hyperlink>
    </w:p>
    <w:p w14:paraId="4D855CF8" w14:textId="21E06C44" w:rsidR="009A6FEC" w:rsidRDefault="00B455B7">
      <w:pPr>
        <w:pStyle w:val="TOC3"/>
        <w:rPr>
          <w:rFonts w:eastAsiaTheme="minorEastAsia"/>
          <w:color w:val="auto"/>
          <w:sz w:val="22"/>
          <w:szCs w:val="22"/>
          <w:lang w:eastAsia="fr-FR"/>
        </w:rPr>
      </w:pPr>
      <w:hyperlink w:anchor="_Toc93390279" w:history="1">
        <w:r w:rsidR="009A6FEC" w:rsidRPr="00F91BFA">
          <w:rPr>
            <w:rStyle w:val="Hyperlink"/>
          </w:rPr>
          <w:t>1.3.4</w:t>
        </w:r>
        <w:r w:rsidR="009A6FEC">
          <w:rPr>
            <w:rFonts w:eastAsiaTheme="minorEastAsia"/>
            <w:color w:val="auto"/>
            <w:sz w:val="22"/>
            <w:szCs w:val="22"/>
            <w:lang w:eastAsia="fr-FR"/>
          </w:rPr>
          <w:tab/>
        </w:r>
        <w:r w:rsidR="009A6FEC" w:rsidRPr="00F91BFA">
          <w:rPr>
            <w:rStyle w:val="Hyperlink"/>
          </w:rPr>
          <w:t>Bilan de l’offre de financement du recyclage foncier</w:t>
        </w:r>
        <w:r w:rsidR="009A6FEC">
          <w:rPr>
            <w:webHidden/>
          </w:rPr>
          <w:tab/>
        </w:r>
        <w:r w:rsidR="009A6FEC">
          <w:rPr>
            <w:webHidden/>
          </w:rPr>
          <w:fldChar w:fldCharType="begin"/>
        </w:r>
        <w:r w:rsidR="009A6FEC">
          <w:rPr>
            <w:webHidden/>
          </w:rPr>
          <w:instrText xml:space="preserve"> PAGEREF _Toc93390279 \h </w:instrText>
        </w:r>
        <w:r w:rsidR="009A6FEC">
          <w:rPr>
            <w:webHidden/>
          </w:rPr>
        </w:r>
        <w:r w:rsidR="009A6FEC">
          <w:rPr>
            <w:webHidden/>
          </w:rPr>
          <w:fldChar w:fldCharType="separate"/>
        </w:r>
        <w:r w:rsidR="009F0282">
          <w:rPr>
            <w:webHidden/>
          </w:rPr>
          <w:t>53</w:t>
        </w:r>
        <w:r w:rsidR="009A6FEC">
          <w:rPr>
            <w:webHidden/>
          </w:rPr>
          <w:fldChar w:fldCharType="end"/>
        </w:r>
      </w:hyperlink>
    </w:p>
    <w:p w14:paraId="104C6CB7" w14:textId="39A62B92" w:rsidR="009A6FEC" w:rsidRDefault="00B455B7">
      <w:pPr>
        <w:pStyle w:val="TOC1"/>
        <w:rPr>
          <w:rFonts w:eastAsiaTheme="minorEastAsia"/>
          <w:noProof/>
          <w:color w:val="auto"/>
          <w:sz w:val="22"/>
          <w:szCs w:val="22"/>
          <w:lang w:eastAsia="fr-FR"/>
        </w:rPr>
      </w:pPr>
      <w:hyperlink w:anchor="_Toc93390280" w:history="1">
        <w:r w:rsidR="009A6FEC" w:rsidRPr="00F91BFA">
          <w:rPr>
            <w:rStyle w:val="Hyperlink"/>
            <w:noProof/>
          </w:rPr>
          <w:t>2</w:t>
        </w:r>
        <w:r w:rsidR="009A6FEC">
          <w:rPr>
            <w:rFonts w:eastAsiaTheme="minorEastAsia"/>
            <w:noProof/>
            <w:color w:val="auto"/>
            <w:sz w:val="22"/>
            <w:szCs w:val="22"/>
            <w:lang w:eastAsia="fr-FR"/>
          </w:rPr>
          <w:tab/>
        </w:r>
        <w:r w:rsidR="009A6FEC" w:rsidRPr="00F91BFA">
          <w:rPr>
            <w:rStyle w:val="Hyperlink"/>
            <w:noProof/>
          </w:rPr>
          <w:t>Besoins en financement et identifications des défaillances de marché</w:t>
        </w:r>
        <w:r w:rsidR="009A6FEC">
          <w:rPr>
            <w:noProof/>
            <w:webHidden/>
          </w:rPr>
          <w:tab/>
        </w:r>
        <w:r w:rsidR="009A6FEC">
          <w:rPr>
            <w:noProof/>
            <w:webHidden/>
          </w:rPr>
          <w:fldChar w:fldCharType="begin"/>
        </w:r>
        <w:r w:rsidR="009A6FEC">
          <w:rPr>
            <w:noProof/>
            <w:webHidden/>
          </w:rPr>
          <w:instrText xml:space="preserve"> PAGEREF _Toc93390280 \h </w:instrText>
        </w:r>
        <w:r w:rsidR="009A6FEC">
          <w:rPr>
            <w:noProof/>
            <w:webHidden/>
          </w:rPr>
        </w:r>
        <w:r w:rsidR="009A6FEC">
          <w:rPr>
            <w:noProof/>
            <w:webHidden/>
          </w:rPr>
          <w:fldChar w:fldCharType="separate"/>
        </w:r>
        <w:r w:rsidR="009F0282">
          <w:rPr>
            <w:noProof/>
            <w:webHidden/>
          </w:rPr>
          <w:t>54</w:t>
        </w:r>
        <w:r w:rsidR="009A6FEC">
          <w:rPr>
            <w:noProof/>
            <w:webHidden/>
          </w:rPr>
          <w:fldChar w:fldCharType="end"/>
        </w:r>
      </w:hyperlink>
    </w:p>
    <w:p w14:paraId="5EF35B0E" w14:textId="36E242BA" w:rsidR="009A6FEC" w:rsidRDefault="00B455B7">
      <w:pPr>
        <w:pStyle w:val="TOC2"/>
        <w:rPr>
          <w:rFonts w:eastAsiaTheme="minorEastAsia"/>
          <w:color w:val="auto"/>
          <w:sz w:val="22"/>
          <w:szCs w:val="22"/>
          <w:lang w:eastAsia="fr-FR"/>
        </w:rPr>
      </w:pPr>
      <w:hyperlink w:anchor="_Toc93390281" w:history="1">
        <w:r w:rsidR="009A6FEC" w:rsidRPr="00F91BFA">
          <w:rPr>
            <w:rStyle w:val="Hyperlink"/>
          </w:rPr>
          <w:t>2.1</w:t>
        </w:r>
        <w:r w:rsidR="009A6FEC">
          <w:rPr>
            <w:rFonts w:eastAsiaTheme="minorEastAsia"/>
            <w:color w:val="auto"/>
            <w:sz w:val="22"/>
            <w:szCs w:val="22"/>
            <w:lang w:eastAsia="fr-FR"/>
          </w:rPr>
          <w:tab/>
        </w:r>
        <w:r w:rsidR="009A6FEC" w:rsidRPr="00F91BFA">
          <w:rPr>
            <w:rStyle w:val="Hyperlink"/>
          </w:rPr>
          <w:t>Besoins et défaillances de financement des énergies renouvelables</w:t>
        </w:r>
        <w:r w:rsidR="009A6FEC">
          <w:rPr>
            <w:webHidden/>
          </w:rPr>
          <w:tab/>
        </w:r>
        <w:r w:rsidR="009A6FEC">
          <w:rPr>
            <w:webHidden/>
          </w:rPr>
          <w:fldChar w:fldCharType="begin"/>
        </w:r>
        <w:r w:rsidR="009A6FEC">
          <w:rPr>
            <w:webHidden/>
          </w:rPr>
          <w:instrText xml:space="preserve"> PAGEREF _Toc93390281 \h </w:instrText>
        </w:r>
        <w:r w:rsidR="009A6FEC">
          <w:rPr>
            <w:webHidden/>
          </w:rPr>
        </w:r>
        <w:r w:rsidR="009A6FEC">
          <w:rPr>
            <w:webHidden/>
          </w:rPr>
          <w:fldChar w:fldCharType="separate"/>
        </w:r>
        <w:r w:rsidR="009F0282">
          <w:rPr>
            <w:webHidden/>
          </w:rPr>
          <w:t>54</w:t>
        </w:r>
        <w:r w:rsidR="009A6FEC">
          <w:rPr>
            <w:webHidden/>
          </w:rPr>
          <w:fldChar w:fldCharType="end"/>
        </w:r>
      </w:hyperlink>
    </w:p>
    <w:p w14:paraId="38F9193A" w14:textId="2126A660" w:rsidR="009A6FEC" w:rsidRDefault="00B455B7">
      <w:pPr>
        <w:pStyle w:val="TOC3"/>
        <w:rPr>
          <w:rFonts w:eastAsiaTheme="minorEastAsia"/>
          <w:color w:val="auto"/>
          <w:sz w:val="22"/>
          <w:szCs w:val="22"/>
          <w:lang w:eastAsia="fr-FR"/>
        </w:rPr>
      </w:pPr>
      <w:hyperlink w:anchor="_Toc93390282" w:history="1">
        <w:r w:rsidR="009A6FEC" w:rsidRPr="00F91BFA">
          <w:rPr>
            <w:rStyle w:val="Hyperlink"/>
          </w:rPr>
          <w:t>2.1.1</w:t>
        </w:r>
        <w:r w:rsidR="009A6FEC">
          <w:rPr>
            <w:rFonts w:eastAsiaTheme="minorEastAsia"/>
            <w:color w:val="auto"/>
            <w:sz w:val="22"/>
            <w:szCs w:val="22"/>
            <w:lang w:eastAsia="fr-FR"/>
          </w:rPr>
          <w:tab/>
        </w:r>
        <w:r w:rsidR="009A6FEC" w:rsidRPr="00F91BFA">
          <w:rPr>
            <w:rStyle w:val="Hyperlink"/>
          </w:rPr>
          <w:t>Description de l’écosystème</w:t>
        </w:r>
        <w:r w:rsidR="009A6FEC">
          <w:rPr>
            <w:webHidden/>
          </w:rPr>
          <w:tab/>
        </w:r>
        <w:r w:rsidR="009A6FEC">
          <w:rPr>
            <w:webHidden/>
          </w:rPr>
          <w:fldChar w:fldCharType="begin"/>
        </w:r>
        <w:r w:rsidR="009A6FEC">
          <w:rPr>
            <w:webHidden/>
          </w:rPr>
          <w:instrText xml:space="preserve"> PAGEREF _Toc93390282 \h </w:instrText>
        </w:r>
        <w:r w:rsidR="009A6FEC">
          <w:rPr>
            <w:webHidden/>
          </w:rPr>
        </w:r>
        <w:r w:rsidR="009A6FEC">
          <w:rPr>
            <w:webHidden/>
          </w:rPr>
          <w:fldChar w:fldCharType="separate"/>
        </w:r>
        <w:r w:rsidR="009F0282">
          <w:rPr>
            <w:webHidden/>
          </w:rPr>
          <w:t>56</w:t>
        </w:r>
        <w:r w:rsidR="009A6FEC">
          <w:rPr>
            <w:webHidden/>
          </w:rPr>
          <w:fldChar w:fldCharType="end"/>
        </w:r>
      </w:hyperlink>
    </w:p>
    <w:p w14:paraId="4749AA8D" w14:textId="723619E1" w:rsidR="009A6FEC" w:rsidRDefault="00B455B7">
      <w:pPr>
        <w:pStyle w:val="TOC3"/>
        <w:rPr>
          <w:rFonts w:eastAsiaTheme="minorEastAsia"/>
          <w:color w:val="auto"/>
          <w:sz w:val="22"/>
          <w:szCs w:val="22"/>
          <w:lang w:eastAsia="fr-FR"/>
        </w:rPr>
      </w:pPr>
      <w:hyperlink w:anchor="_Toc93390283" w:history="1">
        <w:r w:rsidR="009A6FEC" w:rsidRPr="00F91BFA">
          <w:rPr>
            <w:rStyle w:val="Hyperlink"/>
          </w:rPr>
          <w:t>2.1.2</w:t>
        </w:r>
        <w:r w:rsidR="009A6FEC">
          <w:rPr>
            <w:rFonts w:eastAsiaTheme="minorEastAsia"/>
            <w:color w:val="auto"/>
            <w:sz w:val="22"/>
            <w:szCs w:val="22"/>
            <w:lang w:eastAsia="fr-FR"/>
          </w:rPr>
          <w:tab/>
        </w:r>
        <w:r w:rsidR="009A6FEC" w:rsidRPr="00F91BFA">
          <w:rPr>
            <w:rStyle w:val="Hyperlink"/>
          </w:rPr>
          <w:t>Données structurelles et stratégies régionales clefs</w:t>
        </w:r>
        <w:r w:rsidR="009A6FEC">
          <w:rPr>
            <w:webHidden/>
          </w:rPr>
          <w:tab/>
        </w:r>
        <w:r w:rsidR="009A6FEC">
          <w:rPr>
            <w:webHidden/>
          </w:rPr>
          <w:fldChar w:fldCharType="begin"/>
        </w:r>
        <w:r w:rsidR="009A6FEC">
          <w:rPr>
            <w:webHidden/>
          </w:rPr>
          <w:instrText xml:space="preserve"> PAGEREF _Toc93390283 \h </w:instrText>
        </w:r>
        <w:r w:rsidR="009A6FEC">
          <w:rPr>
            <w:webHidden/>
          </w:rPr>
        </w:r>
        <w:r w:rsidR="009A6FEC">
          <w:rPr>
            <w:webHidden/>
          </w:rPr>
          <w:fldChar w:fldCharType="separate"/>
        </w:r>
        <w:r w:rsidR="009F0282">
          <w:rPr>
            <w:webHidden/>
          </w:rPr>
          <w:t>60</w:t>
        </w:r>
        <w:r w:rsidR="009A6FEC">
          <w:rPr>
            <w:webHidden/>
          </w:rPr>
          <w:fldChar w:fldCharType="end"/>
        </w:r>
      </w:hyperlink>
    </w:p>
    <w:p w14:paraId="7020ACF3" w14:textId="310396C7" w:rsidR="009A6FEC" w:rsidRDefault="00B455B7">
      <w:pPr>
        <w:pStyle w:val="TOC3"/>
        <w:rPr>
          <w:rFonts w:eastAsiaTheme="minorEastAsia"/>
          <w:color w:val="auto"/>
          <w:sz w:val="22"/>
          <w:szCs w:val="22"/>
          <w:lang w:eastAsia="fr-FR"/>
        </w:rPr>
      </w:pPr>
      <w:hyperlink w:anchor="_Toc93390284" w:history="1">
        <w:r w:rsidR="009A6FEC" w:rsidRPr="00F91BFA">
          <w:rPr>
            <w:rStyle w:val="Hyperlink"/>
          </w:rPr>
          <w:t>2.1.3</w:t>
        </w:r>
        <w:r w:rsidR="009A6FEC">
          <w:rPr>
            <w:rFonts w:eastAsiaTheme="minorEastAsia"/>
            <w:color w:val="auto"/>
            <w:sz w:val="22"/>
            <w:szCs w:val="22"/>
            <w:lang w:eastAsia="fr-FR"/>
          </w:rPr>
          <w:tab/>
        </w:r>
        <w:r w:rsidR="009A6FEC" w:rsidRPr="00F91BFA">
          <w:rPr>
            <w:rStyle w:val="Hyperlink"/>
          </w:rPr>
          <w:t>Bilan des forces et faiblesses des porteurs de projets des Hauts de France</w:t>
        </w:r>
        <w:r w:rsidR="009A6FEC">
          <w:rPr>
            <w:webHidden/>
          </w:rPr>
          <w:tab/>
        </w:r>
        <w:r w:rsidR="009A6FEC">
          <w:rPr>
            <w:webHidden/>
          </w:rPr>
          <w:fldChar w:fldCharType="begin"/>
        </w:r>
        <w:r w:rsidR="009A6FEC">
          <w:rPr>
            <w:webHidden/>
          </w:rPr>
          <w:instrText xml:space="preserve"> PAGEREF _Toc93390284 \h </w:instrText>
        </w:r>
        <w:r w:rsidR="009A6FEC">
          <w:rPr>
            <w:webHidden/>
          </w:rPr>
        </w:r>
        <w:r w:rsidR="009A6FEC">
          <w:rPr>
            <w:webHidden/>
          </w:rPr>
          <w:fldChar w:fldCharType="separate"/>
        </w:r>
        <w:r w:rsidR="009F0282">
          <w:rPr>
            <w:webHidden/>
          </w:rPr>
          <w:t>65</w:t>
        </w:r>
        <w:r w:rsidR="009A6FEC">
          <w:rPr>
            <w:webHidden/>
          </w:rPr>
          <w:fldChar w:fldCharType="end"/>
        </w:r>
      </w:hyperlink>
    </w:p>
    <w:p w14:paraId="3097DC4A" w14:textId="21944998" w:rsidR="009A6FEC" w:rsidRDefault="00B455B7">
      <w:pPr>
        <w:pStyle w:val="TOC3"/>
        <w:rPr>
          <w:rFonts w:eastAsiaTheme="minorEastAsia"/>
          <w:color w:val="auto"/>
          <w:sz w:val="22"/>
          <w:szCs w:val="22"/>
          <w:lang w:eastAsia="fr-FR"/>
        </w:rPr>
      </w:pPr>
      <w:hyperlink w:anchor="_Toc93390285" w:history="1">
        <w:r w:rsidR="009A6FEC" w:rsidRPr="00F91BFA">
          <w:rPr>
            <w:rStyle w:val="Hyperlink"/>
          </w:rPr>
          <w:t>2.1.4</w:t>
        </w:r>
        <w:r w:rsidR="009A6FEC">
          <w:rPr>
            <w:rFonts w:eastAsiaTheme="minorEastAsia"/>
            <w:color w:val="auto"/>
            <w:sz w:val="22"/>
            <w:szCs w:val="22"/>
            <w:lang w:eastAsia="fr-FR"/>
          </w:rPr>
          <w:tab/>
        </w:r>
        <w:r w:rsidR="009A6FEC" w:rsidRPr="00F91BFA">
          <w:rPr>
            <w:rStyle w:val="Hyperlink"/>
          </w:rPr>
          <w:t>Besoin de financement et défaillances de marché</w:t>
        </w:r>
        <w:r w:rsidR="009A6FEC">
          <w:rPr>
            <w:webHidden/>
          </w:rPr>
          <w:tab/>
        </w:r>
        <w:r w:rsidR="009A6FEC">
          <w:rPr>
            <w:webHidden/>
          </w:rPr>
          <w:fldChar w:fldCharType="begin"/>
        </w:r>
        <w:r w:rsidR="009A6FEC">
          <w:rPr>
            <w:webHidden/>
          </w:rPr>
          <w:instrText xml:space="preserve"> PAGEREF _Toc93390285 \h </w:instrText>
        </w:r>
        <w:r w:rsidR="009A6FEC">
          <w:rPr>
            <w:webHidden/>
          </w:rPr>
        </w:r>
        <w:r w:rsidR="009A6FEC">
          <w:rPr>
            <w:webHidden/>
          </w:rPr>
          <w:fldChar w:fldCharType="separate"/>
        </w:r>
        <w:r w:rsidR="009F0282">
          <w:rPr>
            <w:webHidden/>
          </w:rPr>
          <w:t>65</w:t>
        </w:r>
        <w:r w:rsidR="009A6FEC">
          <w:rPr>
            <w:webHidden/>
          </w:rPr>
          <w:fldChar w:fldCharType="end"/>
        </w:r>
      </w:hyperlink>
    </w:p>
    <w:p w14:paraId="4CEAE005" w14:textId="4D89BABF" w:rsidR="009A6FEC" w:rsidRDefault="00B455B7">
      <w:pPr>
        <w:pStyle w:val="TOC2"/>
        <w:rPr>
          <w:rFonts w:eastAsiaTheme="minorEastAsia"/>
          <w:color w:val="auto"/>
          <w:sz w:val="22"/>
          <w:szCs w:val="22"/>
          <w:lang w:eastAsia="fr-FR"/>
        </w:rPr>
      </w:pPr>
      <w:hyperlink w:anchor="_Toc93390286" w:history="1">
        <w:r w:rsidR="009A6FEC" w:rsidRPr="00F91BFA">
          <w:rPr>
            <w:rStyle w:val="Hyperlink"/>
          </w:rPr>
          <w:t>2.2</w:t>
        </w:r>
        <w:r w:rsidR="009A6FEC">
          <w:rPr>
            <w:rFonts w:eastAsiaTheme="minorEastAsia"/>
            <w:color w:val="auto"/>
            <w:sz w:val="22"/>
            <w:szCs w:val="22"/>
            <w:lang w:eastAsia="fr-FR"/>
          </w:rPr>
          <w:tab/>
        </w:r>
        <w:r w:rsidR="009A6FEC" w:rsidRPr="00F91BFA">
          <w:rPr>
            <w:rStyle w:val="Hyperlink"/>
          </w:rPr>
          <w:t>Besoins et défaillances de financement de l’efficacité énergétique du bâti</w:t>
        </w:r>
        <w:r w:rsidR="009A6FEC">
          <w:rPr>
            <w:webHidden/>
          </w:rPr>
          <w:tab/>
        </w:r>
        <w:r w:rsidR="009A6FEC">
          <w:rPr>
            <w:webHidden/>
          </w:rPr>
          <w:fldChar w:fldCharType="begin"/>
        </w:r>
        <w:r w:rsidR="009A6FEC">
          <w:rPr>
            <w:webHidden/>
          </w:rPr>
          <w:instrText xml:space="preserve"> PAGEREF _Toc93390286 \h </w:instrText>
        </w:r>
        <w:r w:rsidR="009A6FEC">
          <w:rPr>
            <w:webHidden/>
          </w:rPr>
        </w:r>
        <w:r w:rsidR="009A6FEC">
          <w:rPr>
            <w:webHidden/>
          </w:rPr>
          <w:fldChar w:fldCharType="separate"/>
        </w:r>
        <w:r w:rsidR="009F0282">
          <w:rPr>
            <w:webHidden/>
          </w:rPr>
          <w:t>82</w:t>
        </w:r>
        <w:r w:rsidR="009A6FEC">
          <w:rPr>
            <w:webHidden/>
          </w:rPr>
          <w:fldChar w:fldCharType="end"/>
        </w:r>
      </w:hyperlink>
    </w:p>
    <w:p w14:paraId="69A0F130" w14:textId="56624FEC" w:rsidR="009A6FEC" w:rsidRDefault="00B455B7">
      <w:pPr>
        <w:pStyle w:val="TOC3"/>
        <w:rPr>
          <w:rFonts w:eastAsiaTheme="minorEastAsia"/>
          <w:color w:val="auto"/>
          <w:sz w:val="22"/>
          <w:szCs w:val="22"/>
          <w:lang w:eastAsia="fr-FR"/>
        </w:rPr>
      </w:pPr>
      <w:hyperlink w:anchor="_Toc93390287" w:history="1">
        <w:r w:rsidR="009A6FEC" w:rsidRPr="00F91BFA">
          <w:rPr>
            <w:rStyle w:val="Hyperlink"/>
          </w:rPr>
          <w:t>2.2.1</w:t>
        </w:r>
        <w:r w:rsidR="009A6FEC">
          <w:rPr>
            <w:rFonts w:eastAsiaTheme="minorEastAsia"/>
            <w:color w:val="auto"/>
            <w:sz w:val="22"/>
            <w:szCs w:val="22"/>
            <w:lang w:eastAsia="fr-FR"/>
          </w:rPr>
          <w:tab/>
        </w:r>
        <w:r w:rsidR="009A6FEC" w:rsidRPr="00F91BFA">
          <w:rPr>
            <w:rStyle w:val="Hyperlink"/>
          </w:rPr>
          <w:t>Données structurelles et stratégies régionales clefs</w:t>
        </w:r>
        <w:r w:rsidR="009A6FEC">
          <w:rPr>
            <w:webHidden/>
          </w:rPr>
          <w:tab/>
        </w:r>
        <w:r w:rsidR="009A6FEC">
          <w:rPr>
            <w:webHidden/>
          </w:rPr>
          <w:fldChar w:fldCharType="begin"/>
        </w:r>
        <w:r w:rsidR="009A6FEC">
          <w:rPr>
            <w:webHidden/>
          </w:rPr>
          <w:instrText xml:space="preserve"> PAGEREF _Toc93390287 \h </w:instrText>
        </w:r>
        <w:r w:rsidR="009A6FEC">
          <w:rPr>
            <w:webHidden/>
          </w:rPr>
        </w:r>
        <w:r w:rsidR="009A6FEC">
          <w:rPr>
            <w:webHidden/>
          </w:rPr>
          <w:fldChar w:fldCharType="separate"/>
        </w:r>
        <w:r w:rsidR="009F0282">
          <w:rPr>
            <w:webHidden/>
          </w:rPr>
          <w:t>82</w:t>
        </w:r>
        <w:r w:rsidR="009A6FEC">
          <w:rPr>
            <w:webHidden/>
          </w:rPr>
          <w:fldChar w:fldCharType="end"/>
        </w:r>
      </w:hyperlink>
    </w:p>
    <w:p w14:paraId="5E51A251" w14:textId="1418A0A6" w:rsidR="009A6FEC" w:rsidRDefault="00B455B7">
      <w:pPr>
        <w:pStyle w:val="TOC3"/>
        <w:rPr>
          <w:rFonts w:eastAsiaTheme="minorEastAsia"/>
          <w:color w:val="auto"/>
          <w:sz w:val="22"/>
          <w:szCs w:val="22"/>
          <w:lang w:eastAsia="fr-FR"/>
        </w:rPr>
      </w:pPr>
      <w:hyperlink w:anchor="_Toc93390288" w:history="1">
        <w:r w:rsidR="009A6FEC" w:rsidRPr="00F91BFA">
          <w:rPr>
            <w:rStyle w:val="Hyperlink"/>
          </w:rPr>
          <w:t>2.2.2</w:t>
        </w:r>
        <w:r w:rsidR="009A6FEC">
          <w:rPr>
            <w:rFonts w:eastAsiaTheme="minorEastAsia"/>
            <w:color w:val="auto"/>
            <w:sz w:val="22"/>
            <w:szCs w:val="22"/>
            <w:lang w:eastAsia="fr-FR"/>
          </w:rPr>
          <w:tab/>
        </w:r>
        <w:r w:rsidR="009A6FEC" w:rsidRPr="00F91BFA">
          <w:rPr>
            <w:rStyle w:val="Hyperlink"/>
          </w:rPr>
          <w:t>L’état du bâti tertiaire public en Hauts-de-France</w:t>
        </w:r>
        <w:r w:rsidR="009A6FEC">
          <w:rPr>
            <w:webHidden/>
          </w:rPr>
          <w:tab/>
        </w:r>
        <w:r w:rsidR="009A6FEC">
          <w:rPr>
            <w:webHidden/>
          </w:rPr>
          <w:fldChar w:fldCharType="begin"/>
        </w:r>
        <w:r w:rsidR="009A6FEC">
          <w:rPr>
            <w:webHidden/>
          </w:rPr>
          <w:instrText xml:space="preserve"> PAGEREF _Toc93390288 \h </w:instrText>
        </w:r>
        <w:r w:rsidR="009A6FEC">
          <w:rPr>
            <w:webHidden/>
          </w:rPr>
        </w:r>
        <w:r w:rsidR="009A6FEC">
          <w:rPr>
            <w:webHidden/>
          </w:rPr>
          <w:fldChar w:fldCharType="separate"/>
        </w:r>
        <w:r w:rsidR="009F0282">
          <w:rPr>
            <w:webHidden/>
          </w:rPr>
          <w:t>83</w:t>
        </w:r>
        <w:r w:rsidR="009A6FEC">
          <w:rPr>
            <w:webHidden/>
          </w:rPr>
          <w:fldChar w:fldCharType="end"/>
        </w:r>
      </w:hyperlink>
    </w:p>
    <w:p w14:paraId="7CCCDC22" w14:textId="6C71F678" w:rsidR="009A6FEC" w:rsidRDefault="00B455B7">
      <w:pPr>
        <w:pStyle w:val="TOC3"/>
        <w:rPr>
          <w:rFonts w:eastAsiaTheme="minorEastAsia"/>
          <w:color w:val="auto"/>
          <w:sz w:val="22"/>
          <w:szCs w:val="22"/>
          <w:lang w:eastAsia="fr-FR"/>
        </w:rPr>
      </w:pPr>
      <w:hyperlink w:anchor="_Toc93390289" w:history="1">
        <w:r w:rsidR="009A6FEC" w:rsidRPr="00F91BFA">
          <w:rPr>
            <w:rStyle w:val="Hyperlink"/>
          </w:rPr>
          <w:t>2.2.3</w:t>
        </w:r>
        <w:r w:rsidR="009A6FEC">
          <w:rPr>
            <w:rFonts w:eastAsiaTheme="minorEastAsia"/>
            <w:color w:val="auto"/>
            <w:sz w:val="22"/>
            <w:szCs w:val="22"/>
            <w:lang w:eastAsia="fr-FR"/>
          </w:rPr>
          <w:tab/>
        </w:r>
        <w:r w:rsidR="009A6FEC" w:rsidRPr="00F91BFA">
          <w:rPr>
            <w:rStyle w:val="Hyperlink"/>
          </w:rPr>
          <w:t>L’état du bâtiment résidentiel en Hauts-de-France</w:t>
        </w:r>
        <w:r w:rsidR="009A6FEC">
          <w:rPr>
            <w:webHidden/>
          </w:rPr>
          <w:tab/>
        </w:r>
        <w:r w:rsidR="009A6FEC">
          <w:rPr>
            <w:webHidden/>
          </w:rPr>
          <w:fldChar w:fldCharType="begin"/>
        </w:r>
        <w:r w:rsidR="009A6FEC">
          <w:rPr>
            <w:webHidden/>
          </w:rPr>
          <w:instrText xml:space="preserve"> PAGEREF _Toc93390289 \h </w:instrText>
        </w:r>
        <w:r w:rsidR="009A6FEC">
          <w:rPr>
            <w:webHidden/>
          </w:rPr>
        </w:r>
        <w:r w:rsidR="009A6FEC">
          <w:rPr>
            <w:webHidden/>
          </w:rPr>
          <w:fldChar w:fldCharType="separate"/>
        </w:r>
        <w:r w:rsidR="009F0282">
          <w:rPr>
            <w:webHidden/>
          </w:rPr>
          <w:t>85</w:t>
        </w:r>
        <w:r w:rsidR="009A6FEC">
          <w:rPr>
            <w:webHidden/>
          </w:rPr>
          <w:fldChar w:fldCharType="end"/>
        </w:r>
      </w:hyperlink>
    </w:p>
    <w:p w14:paraId="5A25F4F8" w14:textId="3EBEC4E3" w:rsidR="009A6FEC" w:rsidRDefault="00B455B7">
      <w:pPr>
        <w:pStyle w:val="TOC3"/>
        <w:rPr>
          <w:rFonts w:eastAsiaTheme="minorEastAsia"/>
          <w:color w:val="auto"/>
          <w:sz w:val="22"/>
          <w:szCs w:val="22"/>
          <w:lang w:eastAsia="fr-FR"/>
        </w:rPr>
      </w:pPr>
      <w:hyperlink w:anchor="_Toc93390290" w:history="1">
        <w:r w:rsidR="009A6FEC" w:rsidRPr="00F91BFA">
          <w:rPr>
            <w:rStyle w:val="Hyperlink"/>
          </w:rPr>
          <w:t>2.2.4</w:t>
        </w:r>
        <w:r w:rsidR="009A6FEC">
          <w:rPr>
            <w:rFonts w:eastAsiaTheme="minorEastAsia"/>
            <w:color w:val="auto"/>
            <w:sz w:val="22"/>
            <w:szCs w:val="22"/>
            <w:lang w:eastAsia="fr-FR"/>
          </w:rPr>
          <w:tab/>
        </w:r>
        <w:r w:rsidR="009A6FEC" w:rsidRPr="00F91BFA">
          <w:rPr>
            <w:rStyle w:val="Hyperlink"/>
          </w:rPr>
          <w:t>Bilan des forces et faiblesses des porteurs de projets des Hauts de France</w:t>
        </w:r>
        <w:r w:rsidR="009A6FEC">
          <w:rPr>
            <w:webHidden/>
          </w:rPr>
          <w:tab/>
        </w:r>
        <w:r w:rsidR="009A6FEC">
          <w:rPr>
            <w:webHidden/>
          </w:rPr>
          <w:fldChar w:fldCharType="begin"/>
        </w:r>
        <w:r w:rsidR="009A6FEC">
          <w:rPr>
            <w:webHidden/>
          </w:rPr>
          <w:instrText xml:space="preserve"> PAGEREF _Toc93390290 \h </w:instrText>
        </w:r>
        <w:r w:rsidR="009A6FEC">
          <w:rPr>
            <w:webHidden/>
          </w:rPr>
        </w:r>
        <w:r w:rsidR="009A6FEC">
          <w:rPr>
            <w:webHidden/>
          </w:rPr>
          <w:fldChar w:fldCharType="separate"/>
        </w:r>
        <w:r w:rsidR="009F0282">
          <w:rPr>
            <w:webHidden/>
          </w:rPr>
          <w:t>91</w:t>
        </w:r>
        <w:r w:rsidR="009A6FEC">
          <w:rPr>
            <w:webHidden/>
          </w:rPr>
          <w:fldChar w:fldCharType="end"/>
        </w:r>
      </w:hyperlink>
    </w:p>
    <w:p w14:paraId="7D33A83B" w14:textId="62C96B51" w:rsidR="009A6FEC" w:rsidRDefault="00B455B7">
      <w:pPr>
        <w:pStyle w:val="TOC3"/>
        <w:rPr>
          <w:rFonts w:eastAsiaTheme="minorEastAsia"/>
          <w:color w:val="auto"/>
          <w:sz w:val="22"/>
          <w:szCs w:val="22"/>
          <w:lang w:eastAsia="fr-FR"/>
        </w:rPr>
      </w:pPr>
      <w:hyperlink w:anchor="_Toc93390291" w:history="1">
        <w:r w:rsidR="009A6FEC" w:rsidRPr="00F91BFA">
          <w:rPr>
            <w:rStyle w:val="Hyperlink"/>
          </w:rPr>
          <w:t>2.2.5</w:t>
        </w:r>
        <w:r w:rsidR="009A6FEC">
          <w:rPr>
            <w:rFonts w:eastAsiaTheme="minorEastAsia"/>
            <w:color w:val="auto"/>
            <w:sz w:val="22"/>
            <w:szCs w:val="22"/>
            <w:lang w:eastAsia="fr-FR"/>
          </w:rPr>
          <w:tab/>
        </w:r>
        <w:r w:rsidR="009A6FEC" w:rsidRPr="00F91BFA">
          <w:rPr>
            <w:rStyle w:val="Hyperlink"/>
          </w:rPr>
          <w:t>Besoin de financement et défaillances de marché</w:t>
        </w:r>
        <w:r w:rsidR="009A6FEC">
          <w:rPr>
            <w:webHidden/>
          </w:rPr>
          <w:tab/>
        </w:r>
        <w:r w:rsidR="009A6FEC">
          <w:rPr>
            <w:webHidden/>
          </w:rPr>
          <w:fldChar w:fldCharType="begin"/>
        </w:r>
        <w:r w:rsidR="009A6FEC">
          <w:rPr>
            <w:webHidden/>
          </w:rPr>
          <w:instrText xml:space="preserve"> PAGEREF _Toc93390291 \h </w:instrText>
        </w:r>
        <w:r w:rsidR="009A6FEC">
          <w:rPr>
            <w:webHidden/>
          </w:rPr>
        </w:r>
        <w:r w:rsidR="009A6FEC">
          <w:rPr>
            <w:webHidden/>
          </w:rPr>
          <w:fldChar w:fldCharType="separate"/>
        </w:r>
        <w:r w:rsidR="009F0282">
          <w:rPr>
            <w:webHidden/>
          </w:rPr>
          <w:t>92</w:t>
        </w:r>
        <w:r w:rsidR="009A6FEC">
          <w:rPr>
            <w:webHidden/>
          </w:rPr>
          <w:fldChar w:fldCharType="end"/>
        </w:r>
      </w:hyperlink>
    </w:p>
    <w:p w14:paraId="41C9CCFB" w14:textId="6426F657" w:rsidR="009A6FEC" w:rsidRDefault="00B455B7">
      <w:pPr>
        <w:pStyle w:val="TOC2"/>
        <w:rPr>
          <w:rFonts w:eastAsiaTheme="minorEastAsia"/>
          <w:color w:val="auto"/>
          <w:sz w:val="22"/>
          <w:szCs w:val="22"/>
          <w:lang w:eastAsia="fr-FR"/>
        </w:rPr>
      </w:pPr>
      <w:hyperlink w:anchor="_Toc93390292" w:history="1">
        <w:r w:rsidR="009A6FEC" w:rsidRPr="00F91BFA">
          <w:rPr>
            <w:rStyle w:val="Hyperlink"/>
          </w:rPr>
          <w:t>2.3</w:t>
        </w:r>
        <w:r w:rsidR="009A6FEC">
          <w:rPr>
            <w:rFonts w:eastAsiaTheme="minorEastAsia"/>
            <w:color w:val="auto"/>
            <w:sz w:val="22"/>
            <w:szCs w:val="22"/>
            <w:lang w:eastAsia="fr-FR"/>
          </w:rPr>
          <w:tab/>
        </w:r>
        <w:r w:rsidR="009A6FEC" w:rsidRPr="00F91BFA">
          <w:rPr>
            <w:rStyle w:val="Hyperlink"/>
          </w:rPr>
          <w:t>Besoins et défaillances de financement du recyclage du foncier</w:t>
        </w:r>
        <w:r w:rsidR="009A6FEC">
          <w:rPr>
            <w:webHidden/>
          </w:rPr>
          <w:tab/>
        </w:r>
        <w:r w:rsidR="009A6FEC">
          <w:rPr>
            <w:webHidden/>
          </w:rPr>
          <w:fldChar w:fldCharType="begin"/>
        </w:r>
        <w:r w:rsidR="009A6FEC">
          <w:rPr>
            <w:webHidden/>
          </w:rPr>
          <w:instrText xml:space="preserve"> PAGEREF _Toc93390292 \h </w:instrText>
        </w:r>
        <w:r w:rsidR="009A6FEC">
          <w:rPr>
            <w:webHidden/>
          </w:rPr>
        </w:r>
        <w:r w:rsidR="009A6FEC">
          <w:rPr>
            <w:webHidden/>
          </w:rPr>
          <w:fldChar w:fldCharType="separate"/>
        </w:r>
        <w:r w:rsidR="009F0282">
          <w:rPr>
            <w:webHidden/>
          </w:rPr>
          <w:t>94</w:t>
        </w:r>
        <w:r w:rsidR="009A6FEC">
          <w:rPr>
            <w:webHidden/>
          </w:rPr>
          <w:fldChar w:fldCharType="end"/>
        </w:r>
      </w:hyperlink>
    </w:p>
    <w:p w14:paraId="75C9823C" w14:textId="45C5415F" w:rsidR="009A6FEC" w:rsidRDefault="00B455B7">
      <w:pPr>
        <w:pStyle w:val="TOC3"/>
        <w:rPr>
          <w:rFonts w:eastAsiaTheme="minorEastAsia"/>
          <w:color w:val="auto"/>
          <w:sz w:val="22"/>
          <w:szCs w:val="22"/>
          <w:lang w:eastAsia="fr-FR"/>
        </w:rPr>
      </w:pPr>
      <w:hyperlink w:anchor="_Toc93390293" w:history="1">
        <w:r w:rsidR="009A6FEC" w:rsidRPr="00F91BFA">
          <w:rPr>
            <w:rStyle w:val="Hyperlink"/>
          </w:rPr>
          <w:t>2.3.1</w:t>
        </w:r>
        <w:r w:rsidR="009A6FEC">
          <w:rPr>
            <w:rFonts w:eastAsiaTheme="minorEastAsia"/>
            <w:color w:val="auto"/>
            <w:sz w:val="22"/>
            <w:szCs w:val="22"/>
            <w:lang w:eastAsia="fr-FR"/>
          </w:rPr>
          <w:tab/>
        </w:r>
        <w:r w:rsidR="009A6FEC" w:rsidRPr="00F91BFA">
          <w:rPr>
            <w:rStyle w:val="Hyperlink"/>
          </w:rPr>
          <w:t>Données structurelles du territoire et stratégies régionales</w:t>
        </w:r>
        <w:r w:rsidR="009A6FEC">
          <w:rPr>
            <w:webHidden/>
          </w:rPr>
          <w:tab/>
        </w:r>
        <w:r w:rsidR="009A6FEC">
          <w:rPr>
            <w:webHidden/>
          </w:rPr>
          <w:fldChar w:fldCharType="begin"/>
        </w:r>
        <w:r w:rsidR="009A6FEC">
          <w:rPr>
            <w:webHidden/>
          </w:rPr>
          <w:instrText xml:space="preserve"> PAGEREF _Toc93390293 \h </w:instrText>
        </w:r>
        <w:r w:rsidR="009A6FEC">
          <w:rPr>
            <w:webHidden/>
          </w:rPr>
        </w:r>
        <w:r w:rsidR="009A6FEC">
          <w:rPr>
            <w:webHidden/>
          </w:rPr>
          <w:fldChar w:fldCharType="separate"/>
        </w:r>
        <w:r w:rsidR="009F0282">
          <w:rPr>
            <w:webHidden/>
          </w:rPr>
          <w:t>94</w:t>
        </w:r>
        <w:r w:rsidR="009A6FEC">
          <w:rPr>
            <w:webHidden/>
          </w:rPr>
          <w:fldChar w:fldCharType="end"/>
        </w:r>
      </w:hyperlink>
    </w:p>
    <w:p w14:paraId="4E963BD2" w14:textId="3B69A437" w:rsidR="009A6FEC" w:rsidRDefault="00B455B7">
      <w:pPr>
        <w:pStyle w:val="TOC3"/>
        <w:rPr>
          <w:rFonts w:eastAsiaTheme="minorEastAsia"/>
          <w:color w:val="auto"/>
          <w:sz w:val="22"/>
          <w:szCs w:val="22"/>
          <w:lang w:eastAsia="fr-FR"/>
        </w:rPr>
      </w:pPr>
      <w:hyperlink w:anchor="_Toc93390294" w:history="1">
        <w:r w:rsidR="009A6FEC" w:rsidRPr="00F91BFA">
          <w:rPr>
            <w:rStyle w:val="Hyperlink"/>
          </w:rPr>
          <w:t>2.3.2</w:t>
        </w:r>
        <w:r w:rsidR="009A6FEC">
          <w:rPr>
            <w:rFonts w:eastAsiaTheme="minorEastAsia"/>
            <w:color w:val="auto"/>
            <w:sz w:val="22"/>
            <w:szCs w:val="22"/>
            <w:lang w:eastAsia="fr-FR"/>
          </w:rPr>
          <w:tab/>
        </w:r>
        <w:r w:rsidR="009A6FEC" w:rsidRPr="00F91BFA">
          <w:rPr>
            <w:rStyle w:val="Hyperlink"/>
          </w:rPr>
          <w:t>Les besoins de financement du recyclage foncier</w:t>
        </w:r>
        <w:r w:rsidR="009A6FEC">
          <w:rPr>
            <w:webHidden/>
          </w:rPr>
          <w:tab/>
        </w:r>
        <w:r w:rsidR="009A6FEC">
          <w:rPr>
            <w:webHidden/>
          </w:rPr>
          <w:fldChar w:fldCharType="begin"/>
        </w:r>
        <w:r w:rsidR="009A6FEC">
          <w:rPr>
            <w:webHidden/>
          </w:rPr>
          <w:instrText xml:space="preserve"> PAGEREF _Toc93390294 \h </w:instrText>
        </w:r>
        <w:r w:rsidR="009A6FEC">
          <w:rPr>
            <w:webHidden/>
          </w:rPr>
        </w:r>
        <w:r w:rsidR="009A6FEC">
          <w:rPr>
            <w:webHidden/>
          </w:rPr>
          <w:fldChar w:fldCharType="separate"/>
        </w:r>
        <w:r w:rsidR="009F0282">
          <w:rPr>
            <w:webHidden/>
          </w:rPr>
          <w:t>95</w:t>
        </w:r>
        <w:r w:rsidR="009A6FEC">
          <w:rPr>
            <w:webHidden/>
          </w:rPr>
          <w:fldChar w:fldCharType="end"/>
        </w:r>
      </w:hyperlink>
    </w:p>
    <w:p w14:paraId="7481C339" w14:textId="5ECDAF7D" w:rsidR="009A6FEC" w:rsidRDefault="00B455B7">
      <w:pPr>
        <w:pStyle w:val="TOC3"/>
        <w:rPr>
          <w:rFonts w:eastAsiaTheme="minorEastAsia"/>
          <w:color w:val="auto"/>
          <w:sz w:val="22"/>
          <w:szCs w:val="22"/>
          <w:lang w:eastAsia="fr-FR"/>
        </w:rPr>
      </w:pPr>
      <w:hyperlink w:anchor="_Toc93390295" w:history="1">
        <w:r w:rsidR="009A6FEC" w:rsidRPr="00F91BFA">
          <w:rPr>
            <w:rStyle w:val="Hyperlink"/>
          </w:rPr>
          <w:t>2.3.3</w:t>
        </w:r>
        <w:r w:rsidR="009A6FEC">
          <w:rPr>
            <w:rFonts w:eastAsiaTheme="minorEastAsia"/>
            <w:color w:val="auto"/>
            <w:sz w:val="22"/>
            <w:szCs w:val="22"/>
            <w:lang w:eastAsia="fr-FR"/>
          </w:rPr>
          <w:tab/>
        </w:r>
        <w:r w:rsidR="009A6FEC" w:rsidRPr="00F91BFA">
          <w:rPr>
            <w:rStyle w:val="Hyperlink"/>
          </w:rPr>
          <w:t>Bilan des forces et faiblesses des porteurs de projets des Hauts de France</w:t>
        </w:r>
        <w:r w:rsidR="009A6FEC">
          <w:rPr>
            <w:webHidden/>
          </w:rPr>
          <w:tab/>
        </w:r>
        <w:r w:rsidR="009A6FEC">
          <w:rPr>
            <w:webHidden/>
          </w:rPr>
          <w:fldChar w:fldCharType="begin"/>
        </w:r>
        <w:r w:rsidR="009A6FEC">
          <w:rPr>
            <w:webHidden/>
          </w:rPr>
          <w:instrText xml:space="preserve"> PAGEREF _Toc93390295 \h </w:instrText>
        </w:r>
        <w:r w:rsidR="009A6FEC">
          <w:rPr>
            <w:webHidden/>
          </w:rPr>
        </w:r>
        <w:r w:rsidR="009A6FEC">
          <w:rPr>
            <w:webHidden/>
          </w:rPr>
          <w:fldChar w:fldCharType="separate"/>
        </w:r>
        <w:r w:rsidR="009F0282">
          <w:rPr>
            <w:webHidden/>
          </w:rPr>
          <w:t>98</w:t>
        </w:r>
        <w:r w:rsidR="009A6FEC">
          <w:rPr>
            <w:webHidden/>
          </w:rPr>
          <w:fldChar w:fldCharType="end"/>
        </w:r>
      </w:hyperlink>
    </w:p>
    <w:p w14:paraId="312B5D0A" w14:textId="13D242A1" w:rsidR="009A6FEC" w:rsidRDefault="00B455B7">
      <w:pPr>
        <w:pStyle w:val="TOC3"/>
        <w:rPr>
          <w:rFonts w:eastAsiaTheme="minorEastAsia"/>
          <w:color w:val="auto"/>
          <w:sz w:val="22"/>
          <w:szCs w:val="22"/>
          <w:lang w:eastAsia="fr-FR"/>
        </w:rPr>
      </w:pPr>
      <w:hyperlink w:anchor="_Toc93390296" w:history="1">
        <w:r w:rsidR="009A6FEC" w:rsidRPr="00F91BFA">
          <w:rPr>
            <w:rStyle w:val="Hyperlink"/>
          </w:rPr>
          <w:t>2.3.4</w:t>
        </w:r>
        <w:r w:rsidR="009A6FEC">
          <w:rPr>
            <w:rFonts w:eastAsiaTheme="minorEastAsia"/>
            <w:color w:val="auto"/>
            <w:sz w:val="22"/>
            <w:szCs w:val="22"/>
            <w:lang w:eastAsia="fr-FR"/>
          </w:rPr>
          <w:tab/>
        </w:r>
        <w:r w:rsidR="009A6FEC" w:rsidRPr="00F91BFA">
          <w:rPr>
            <w:rStyle w:val="Hyperlink"/>
          </w:rPr>
          <w:t>Besoin de financement et défaillances de marché</w:t>
        </w:r>
        <w:r w:rsidR="009A6FEC">
          <w:rPr>
            <w:webHidden/>
          </w:rPr>
          <w:tab/>
        </w:r>
        <w:r w:rsidR="009A6FEC">
          <w:rPr>
            <w:webHidden/>
          </w:rPr>
          <w:fldChar w:fldCharType="begin"/>
        </w:r>
        <w:r w:rsidR="009A6FEC">
          <w:rPr>
            <w:webHidden/>
          </w:rPr>
          <w:instrText xml:space="preserve"> PAGEREF _Toc93390296 \h </w:instrText>
        </w:r>
        <w:r w:rsidR="009A6FEC">
          <w:rPr>
            <w:webHidden/>
          </w:rPr>
        </w:r>
        <w:r w:rsidR="009A6FEC">
          <w:rPr>
            <w:webHidden/>
          </w:rPr>
          <w:fldChar w:fldCharType="separate"/>
        </w:r>
        <w:r w:rsidR="009F0282">
          <w:rPr>
            <w:webHidden/>
          </w:rPr>
          <w:t>99</w:t>
        </w:r>
        <w:r w:rsidR="009A6FEC">
          <w:rPr>
            <w:webHidden/>
          </w:rPr>
          <w:fldChar w:fldCharType="end"/>
        </w:r>
      </w:hyperlink>
    </w:p>
    <w:p w14:paraId="679D21DF" w14:textId="0452C367" w:rsidR="009A6FEC" w:rsidRDefault="00B455B7">
      <w:pPr>
        <w:pStyle w:val="TOC1"/>
        <w:rPr>
          <w:rFonts w:eastAsiaTheme="minorEastAsia"/>
          <w:noProof/>
          <w:color w:val="auto"/>
          <w:sz w:val="22"/>
          <w:szCs w:val="22"/>
          <w:lang w:eastAsia="fr-FR"/>
        </w:rPr>
      </w:pPr>
      <w:hyperlink w:anchor="_Toc93390297" w:history="1">
        <w:r w:rsidR="009A6FEC" w:rsidRPr="00F91BFA">
          <w:rPr>
            <w:rStyle w:val="Hyperlink"/>
            <w:noProof/>
          </w:rPr>
          <w:t>3</w:t>
        </w:r>
        <w:r w:rsidR="009A6FEC">
          <w:rPr>
            <w:rFonts w:eastAsiaTheme="minorEastAsia"/>
            <w:noProof/>
            <w:color w:val="auto"/>
            <w:sz w:val="22"/>
            <w:szCs w:val="22"/>
            <w:lang w:eastAsia="fr-FR"/>
          </w:rPr>
          <w:tab/>
        </w:r>
        <w:r w:rsidR="009A6FEC" w:rsidRPr="00F91BFA">
          <w:rPr>
            <w:rStyle w:val="Hyperlink"/>
            <w:noProof/>
          </w:rPr>
          <w:t>Synthèse des défaillances de marché et situations de financement sous-optimales</w:t>
        </w:r>
        <w:r w:rsidR="009A6FEC">
          <w:rPr>
            <w:noProof/>
            <w:webHidden/>
          </w:rPr>
          <w:tab/>
        </w:r>
        <w:r w:rsidR="009A6FEC">
          <w:rPr>
            <w:noProof/>
            <w:webHidden/>
          </w:rPr>
          <w:fldChar w:fldCharType="begin"/>
        </w:r>
        <w:r w:rsidR="009A6FEC">
          <w:rPr>
            <w:noProof/>
            <w:webHidden/>
          </w:rPr>
          <w:instrText xml:space="preserve"> PAGEREF _Toc93390297 \h </w:instrText>
        </w:r>
        <w:r w:rsidR="009A6FEC">
          <w:rPr>
            <w:noProof/>
            <w:webHidden/>
          </w:rPr>
        </w:r>
        <w:r w:rsidR="009A6FEC">
          <w:rPr>
            <w:noProof/>
            <w:webHidden/>
          </w:rPr>
          <w:fldChar w:fldCharType="separate"/>
        </w:r>
        <w:r w:rsidR="009F0282">
          <w:rPr>
            <w:noProof/>
            <w:webHidden/>
          </w:rPr>
          <w:t>101</w:t>
        </w:r>
        <w:r w:rsidR="009A6FEC">
          <w:rPr>
            <w:noProof/>
            <w:webHidden/>
          </w:rPr>
          <w:fldChar w:fldCharType="end"/>
        </w:r>
      </w:hyperlink>
    </w:p>
    <w:p w14:paraId="12294EAB" w14:textId="761F00A2" w:rsidR="009A6FEC" w:rsidRDefault="00B455B7">
      <w:pPr>
        <w:pStyle w:val="TOC1"/>
        <w:rPr>
          <w:rFonts w:eastAsiaTheme="minorEastAsia"/>
          <w:noProof/>
          <w:color w:val="auto"/>
          <w:sz w:val="22"/>
          <w:szCs w:val="22"/>
          <w:lang w:eastAsia="fr-FR"/>
        </w:rPr>
      </w:pPr>
      <w:hyperlink w:anchor="_Toc93390298" w:history="1">
        <w:r w:rsidR="009A6FEC" w:rsidRPr="00F91BFA">
          <w:rPr>
            <w:rStyle w:val="Hyperlink"/>
            <w:noProof/>
          </w:rPr>
          <w:t>4</w:t>
        </w:r>
        <w:r w:rsidR="009A6FEC">
          <w:rPr>
            <w:rFonts w:eastAsiaTheme="minorEastAsia"/>
            <w:noProof/>
            <w:color w:val="auto"/>
            <w:sz w:val="22"/>
            <w:szCs w:val="22"/>
            <w:lang w:eastAsia="fr-FR"/>
          </w:rPr>
          <w:tab/>
        </w:r>
        <w:r w:rsidR="009A6FEC" w:rsidRPr="00F91BFA">
          <w:rPr>
            <w:rStyle w:val="Hyperlink"/>
            <w:noProof/>
          </w:rPr>
          <w:t>Stratégie régionale</w:t>
        </w:r>
        <w:r w:rsidR="009A6FEC">
          <w:rPr>
            <w:noProof/>
            <w:webHidden/>
          </w:rPr>
          <w:tab/>
        </w:r>
        <w:r w:rsidR="009A6FEC">
          <w:rPr>
            <w:noProof/>
            <w:webHidden/>
          </w:rPr>
          <w:fldChar w:fldCharType="begin"/>
        </w:r>
        <w:r w:rsidR="009A6FEC">
          <w:rPr>
            <w:noProof/>
            <w:webHidden/>
          </w:rPr>
          <w:instrText xml:space="preserve"> PAGEREF _Toc93390298 \h </w:instrText>
        </w:r>
        <w:r w:rsidR="009A6FEC">
          <w:rPr>
            <w:noProof/>
            <w:webHidden/>
          </w:rPr>
        </w:r>
        <w:r w:rsidR="009A6FEC">
          <w:rPr>
            <w:noProof/>
            <w:webHidden/>
          </w:rPr>
          <w:fldChar w:fldCharType="separate"/>
        </w:r>
        <w:r w:rsidR="009F0282">
          <w:rPr>
            <w:noProof/>
            <w:webHidden/>
          </w:rPr>
          <w:t>108</w:t>
        </w:r>
        <w:r w:rsidR="009A6FEC">
          <w:rPr>
            <w:noProof/>
            <w:webHidden/>
          </w:rPr>
          <w:fldChar w:fldCharType="end"/>
        </w:r>
      </w:hyperlink>
    </w:p>
    <w:p w14:paraId="55BBA3C0" w14:textId="22410CD6" w:rsidR="009A6FEC" w:rsidRDefault="00B455B7">
      <w:pPr>
        <w:pStyle w:val="TOC2"/>
        <w:rPr>
          <w:rFonts w:eastAsiaTheme="minorEastAsia"/>
          <w:color w:val="auto"/>
          <w:sz w:val="22"/>
          <w:szCs w:val="22"/>
          <w:lang w:eastAsia="fr-FR"/>
        </w:rPr>
      </w:pPr>
      <w:hyperlink w:anchor="_Toc93390299" w:history="1">
        <w:r w:rsidR="009A6FEC" w:rsidRPr="00F91BFA">
          <w:rPr>
            <w:rStyle w:val="Hyperlink"/>
          </w:rPr>
          <w:t>4.1</w:t>
        </w:r>
        <w:r w:rsidR="009A6FEC">
          <w:rPr>
            <w:rFonts w:eastAsiaTheme="minorEastAsia"/>
            <w:color w:val="auto"/>
            <w:sz w:val="22"/>
            <w:szCs w:val="22"/>
            <w:lang w:eastAsia="fr-FR"/>
          </w:rPr>
          <w:tab/>
        </w:r>
        <w:r w:rsidR="009A6FEC" w:rsidRPr="00F91BFA">
          <w:rPr>
            <w:rStyle w:val="Hyperlink"/>
          </w:rPr>
          <w:t>Les paramètres à prendre en compte pour définir la stratégie d’investissement de la région au travers des instruments financiers</w:t>
        </w:r>
        <w:r w:rsidR="009A6FEC">
          <w:rPr>
            <w:webHidden/>
          </w:rPr>
          <w:tab/>
        </w:r>
        <w:r w:rsidR="009A6FEC">
          <w:rPr>
            <w:webHidden/>
          </w:rPr>
          <w:fldChar w:fldCharType="begin"/>
        </w:r>
        <w:r w:rsidR="009A6FEC">
          <w:rPr>
            <w:webHidden/>
          </w:rPr>
          <w:instrText xml:space="preserve"> PAGEREF _Toc93390299 \h </w:instrText>
        </w:r>
        <w:r w:rsidR="009A6FEC">
          <w:rPr>
            <w:webHidden/>
          </w:rPr>
        </w:r>
        <w:r w:rsidR="009A6FEC">
          <w:rPr>
            <w:webHidden/>
          </w:rPr>
          <w:fldChar w:fldCharType="separate"/>
        </w:r>
        <w:r w:rsidR="009F0282">
          <w:rPr>
            <w:webHidden/>
          </w:rPr>
          <w:t>108</w:t>
        </w:r>
        <w:r w:rsidR="009A6FEC">
          <w:rPr>
            <w:webHidden/>
          </w:rPr>
          <w:fldChar w:fldCharType="end"/>
        </w:r>
      </w:hyperlink>
    </w:p>
    <w:p w14:paraId="1A85EE58" w14:textId="34963753" w:rsidR="009A6FEC" w:rsidRDefault="00B455B7">
      <w:pPr>
        <w:pStyle w:val="TOC2"/>
        <w:rPr>
          <w:rFonts w:eastAsiaTheme="minorEastAsia"/>
          <w:color w:val="auto"/>
          <w:sz w:val="22"/>
          <w:szCs w:val="22"/>
          <w:lang w:eastAsia="fr-FR"/>
        </w:rPr>
      </w:pPr>
      <w:hyperlink w:anchor="_Toc93390300" w:history="1">
        <w:r w:rsidR="009A6FEC" w:rsidRPr="00F91BFA">
          <w:rPr>
            <w:rStyle w:val="Hyperlink"/>
          </w:rPr>
          <w:t>4.2</w:t>
        </w:r>
        <w:r w:rsidR="009A6FEC">
          <w:rPr>
            <w:rFonts w:eastAsiaTheme="minorEastAsia"/>
            <w:color w:val="auto"/>
            <w:sz w:val="22"/>
            <w:szCs w:val="22"/>
            <w:lang w:eastAsia="fr-FR"/>
          </w:rPr>
          <w:tab/>
        </w:r>
        <w:r w:rsidR="009A6FEC" w:rsidRPr="00F91BFA">
          <w:rPr>
            <w:rStyle w:val="Hyperlink"/>
          </w:rPr>
          <w:t>Les paramètres à prendre en compte pour définir l’intervention des FESI sur les instruments financiers régionaux</w:t>
        </w:r>
        <w:r w:rsidR="009A6FEC">
          <w:rPr>
            <w:webHidden/>
          </w:rPr>
          <w:tab/>
        </w:r>
        <w:r w:rsidR="009A6FEC">
          <w:rPr>
            <w:webHidden/>
          </w:rPr>
          <w:fldChar w:fldCharType="begin"/>
        </w:r>
        <w:r w:rsidR="009A6FEC">
          <w:rPr>
            <w:webHidden/>
          </w:rPr>
          <w:instrText xml:space="preserve"> PAGEREF _Toc93390300 \h </w:instrText>
        </w:r>
        <w:r w:rsidR="009A6FEC">
          <w:rPr>
            <w:webHidden/>
          </w:rPr>
        </w:r>
        <w:r w:rsidR="009A6FEC">
          <w:rPr>
            <w:webHidden/>
          </w:rPr>
          <w:fldChar w:fldCharType="separate"/>
        </w:r>
        <w:r w:rsidR="009F0282">
          <w:rPr>
            <w:webHidden/>
          </w:rPr>
          <w:t>108</w:t>
        </w:r>
        <w:r w:rsidR="009A6FEC">
          <w:rPr>
            <w:webHidden/>
          </w:rPr>
          <w:fldChar w:fldCharType="end"/>
        </w:r>
      </w:hyperlink>
    </w:p>
    <w:p w14:paraId="1F156789" w14:textId="01D52CDE" w:rsidR="009A6FEC" w:rsidRDefault="00B455B7">
      <w:pPr>
        <w:pStyle w:val="TOC2"/>
        <w:rPr>
          <w:rFonts w:eastAsiaTheme="minorEastAsia"/>
          <w:color w:val="auto"/>
          <w:sz w:val="22"/>
          <w:szCs w:val="22"/>
          <w:lang w:eastAsia="fr-FR"/>
        </w:rPr>
      </w:pPr>
      <w:hyperlink w:anchor="_Toc93390301" w:history="1">
        <w:r w:rsidR="009A6FEC" w:rsidRPr="00F91BFA">
          <w:rPr>
            <w:rStyle w:val="Hyperlink"/>
          </w:rPr>
          <w:t>4.3</w:t>
        </w:r>
        <w:r w:rsidR="009A6FEC">
          <w:rPr>
            <w:rFonts w:eastAsiaTheme="minorEastAsia"/>
            <w:color w:val="auto"/>
            <w:sz w:val="22"/>
            <w:szCs w:val="22"/>
            <w:lang w:eastAsia="fr-FR"/>
          </w:rPr>
          <w:tab/>
        </w:r>
        <w:r w:rsidR="009A6FEC" w:rsidRPr="00F91BFA">
          <w:rPr>
            <w:rStyle w:val="Hyperlink"/>
          </w:rPr>
          <w:t>Les outils préconisés pour répondre aux défaillances de marché et situations de financement sous-optimales</w:t>
        </w:r>
        <w:r w:rsidR="009A6FEC">
          <w:rPr>
            <w:webHidden/>
          </w:rPr>
          <w:tab/>
        </w:r>
        <w:r w:rsidR="009A6FEC">
          <w:rPr>
            <w:webHidden/>
          </w:rPr>
          <w:fldChar w:fldCharType="begin"/>
        </w:r>
        <w:r w:rsidR="009A6FEC">
          <w:rPr>
            <w:webHidden/>
          </w:rPr>
          <w:instrText xml:space="preserve"> PAGEREF _Toc93390301 \h </w:instrText>
        </w:r>
        <w:r w:rsidR="009A6FEC">
          <w:rPr>
            <w:webHidden/>
          </w:rPr>
        </w:r>
        <w:r w:rsidR="009A6FEC">
          <w:rPr>
            <w:webHidden/>
          </w:rPr>
          <w:fldChar w:fldCharType="separate"/>
        </w:r>
        <w:r w:rsidR="009F0282">
          <w:rPr>
            <w:webHidden/>
          </w:rPr>
          <w:t>109</w:t>
        </w:r>
        <w:r w:rsidR="009A6FEC">
          <w:rPr>
            <w:webHidden/>
          </w:rPr>
          <w:fldChar w:fldCharType="end"/>
        </w:r>
      </w:hyperlink>
    </w:p>
    <w:p w14:paraId="1331A3C7" w14:textId="6A26FF96" w:rsidR="009A6FEC" w:rsidRDefault="00B455B7">
      <w:pPr>
        <w:pStyle w:val="TOC2"/>
        <w:rPr>
          <w:rFonts w:eastAsiaTheme="minorEastAsia"/>
          <w:color w:val="auto"/>
          <w:sz w:val="22"/>
          <w:szCs w:val="22"/>
          <w:lang w:eastAsia="fr-FR"/>
        </w:rPr>
      </w:pPr>
      <w:hyperlink w:anchor="_Toc93390302" w:history="1">
        <w:r w:rsidR="009A6FEC" w:rsidRPr="00F91BFA">
          <w:rPr>
            <w:rStyle w:val="Hyperlink"/>
          </w:rPr>
          <w:t>4.4</w:t>
        </w:r>
        <w:r w:rsidR="009A6FEC">
          <w:rPr>
            <w:rFonts w:eastAsiaTheme="minorEastAsia"/>
            <w:color w:val="auto"/>
            <w:sz w:val="22"/>
            <w:szCs w:val="22"/>
            <w:lang w:eastAsia="fr-FR"/>
          </w:rPr>
          <w:tab/>
        </w:r>
        <w:r w:rsidR="009A6FEC" w:rsidRPr="00F91BFA">
          <w:rPr>
            <w:rStyle w:val="Hyperlink"/>
          </w:rPr>
          <w:t>La gouvernance de la politique régionale des instruments financiers recevant du FEDER</w:t>
        </w:r>
        <w:r w:rsidR="009A6FEC">
          <w:rPr>
            <w:webHidden/>
          </w:rPr>
          <w:tab/>
        </w:r>
        <w:r w:rsidR="009A6FEC">
          <w:rPr>
            <w:webHidden/>
          </w:rPr>
          <w:fldChar w:fldCharType="begin"/>
        </w:r>
        <w:r w:rsidR="009A6FEC">
          <w:rPr>
            <w:webHidden/>
          </w:rPr>
          <w:instrText xml:space="preserve"> PAGEREF _Toc93390302 \h </w:instrText>
        </w:r>
        <w:r w:rsidR="009A6FEC">
          <w:rPr>
            <w:webHidden/>
          </w:rPr>
        </w:r>
        <w:r w:rsidR="009A6FEC">
          <w:rPr>
            <w:webHidden/>
          </w:rPr>
          <w:fldChar w:fldCharType="separate"/>
        </w:r>
        <w:r w:rsidR="009F0282">
          <w:rPr>
            <w:webHidden/>
          </w:rPr>
          <w:t>114</w:t>
        </w:r>
        <w:r w:rsidR="009A6FEC">
          <w:rPr>
            <w:webHidden/>
          </w:rPr>
          <w:fldChar w:fldCharType="end"/>
        </w:r>
      </w:hyperlink>
    </w:p>
    <w:p w14:paraId="7264B4D3" w14:textId="75280D82" w:rsidR="009A6FEC" w:rsidRDefault="00B455B7">
      <w:pPr>
        <w:pStyle w:val="TOC1"/>
        <w:tabs>
          <w:tab w:val="left" w:pos="1247"/>
        </w:tabs>
        <w:rPr>
          <w:rFonts w:eastAsiaTheme="minorEastAsia"/>
          <w:noProof/>
          <w:color w:val="auto"/>
          <w:sz w:val="22"/>
          <w:szCs w:val="22"/>
          <w:lang w:eastAsia="fr-FR"/>
        </w:rPr>
      </w:pPr>
      <w:hyperlink w:anchor="_Toc93390303" w:history="1">
        <w:r w:rsidR="009A6FEC" w:rsidRPr="00F91BFA">
          <w:rPr>
            <w:rStyle w:val="Hyperlink"/>
            <w:noProof/>
            <w14:scene3d>
              <w14:camera w14:prst="orthographicFront"/>
              <w14:lightRig w14:rig="threePt" w14:dir="t">
                <w14:rot w14:lat="0" w14:lon="0" w14:rev="0"/>
              </w14:lightRig>
            </w14:scene3d>
          </w:rPr>
          <w:t>Annexe A</w:t>
        </w:r>
        <w:r w:rsidR="009A6FEC">
          <w:rPr>
            <w:rFonts w:eastAsiaTheme="minorEastAsia"/>
            <w:noProof/>
            <w:color w:val="auto"/>
            <w:sz w:val="22"/>
            <w:szCs w:val="22"/>
            <w:lang w:eastAsia="fr-FR"/>
          </w:rPr>
          <w:tab/>
        </w:r>
        <w:r w:rsidR="009A6FEC" w:rsidRPr="00F91BFA">
          <w:rPr>
            <w:rStyle w:val="Hyperlink"/>
            <w:noProof/>
          </w:rPr>
          <w:t>Structures interrogées en entretien diagnostic</w:t>
        </w:r>
        <w:r w:rsidR="009A6FEC">
          <w:rPr>
            <w:noProof/>
            <w:webHidden/>
          </w:rPr>
          <w:tab/>
        </w:r>
        <w:r w:rsidR="009A6FEC">
          <w:rPr>
            <w:noProof/>
            <w:webHidden/>
          </w:rPr>
          <w:fldChar w:fldCharType="begin"/>
        </w:r>
        <w:r w:rsidR="009A6FEC">
          <w:rPr>
            <w:noProof/>
            <w:webHidden/>
          </w:rPr>
          <w:instrText xml:space="preserve"> PAGEREF _Toc93390303 \h </w:instrText>
        </w:r>
        <w:r w:rsidR="009A6FEC">
          <w:rPr>
            <w:noProof/>
            <w:webHidden/>
          </w:rPr>
        </w:r>
        <w:r w:rsidR="009A6FEC">
          <w:rPr>
            <w:noProof/>
            <w:webHidden/>
          </w:rPr>
          <w:fldChar w:fldCharType="separate"/>
        </w:r>
        <w:r w:rsidR="009F0282">
          <w:rPr>
            <w:noProof/>
            <w:webHidden/>
          </w:rPr>
          <w:t>120</w:t>
        </w:r>
        <w:r w:rsidR="009A6FEC">
          <w:rPr>
            <w:noProof/>
            <w:webHidden/>
          </w:rPr>
          <w:fldChar w:fldCharType="end"/>
        </w:r>
      </w:hyperlink>
    </w:p>
    <w:p w14:paraId="1C79F0F3" w14:textId="1C9B3A47" w:rsidR="009A6FEC" w:rsidRDefault="00B455B7">
      <w:pPr>
        <w:pStyle w:val="TOC1"/>
        <w:tabs>
          <w:tab w:val="left" w:pos="1247"/>
        </w:tabs>
        <w:rPr>
          <w:rFonts w:eastAsiaTheme="minorEastAsia"/>
          <w:noProof/>
          <w:color w:val="auto"/>
          <w:sz w:val="22"/>
          <w:szCs w:val="22"/>
          <w:lang w:eastAsia="fr-FR"/>
        </w:rPr>
      </w:pPr>
      <w:hyperlink w:anchor="_Toc93390304" w:history="1">
        <w:r w:rsidR="009A6FEC" w:rsidRPr="00F91BFA">
          <w:rPr>
            <w:rStyle w:val="Hyperlink"/>
            <w:noProof/>
            <w14:scene3d>
              <w14:camera w14:prst="orthographicFront"/>
              <w14:lightRig w14:rig="threePt" w14:dir="t">
                <w14:rot w14:lat="0" w14:lon="0" w14:rev="0"/>
              </w14:lightRig>
            </w14:scene3d>
          </w:rPr>
          <w:t>Annexe B</w:t>
        </w:r>
        <w:r w:rsidR="009A6FEC">
          <w:rPr>
            <w:rFonts w:eastAsiaTheme="minorEastAsia"/>
            <w:noProof/>
            <w:color w:val="auto"/>
            <w:sz w:val="22"/>
            <w:szCs w:val="22"/>
            <w:lang w:eastAsia="fr-FR"/>
          </w:rPr>
          <w:tab/>
        </w:r>
        <w:r w:rsidR="009A6FEC" w:rsidRPr="00F91BFA">
          <w:rPr>
            <w:rStyle w:val="Hyperlink"/>
            <w:noProof/>
          </w:rPr>
          <w:t>Benchmarks</w:t>
        </w:r>
        <w:r w:rsidR="009A6FEC">
          <w:rPr>
            <w:noProof/>
            <w:webHidden/>
          </w:rPr>
          <w:tab/>
        </w:r>
        <w:r w:rsidR="009A6FEC">
          <w:rPr>
            <w:noProof/>
            <w:webHidden/>
          </w:rPr>
          <w:fldChar w:fldCharType="begin"/>
        </w:r>
        <w:r w:rsidR="009A6FEC">
          <w:rPr>
            <w:noProof/>
            <w:webHidden/>
          </w:rPr>
          <w:instrText xml:space="preserve"> PAGEREF _Toc93390304 \h </w:instrText>
        </w:r>
        <w:r w:rsidR="009A6FEC">
          <w:rPr>
            <w:noProof/>
            <w:webHidden/>
          </w:rPr>
        </w:r>
        <w:r w:rsidR="009A6FEC">
          <w:rPr>
            <w:noProof/>
            <w:webHidden/>
          </w:rPr>
          <w:fldChar w:fldCharType="separate"/>
        </w:r>
        <w:r w:rsidR="009F0282">
          <w:rPr>
            <w:noProof/>
            <w:webHidden/>
          </w:rPr>
          <w:t>122</w:t>
        </w:r>
        <w:r w:rsidR="009A6FEC">
          <w:rPr>
            <w:noProof/>
            <w:webHidden/>
          </w:rPr>
          <w:fldChar w:fldCharType="end"/>
        </w:r>
      </w:hyperlink>
    </w:p>
    <w:p w14:paraId="0D1D5C25" w14:textId="0A1767A0" w:rsidR="009A6FEC" w:rsidRDefault="00B455B7">
      <w:pPr>
        <w:pStyle w:val="TOC2"/>
        <w:rPr>
          <w:rFonts w:eastAsiaTheme="minorEastAsia"/>
          <w:color w:val="auto"/>
          <w:sz w:val="22"/>
          <w:szCs w:val="22"/>
          <w:lang w:eastAsia="fr-FR"/>
        </w:rPr>
      </w:pPr>
      <w:hyperlink w:anchor="_Toc93390305" w:history="1">
        <w:r w:rsidR="009A6FEC" w:rsidRPr="00F91BFA">
          <w:rPr>
            <w:rStyle w:val="Hyperlink"/>
            <w14:scene3d>
              <w14:camera w14:prst="orthographicFront"/>
              <w14:lightRig w14:rig="threePt" w14:dir="t">
                <w14:rot w14:lat="0" w14:lon="0" w14:rev="0"/>
              </w14:lightRig>
            </w14:scene3d>
          </w:rPr>
          <w:t>A.1</w:t>
        </w:r>
        <w:r w:rsidR="009A6FEC">
          <w:rPr>
            <w:rFonts w:eastAsiaTheme="minorEastAsia"/>
            <w:color w:val="auto"/>
            <w:sz w:val="22"/>
            <w:szCs w:val="22"/>
            <w:lang w:eastAsia="fr-FR"/>
          </w:rPr>
          <w:tab/>
        </w:r>
        <w:r w:rsidR="009A6FEC" w:rsidRPr="00F91BFA">
          <w:rPr>
            <w:rStyle w:val="Hyperlink"/>
          </w:rPr>
          <w:t>SPL OSER</w:t>
        </w:r>
        <w:r w:rsidR="009A6FEC">
          <w:rPr>
            <w:webHidden/>
          </w:rPr>
          <w:tab/>
        </w:r>
        <w:r w:rsidR="009A6FEC">
          <w:rPr>
            <w:webHidden/>
          </w:rPr>
          <w:fldChar w:fldCharType="begin"/>
        </w:r>
        <w:r w:rsidR="009A6FEC">
          <w:rPr>
            <w:webHidden/>
          </w:rPr>
          <w:instrText xml:space="preserve"> PAGEREF _Toc93390305 \h </w:instrText>
        </w:r>
        <w:r w:rsidR="009A6FEC">
          <w:rPr>
            <w:webHidden/>
          </w:rPr>
        </w:r>
        <w:r w:rsidR="009A6FEC">
          <w:rPr>
            <w:webHidden/>
          </w:rPr>
          <w:fldChar w:fldCharType="separate"/>
        </w:r>
        <w:r w:rsidR="009F0282">
          <w:rPr>
            <w:webHidden/>
          </w:rPr>
          <w:t>122</w:t>
        </w:r>
        <w:r w:rsidR="009A6FEC">
          <w:rPr>
            <w:webHidden/>
          </w:rPr>
          <w:fldChar w:fldCharType="end"/>
        </w:r>
      </w:hyperlink>
    </w:p>
    <w:p w14:paraId="3A649DF5" w14:textId="3EEF1095" w:rsidR="009A6FEC" w:rsidRDefault="00B455B7">
      <w:pPr>
        <w:pStyle w:val="TOC3"/>
        <w:rPr>
          <w:rFonts w:eastAsiaTheme="minorEastAsia"/>
          <w:color w:val="auto"/>
          <w:sz w:val="22"/>
          <w:szCs w:val="22"/>
          <w:lang w:eastAsia="fr-FR"/>
        </w:rPr>
      </w:pPr>
      <w:hyperlink w:anchor="_Toc93390306" w:history="1">
        <w:r w:rsidR="009A6FEC" w:rsidRPr="00F91BFA">
          <w:rPr>
            <w:rStyle w:val="Hyperlink"/>
            <w14:scene3d>
              <w14:camera w14:prst="orthographicFront"/>
              <w14:lightRig w14:rig="threePt" w14:dir="t">
                <w14:rot w14:lat="0" w14:lon="0" w14:rev="0"/>
              </w14:lightRig>
            </w14:scene3d>
          </w:rPr>
          <w:t>B.1.1</w:t>
        </w:r>
        <w:r w:rsidR="009A6FEC">
          <w:rPr>
            <w:rFonts w:eastAsiaTheme="minorEastAsia"/>
            <w:color w:val="auto"/>
            <w:sz w:val="22"/>
            <w:szCs w:val="22"/>
            <w:lang w:eastAsia="fr-FR"/>
          </w:rPr>
          <w:tab/>
        </w:r>
        <w:r w:rsidR="009A6FEC" w:rsidRPr="00F91BFA">
          <w:rPr>
            <w:rStyle w:val="Hyperlink"/>
          </w:rPr>
          <w:t>Éléments de contexte : pourquoi le fonds a été créé ?</w:t>
        </w:r>
        <w:r w:rsidR="009A6FEC">
          <w:rPr>
            <w:webHidden/>
          </w:rPr>
          <w:tab/>
        </w:r>
        <w:r w:rsidR="009A6FEC">
          <w:rPr>
            <w:webHidden/>
          </w:rPr>
          <w:fldChar w:fldCharType="begin"/>
        </w:r>
        <w:r w:rsidR="009A6FEC">
          <w:rPr>
            <w:webHidden/>
          </w:rPr>
          <w:instrText xml:space="preserve"> PAGEREF _Toc93390306 \h </w:instrText>
        </w:r>
        <w:r w:rsidR="009A6FEC">
          <w:rPr>
            <w:webHidden/>
          </w:rPr>
        </w:r>
        <w:r w:rsidR="009A6FEC">
          <w:rPr>
            <w:webHidden/>
          </w:rPr>
          <w:fldChar w:fldCharType="separate"/>
        </w:r>
        <w:r w:rsidR="009F0282">
          <w:rPr>
            <w:webHidden/>
          </w:rPr>
          <w:t>122</w:t>
        </w:r>
        <w:r w:rsidR="009A6FEC">
          <w:rPr>
            <w:webHidden/>
          </w:rPr>
          <w:fldChar w:fldCharType="end"/>
        </w:r>
      </w:hyperlink>
    </w:p>
    <w:p w14:paraId="410C816B" w14:textId="745C0B74" w:rsidR="009A6FEC" w:rsidRDefault="00B455B7">
      <w:pPr>
        <w:pStyle w:val="TOC3"/>
        <w:rPr>
          <w:rFonts w:eastAsiaTheme="minorEastAsia"/>
          <w:color w:val="auto"/>
          <w:sz w:val="22"/>
          <w:szCs w:val="22"/>
          <w:lang w:eastAsia="fr-FR"/>
        </w:rPr>
      </w:pPr>
      <w:hyperlink w:anchor="_Toc93390307" w:history="1">
        <w:r w:rsidR="009A6FEC" w:rsidRPr="00F91BFA">
          <w:rPr>
            <w:rStyle w:val="Hyperlink"/>
            <w14:scene3d>
              <w14:camera w14:prst="orthographicFront"/>
              <w14:lightRig w14:rig="threePt" w14:dir="t">
                <w14:rot w14:lat="0" w14:lon="0" w14:rev="0"/>
              </w14:lightRig>
            </w14:scene3d>
          </w:rPr>
          <w:t>B.1.2</w:t>
        </w:r>
        <w:r w:rsidR="009A6FEC">
          <w:rPr>
            <w:rFonts w:eastAsiaTheme="minorEastAsia"/>
            <w:color w:val="auto"/>
            <w:sz w:val="22"/>
            <w:szCs w:val="22"/>
            <w:lang w:eastAsia="fr-FR"/>
          </w:rPr>
          <w:tab/>
        </w:r>
        <w:r w:rsidR="009A6FEC" w:rsidRPr="00F91BFA">
          <w:rPr>
            <w:rStyle w:val="Hyperlink"/>
          </w:rPr>
          <w:t>Objectifs du fonds</w:t>
        </w:r>
        <w:r w:rsidR="009A6FEC">
          <w:rPr>
            <w:webHidden/>
          </w:rPr>
          <w:tab/>
        </w:r>
        <w:r w:rsidR="009A6FEC">
          <w:rPr>
            <w:webHidden/>
          </w:rPr>
          <w:fldChar w:fldCharType="begin"/>
        </w:r>
        <w:r w:rsidR="009A6FEC">
          <w:rPr>
            <w:webHidden/>
          </w:rPr>
          <w:instrText xml:space="preserve"> PAGEREF _Toc93390307 \h </w:instrText>
        </w:r>
        <w:r w:rsidR="009A6FEC">
          <w:rPr>
            <w:webHidden/>
          </w:rPr>
        </w:r>
        <w:r w:rsidR="009A6FEC">
          <w:rPr>
            <w:webHidden/>
          </w:rPr>
          <w:fldChar w:fldCharType="separate"/>
        </w:r>
        <w:r w:rsidR="009F0282">
          <w:rPr>
            <w:webHidden/>
          </w:rPr>
          <w:t>122</w:t>
        </w:r>
        <w:r w:rsidR="009A6FEC">
          <w:rPr>
            <w:webHidden/>
          </w:rPr>
          <w:fldChar w:fldCharType="end"/>
        </w:r>
      </w:hyperlink>
    </w:p>
    <w:p w14:paraId="17CDAF4E" w14:textId="0A304D7E" w:rsidR="009A6FEC" w:rsidRDefault="00B455B7">
      <w:pPr>
        <w:pStyle w:val="TOC3"/>
        <w:rPr>
          <w:rFonts w:eastAsiaTheme="minorEastAsia"/>
          <w:color w:val="auto"/>
          <w:sz w:val="22"/>
          <w:szCs w:val="22"/>
          <w:lang w:eastAsia="fr-FR"/>
        </w:rPr>
      </w:pPr>
      <w:hyperlink w:anchor="_Toc93390308" w:history="1">
        <w:r w:rsidR="009A6FEC" w:rsidRPr="00F91BFA">
          <w:rPr>
            <w:rStyle w:val="Hyperlink"/>
            <w14:scene3d>
              <w14:camera w14:prst="orthographicFront"/>
              <w14:lightRig w14:rig="threePt" w14:dir="t">
                <w14:rot w14:lat="0" w14:lon="0" w14:rev="0"/>
              </w14:lightRig>
            </w14:scene3d>
          </w:rPr>
          <w:t>B.1.3</w:t>
        </w:r>
        <w:r w:rsidR="009A6FEC">
          <w:rPr>
            <w:rFonts w:eastAsiaTheme="minorEastAsia"/>
            <w:color w:val="auto"/>
            <w:sz w:val="22"/>
            <w:szCs w:val="22"/>
            <w:lang w:eastAsia="fr-FR"/>
          </w:rPr>
          <w:tab/>
        </w:r>
        <w:r w:rsidR="009A6FEC" w:rsidRPr="00F91BFA">
          <w:rPr>
            <w:rStyle w:val="Hyperlink"/>
          </w:rPr>
          <w:t>Présentation du fonds</w:t>
        </w:r>
        <w:r w:rsidR="009A6FEC">
          <w:rPr>
            <w:webHidden/>
          </w:rPr>
          <w:tab/>
        </w:r>
        <w:r w:rsidR="009A6FEC">
          <w:rPr>
            <w:webHidden/>
          </w:rPr>
          <w:fldChar w:fldCharType="begin"/>
        </w:r>
        <w:r w:rsidR="009A6FEC">
          <w:rPr>
            <w:webHidden/>
          </w:rPr>
          <w:instrText xml:space="preserve"> PAGEREF _Toc93390308 \h </w:instrText>
        </w:r>
        <w:r w:rsidR="009A6FEC">
          <w:rPr>
            <w:webHidden/>
          </w:rPr>
        </w:r>
        <w:r w:rsidR="009A6FEC">
          <w:rPr>
            <w:webHidden/>
          </w:rPr>
          <w:fldChar w:fldCharType="separate"/>
        </w:r>
        <w:r w:rsidR="009F0282">
          <w:rPr>
            <w:webHidden/>
          </w:rPr>
          <w:t>122</w:t>
        </w:r>
        <w:r w:rsidR="009A6FEC">
          <w:rPr>
            <w:webHidden/>
          </w:rPr>
          <w:fldChar w:fldCharType="end"/>
        </w:r>
      </w:hyperlink>
    </w:p>
    <w:p w14:paraId="48CAF71C" w14:textId="7A19810F" w:rsidR="009A6FEC" w:rsidRDefault="00B455B7">
      <w:pPr>
        <w:pStyle w:val="TOC3"/>
        <w:rPr>
          <w:rFonts w:eastAsiaTheme="minorEastAsia"/>
          <w:color w:val="auto"/>
          <w:sz w:val="22"/>
          <w:szCs w:val="22"/>
          <w:lang w:eastAsia="fr-FR"/>
        </w:rPr>
      </w:pPr>
      <w:hyperlink w:anchor="_Toc93390309" w:history="1">
        <w:r w:rsidR="009A6FEC" w:rsidRPr="00F91BFA">
          <w:rPr>
            <w:rStyle w:val="Hyperlink"/>
            <w14:scene3d>
              <w14:camera w14:prst="orthographicFront"/>
              <w14:lightRig w14:rig="threePt" w14:dir="t">
                <w14:rot w14:lat="0" w14:lon="0" w14:rev="0"/>
              </w14:lightRig>
            </w14:scene3d>
          </w:rPr>
          <w:t>B.1.4</w:t>
        </w:r>
        <w:r w:rsidR="009A6FEC">
          <w:rPr>
            <w:rFonts w:eastAsiaTheme="minorEastAsia"/>
            <w:color w:val="auto"/>
            <w:sz w:val="22"/>
            <w:szCs w:val="22"/>
            <w:lang w:eastAsia="fr-FR"/>
          </w:rPr>
          <w:tab/>
        </w:r>
        <w:r w:rsidR="009A6FEC" w:rsidRPr="00F91BFA">
          <w:rPr>
            <w:rStyle w:val="Hyperlink"/>
          </w:rPr>
          <w:t>Principales actions engagées et résultats</w:t>
        </w:r>
        <w:r w:rsidR="009A6FEC">
          <w:rPr>
            <w:webHidden/>
          </w:rPr>
          <w:tab/>
        </w:r>
        <w:r w:rsidR="009A6FEC">
          <w:rPr>
            <w:webHidden/>
          </w:rPr>
          <w:fldChar w:fldCharType="begin"/>
        </w:r>
        <w:r w:rsidR="009A6FEC">
          <w:rPr>
            <w:webHidden/>
          </w:rPr>
          <w:instrText xml:space="preserve"> PAGEREF _Toc93390309 \h </w:instrText>
        </w:r>
        <w:r w:rsidR="009A6FEC">
          <w:rPr>
            <w:webHidden/>
          </w:rPr>
        </w:r>
        <w:r w:rsidR="009A6FEC">
          <w:rPr>
            <w:webHidden/>
          </w:rPr>
          <w:fldChar w:fldCharType="separate"/>
        </w:r>
        <w:r w:rsidR="009F0282">
          <w:rPr>
            <w:webHidden/>
          </w:rPr>
          <w:t>123</w:t>
        </w:r>
        <w:r w:rsidR="009A6FEC">
          <w:rPr>
            <w:webHidden/>
          </w:rPr>
          <w:fldChar w:fldCharType="end"/>
        </w:r>
      </w:hyperlink>
    </w:p>
    <w:p w14:paraId="2D76DAB8" w14:textId="3F7915AF" w:rsidR="009A6FEC" w:rsidRDefault="00B455B7">
      <w:pPr>
        <w:pStyle w:val="TOC3"/>
        <w:rPr>
          <w:rFonts w:eastAsiaTheme="minorEastAsia"/>
          <w:color w:val="auto"/>
          <w:sz w:val="22"/>
          <w:szCs w:val="22"/>
          <w:lang w:eastAsia="fr-FR"/>
        </w:rPr>
      </w:pPr>
      <w:hyperlink w:anchor="_Toc93390310" w:history="1">
        <w:r w:rsidR="009A6FEC" w:rsidRPr="00F91BFA">
          <w:rPr>
            <w:rStyle w:val="Hyperlink"/>
            <w14:scene3d>
              <w14:camera w14:prst="orthographicFront"/>
              <w14:lightRig w14:rig="threePt" w14:dir="t">
                <w14:rot w14:lat="0" w14:lon="0" w14:rev="0"/>
              </w14:lightRig>
            </w14:scene3d>
          </w:rPr>
          <w:t>B.1.5</w:t>
        </w:r>
        <w:r w:rsidR="009A6FEC">
          <w:rPr>
            <w:rFonts w:eastAsiaTheme="minorEastAsia"/>
            <w:color w:val="auto"/>
            <w:sz w:val="22"/>
            <w:szCs w:val="22"/>
            <w:lang w:eastAsia="fr-FR"/>
          </w:rPr>
          <w:tab/>
        </w:r>
        <w:r w:rsidR="009A6FEC" w:rsidRPr="00F91BFA">
          <w:rPr>
            <w:rStyle w:val="Hyperlink"/>
          </w:rPr>
          <w:t>Structuration et financement (dont partenaires)</w:t>
        </w:r>
        <w:r w:rsidR="009A6FEC">
          <w:rPr>
            <w:webHidden/>
          </w:rPr>
          <w:tab/>
        </w:r>
        <w:r w:rsidR="009A6FEC">
          <w:rPr>
            <w:webHidden/>
          </w:rPr>
          <w:fldChar w:fldCharType="begin"/>
        </w:r>
        <w:r w:rsidR="009A6FEC">
          <w:rPr>
            <w:webHidden/>
          </w:rPr>
          <w:instrText xml:space="preserve"> PAGEREF _Toc93390310 \h </w:instrText>
        </w:r>
        <w:r w:rsidR="009A6FEC">
          <w:rPr>
            <w:webHidden/>
          </w:rPr>
        </w:r>
        <w:r w:rsidR="009A6FEC">
          <w:rPr>
            <w:webHidden/>
          </w:rPr>
          <w:fldChar w:fldCharType="separate"/>
        </w:r>
        <w:r w:rsidR="009F0282">
          <w:rPr>
            <w:webHidden/>
          </w:rPr>
          <w:t>123</w:t>
        </w:r>
        <w:r w:rsidR="009A6FEC">
          <w:rPr>
            <w:webHidden/>
          </w:rPr>
          <w:fldChar w:fldCharType="end"/>
        </w:r>
      </w:hyperlink>
    </w:p>
    <w:p w14:paraId="43B18DC0" w14:textId="2341B085" w:rsidR="009A6FEC" w:rsidRDefault="00B455B7">
      <w:pPr>
        <w:pStyle w:val="TOC3"/>
        <w:rPr>
          <w:rFonts w:eastAsiaTheme="minorEastAsia"/>
          <w:color w:val="auto"/>
          <w:sz w:val="22"/>
          <w:szCs w:val="22"/>
          <w:lang w:eastAsia="fr-FR"/>
        </w:rPr>
      </w:pPr>
      <w:hyperlink w:anchor="_Toc93390311" w:history="1">
        <w:r w:rsidR="009A6FEC" w:rsidRPr="00F91BFA">
          <w:rPr>
            <w:rStyle w:val="Hyperlink"/>
            <w14:scene3d>
              <w14:camera w14:prst="orthographicFront"/>
              <w14:lightRig w14:rig="threePt" w14:dir="t">
                <w14:rot w14:lat="0" w14:lon="0" w14:rev="0"/>
              </w14:lightRig>
            </w14:scene3d>
          </w:rPr>
          <w:t>B.1.6</w:t>
        </w:r>
        <w:r w:rsidR="009A6FEC">
          <w:rPr>
            <w:rFonts w:eastAsiaTheme="minorEastAsia"/>
            <w:color w:val="auto"/>
            <w:sz w:val="22"/>
            <w:szCs w:val="22"/>
            <w:lang w:eastAsia="fr-FR"/>
          </w:rPr>
          <w:tab/>
        </w:r>
        <w:r w:rsidR="009A6FEC" w:rsidRPr="00F91BFA">
          <w:rPr>
            <w:rStyle w:val="Hyperlink"/>
          </w:rPr>
          <w:t>Enseignements</w:t>
        </w:r>
        <w:r w:rsidR="009A6FEC">
          <w:rPr>
            <w:webHidden/>
          </w:rPr>
          <w:tab/>
        </w:r>
        <w:r w:rsidR="009A6FEC">
          <w:rPr>
            <w:webHidden/>
          </w:rPr>
          <w:fldChar w:fldCharType="begin"/>
        </w:r>
        <w:r w:rsidR="009A6FEC">
          <w:rPr>
            <w:webHidden/>
          </w:rPr>
          <w:instrText xml:space="preserve"> PAGEREF _Toc93390311 \h </w:instrText>
        </w:r>
        <w:r w:rsidR="009A6FEC">
          <w:rPr>
            <w:webHidden/>
          </w:rPr>
        </w:r>
        <w:r w:rsidR="009A6FEC">
          <w:rPr>
            <w:webHidden/>
          </w:rPr>
          <w:fldChar w:fldCharType="separate"/>
        </w:r>
        <w:r w:rsidR="009F0282">
          <w:rPr>
            <w:webHidden/>
          </w:rPr>
          <w:t>124</w:t>
        </w:r>
        <w:r w:rsidR="009A6FEC">
          <w:rPr>
            <w:webHidden/>
          </w:rPr>
          <w:fldChar w:fldCharType="end"/>
        </w:r>
      </w:hyperlink>
    </w:p>
    <w:p w14:paraId="0D97CE7A" w14:textId="2A1D9EE8" w:rsidR="009A6FEC" w:rsidRDefault="00B455B7">
      <w:pPr>
        <w:pStyle w:val="TOC3"/>
        <w:rPr>
          <w:rFonts w:eastAsiaTheme="minorEastAsia"/>
          <w:color w:val="auto"/>
          <w:sz w:val="22"/>
          <w:szCs w:val="22"/>
          <w:lang w:eastAsia="fr-FR"/>
        </w:rPr>
      </w:pPr>
      <w:hyperlink w:anchor="_Toc93390312" w:history="1">
        <w:r w:rsidR="009A6FEC" w:rsidRPr="00F91BFA">
          <w:rPr>
            <w:rStyle w:val="Hyperlink"/>
            <w14:scene3d>
              <w14:camera w14:prst="orthographicFront"/>
              <w14:lightRig w14:rig="threePt" w14:dir="t">
                <w14:rot w14:lat="0" w14:lon="0" w14:rev="0"/>
              </w14:lightRig>
            </w14:scene3d>
          </w:rPr>
          <w:t>B.1.7</w:t>
        </w:r>
        <w:r w:rsidR="009A6FEC">
          <w:rPr>
            <w:rFonts w:eastAsiaTheme="minorEastAsia"/>
            <w:color w:val="auto"/>
            <w:sz w:val="22"/>
            <w:szCs w:val="22"/>
            <w:lang w:eastAsia="fr-FR"/>
          </w:rPr>
          <w:tab/>
        </w:r>
        <w:r w:rsidR="009A6FEC" w:rsidRPr="00F91BFA">
          <w:rPr>
            <w:rStyle w:val="Hyperlink"/>
          </w:rPr>
          <w:t>Clés de succès</w:t>
        </w:r>
        <w:r w:rsidR="009A6FEC">
          <w:rPr>
            <w:webHidden/>
          </w:rPr>
          <w:tab/>
        </w:r>
        <w:r w:rsidR="009A6FEC">
          <w:rPr>
            <w:webHidden/>
          </w:rPr>
          <w:fldChar w:fldCharType="begin"/>
        </w:r>
        <w:r w:rsidR="009A6FEC">
          <w:rPr>
            <w:webHidden/>
          </w:rPr>
          <w:instrText xml:space="preserve"> PAGEREF _Toc93390312 \h </w:instrText>
        </w:r>
        <w:r w:rsidR="009A6FEC">
          <w:rPr>
            <w:webHidden/>
          </w:rPr>
        </w:r>
        <w:r w:rsidR="009A6FEC">
          <w:rPr>
            <w:webHidden/>
          </w:rPr>
          <w:fldChar w:fldCharType="separate"/>
        </w:r>
        <w:r w:rsidR="009F0282">
          <w:rPr>
            <w:webHidden/>
          </w:rPr>
          <w:t>124</w:t>
        </w:r>
        <w:r w:rsidR="009A6FEC">
          <w:rPr>
            <w:webHidden/>
          </w:rPr>
          <w:fldChar w:fldCharType="end"/>
        </w:r>
      </w:hyperlink>
    </w:p>
    <w:p w14:paraId="13D8DBFD" w14:textId="4D65F3C9" w:rsidR="009A6FEC" w:rsidRDefault="00B455B7">
      <w:pPr>
        <w:pStyle w:val="TOC3"/>
        <w:rPr>
          <w:rFonts w:eastAsiaTheme="minorEastAsia"/>
          <w:color w:val="auto"/>
          <w:sz w:val="22"/>
          <w:szCs w:val="22"/>
          <w:lang w:eastAsia="fr-FR"/>
        </w:rPr>
      </w:pPr>
      <w:hyperlink w:anchor="_Toc93390313" w:history="1">
        <w:r w:rsidR="009A6FEC" w:rsidRPr="00F91BFA">
          <w:rPr>
            <w:rStyle w:val="Hyperlink"/>
            <w14:scene3d>
              <w14:camera w14:prst="orthographicFront"/>
              <w14:lightRig w14:rig="threePt" w14:dir="t">
                <w14:rot w14:lat="0" w14:lon="0" w14:rev="0"/>
              </w14:lightRig>
            </w14:scene3d>
          </w:rPr>
          <w:t>B.1.8</w:t>
        </w:r>
        <w:r w:rsidR="009A6FEC">
          <w:rPr>
            <w:rFonts w:eastAsiaTheme="minorEastAsia"/>
            <w:color w:val="auto"/>
            <w:sz w:val="22"/>
            <w:szCs w:val="22"/>
            <w:lang w:eastAsia="fr-FR"/>
          </w:rPr>
          <w:tab/>
        </w:r>
        <w:r w:rsidR="009A6FEC" w:rsidRPr="00F91BFA">
          <w:rPr>
            <w:rStyle w:val="Hyperlink"/>
          </w:rPr>
          <w:t>Mise en perspective par rapport à la région Hauts-de-France</w:t>
        </w:r>
        <w:r w:rsidR="009A6FEC">
          <w:rPr>
            <w:webHidden/>
          </w:rPr>
          <w:tab/>
        </w:r>
        <w:r w:rsidR="009A6FEC">
          <w:rPr>
            <w:webHidden/>
          </w:rPr>
          <w:fldChar w:fldCharType="begin"/>
        </w:r>
        <w:r w:rsidR="009A6FEC">
          <w:rPr>
            <w:webHidden/>
          </w:rPr>
          <w:instrText xml:space="preserve"> PAGEREF _Toc93390313 \h </w:instrText>
        </w:r>
        <w:r w:rsidR="009A6FEC">
          <w:rPr>
            <w:webHidden/>
          </w:rPr>
        </w:r>
        <w:r w:rsidR="009A6FEC">
          <w:rPr>
            <w:webHidden/>
          </w:rPr>
          <w:fldChar w:fldCharType="separate"/>
        </w:r>
        <w:r w:rsidR="009F0282">
          <w:rPr>
            <w:webHidden/>
          </w:rPr>
          <w:t>124</w:t>
        </w:r>
        <w:r w:rsidR="009A6FEC">
          <w:rPr>
            <w:webHidden/>
          </w:rPr>
          <w:fldChar w:fldCharType="end"/>
        </w:r>
      </w:hyperlink>
    </w:p>
    <w:p w14:paraId="017C3F32" w14:textId="5B464720" w:rsidR="009A6FEC" w:rsidRDefault="00B455B7">
      <w:pPr>
        <w:pStyle w:val="TOC3"/>
        <w:rPr>
          <w:rFonts w:eastAsiaTheme="minorEastAsia"/>
          <w:color w:val="auto"/>
          <w:sz w:val="22"/>
          <w:szCs w:val="22"/>
          <w:lang w:eastAsia="fr-FR"/>
        </w:rPr>
      </w:pPr>
      <w:hyperlink w:anchor="_Toc93390314" w:history="1">
        <w:r w:rsidR="009A6FEC" w:rsidRPr="00F91BFA">
          <w:rPr>
            <w:rStyle w:val="Hyperlink"/>
            <w14:scene3d>
              <w14:camera w14:prst="orthographicFront"/>
              <w14:lightRig w14:rig="threePt" w14:dir="t">
                <w14:rot w14:lat="0" w14:lon="0" w14:rev="0"/>
              </w14:lightRig>
            </w14:scene3d>
          </w:rPr>
          <w:t>B.1.9</w:t>
        </w:r>
        <w:r w:rsidR="009A6FEC">
          <w:rPr>
            <w:rFonts w:eastAsiaTheme="minorEastAsia"/>
            <w:color w:val="auto"/>
            <w:sz w:val="22"/>
            <w:szCs w:val="22"/>
            <w:lang w:eastAsia="fr-FR"/>
          </w:rPr>
          <w:tab/>
        </w:r>
        <w:r w:rsidR="009A6FEC" w:rsidRPr="00F91BFA">
          <w:rPr>
            <w:rStyle w:val="Hyperlink"/>
          </w:rPr>
          <w:t>Contact</w:t>
        </w:r>
        <w:r w:rsidR="009A6FEC">
          <w:rPr>
            <w:webHidden/>
          </w:rPr>
          <w:tab/>
        </w:r>
        <w:r w:rsidR="009A6FEC">
          <w:rPr>
            <w:webHidden/>
          </w:rPr>
          <w:fldChar w:fldCharType="begin"/>
        </w:r>
        <w:r w:rsidR="009A6FEC">
          <w:rPr>
            <w:webHidden/>
          </w:rPr>
          <w:instrText xml:space="preserve"> PAGEREF _Toc93390314 \h </w:instrText>
        </w:r>
        <w:r w:rsidR="009A6FEC">
          <w:rPr>
            <w:webHidden/>
          </w:rPr>
        </w:r>
        <w:r w:rsidR="009A6FEC">
          <w:rPr>
            <w:webHidden/>
          </w:rPr>
          <w:fldChar w:fldCharType="separate"/>
        </w:r>
        <w:r w:rsidR="009F0282">
          <w:rPr>
            <w:webHidden/>
          </w:rPr>
          <w:t>124</w:t>
        </w:r>
        <w:r w:rsidR="009A6FEC">
          <w:rPr>
            <w:webHidden/>
          </w:rPr>
          <w:fldChar w:fldCharType="end"/>
        </w:r>
      </w:hyperlink>
    </w:p>
    <w:p w14:paraId="1691232E" w14:textId="3223800D" w:rsidR="009A6FEC" w:rsidRDefault="00B455B7">
      <w:pPr>
        <w:pStyle w:val="TOC3"/>
        <w:rPr>
          <w:rFonts w:eastAsiaTheme="minorEastAsia"/>
          <w:color w:val="auto"/>
          <w:sz w:val="22"/>
          <w:szCs w:val="22"/>
          <w:lang w:eastAsia="fr-FR"/>
        </w:rPr>
      </w:pPr>
      <w:hyperlink w:anchor="_Toc93390315" w:history="1">
        <w:r w:rsidR="009A6FEC" w:rsidRPr="00F91BFA">
          <w:rPr>
            <w:rStyle w:val="Hyperlink"/>
            <w14:scene3d>
              <w14:camera w14:prst="orthographicFront"/>
              <w14:lightRig w14:rig="threePt" w14:dir="t">
                <w14:rot w14:lat="0" w14:lon="0" w14:rev="0"/>
              </w14:lightRig>
            </w14:scene3d>
          </w:rPr>
          <w:t>B.1.10</w:t>
        </w:r>
        <w:r w:rsidR="009A6FEC">
          <w:rPr>
            <w:rFonts w:eastAsiaTheme="minorEastAsia"/>
            <w:color w:val="auto"/>
            <w:sz w:val="22"/>
            <w:szCs w:val="22"/>
            <w:lang w:eastAsia="fr-FR"/>
          </w:rPr>
          <w:tab/>
        </w:r>
        <w:r w:rsidR="009A6FEC" w:rsidRPr="00F91BFA">
          <w:rPr>
            <w:rStyle w:val="Hyperlink"/>
          </w:rPr>
          <w:t>Autres sources</w:t>
        </w:r>
        <w:r w:rsidR="009A6FEC">
          <w:rPr>
            <w:webHidden/>
          </w:rPr>
          <w:tab/>
        </w:r>
        <w:r w:rsidR="009A6FEC">
          <w:rPr>
            <w:webHidden/>
          </w:rPr>
          <w:fldChar w:fldCharType="begin"/>
        </w:r>
        <w:r w:rsidR="009A6FEC">
          <w:rPr>
            <w:webHidden/>
          </w:rPr>
          <w:instrText xml:space="preserve"> PAGEREF _Toc93390315 \h </w:instrText>
        </w:r>
        <w:r w:rsidR="009A6FEC">
          <w:rPr>
            <w:webHidden/>
          </w:rPr>
        </w:r>
        <w:r w:rsidR="009A6FEC">
          <w:rPr>
            <w:webHidden/>
          </w:rPr>
          <w:fldChar w:fldCharType="separate"/>
        </w:r>
        <w:r w:rsidR="009F0282">
          <w:rPr>
            <w:webHidden/>
          </w:rPr>
          <w:t>124</w:t>
        </w:r>
        <w:r w:rsidR="009A6FEC">
          <w:rPr>
            <w:webHidden/>
          </w:rPr>
          <w:fldChar w:fldCharType="end"/>
        </w:r>
      </w:hyperlink>
    </w:p>
    <w:p w14:paraId="58FF5029" w14:textId="16F43C01" w:rsidR="009A6FEC" w:rsidRDefault="00B455B7">
      <w:pPr>
        <w:pStyle w:val="TOC2"/>
        <w:rPr>
          <w:rFonts w:eastAsiaTheme="minorEastAsia"/>
          <w:color w:val="auto"/>
          <w:sz w:val="22"/>
          <w:szCs w:val="22"/>
          <w:lang w:eastAsia="fr-FR"/>
        </w:rPr>
      </w:pPr>
      <w:hyperlink w:anchor="_Toc93390316" w:history="1">
        <w:r w:rsidR="009A6FEC" w:rsidRPr="00F91BFA">
          <w:rPr>
            <w:rStyle w:val="Hyperlink"/>
            <w14:scene3d>
              <w14:camera w14:prst="orthographicFront"/>
              <w14:lightRig w14:rig="threePt" w14:dir="t">
                <w14:rot w14:lat="0" w14:lon="0" w14:rev="0"/>
              </w14:lightRig>
            </w14:scene3d>
          </w:rPr>
          <w:t>A.2</w:t>
        </w:r>
        <w:r w:rsidR="009A6FEC">
          <w:rPr>
            <w:rFonts w:eastAsiaTheme="minorEastAsia"/>
            <w:color w:val="auto"/>
            <w:sz w:val="22"/>
            <w:szCs w:val="22"/>
            <w:lang w:eastAsia="fr-FR"/>
          </w:rPr>
          <w:tab/>
        </w:r>
        <w:r w:rsidR="009A6FEC" w:rsidRPr="00F91BFA">
          <w:rPr>
            <w:rStyle w:val="Hyperlink"/>
          </w:rPr>
          <w:t>Instrument Financier pour la Réhabilitation et la Revitalisation Urbaine (IFFRU)</w:t>
        </w:r>
        <w:r w:rsidR="009A6FEC">
          <w:rPr>
            <w:webHidden/>
          </w:rPr>
          <w:tab/>
        </w:r>
        <w:r w:rsidR="009A6FEC">
          <w:rPr>
            <w:webHidden/>
          </w:rPr>
          <w:fldChar w:fldCharType="begin"/>
        </w:r>
        <w:r w:rsidR="009A6FEC">
          <w:rPr>
            <w:webHidden/>
          </w:rPr>
          <w:instrText xml:space="preserve"> PAGEREF _Toc93390316 \h </w:instrText>
        </w:r>
        <w:r w:rsidR="009A6FEC">
          <w:rPr>
            <w:webHidden/>
          </w:rPr>
        </w:r>
        <w:r w:rsidR="009A6FEC">
          <w:rPr>
            <w:webHidden/>
          </w:rPr>
          <w:fldChar w:fldCharType="separate"/>
        </w:r>
        <w:r w:rsidR="009F0282">
          <w:rPr>
            <w:webHidden/>
          </w:rPr>
          <w:t>125</w:t>
        </w:r>
        <w:r w:rsidR="009A6FEC">
          <w:rPr>
            <w:webHidden/>
          </w:rPr>
          <w:fldChar w:fldCharType="end"/>
        </w:r>
      </w:hyperlink>
    </w:p>
    <w:p w14:paraId="55B31FEE" w14:textId="32AEBE91" w:rsidR="009A6FEC" w:rsidRDefault="00B455B7">
      <w:pPr>
        <w:pStyle w:val="TOC3"/>
        <w:rPr>
          <w:rFonts w:eastAsiaTheme="minorEastAsia"/>
          <w:color w:val="auto"/>
          <w:sz w:val="22"/>
          <w:szCs w:val="22"/>
          <w:lang w:eastAsia="fr-FR"/>
        </w:rPr>
      </w:pPr>
      <w:hyperlink w:anchor="_Toc93390317" w:history="1">
        <w:r w:rsidR="009A6FEC" w:rsidRPr="00F91BFA">
          <w:rPr>
            <w:rStyle w:val="Hyperlink"/>
            <w14:scene3d>
              <w14:camera w14:prst="orthographicFront"/>
              <w14:lightRig w14:rig="threePt" w14:dir="t">
                <w14:rot w14:lat="0" w14:lon="0" w14:rev="0"/>
              </w14:lightRig>
            </w14:scene3d>
          </w:rPr>
          <w:t>B.2.1</w:t>
        </w:r>
        <w:r w:rsidR="009A6FEC">
          <w:rPr>
            <w:rFonts w:eastAsiaTheme="minorEastAsia"/>
            <w:color w:val="auto"/>
            <w:sz w:val="22"/>
            <w:szCs w:val="22"/>
            <w:lang w:eastAsia="fr-FR"/>
          </w:rPr>
          <w:tab/>
        </w:r>
        <w:r w:rsidR="009A6FEC" w:rsidRPr="00F91BFA">
          <w:rPr>
            <w:rStyle w:val="Hyperlink"/>
          </w:rPr>
          <w:t>Éléments de contexte : pourquoi le fonds a été créé ?</w:t>
        </w:r>
        <w:r w:rsidR="009A6FEC">
          <w:rPr>
            <w:webHidden/>
          </w:rPr>
          <w:tab/>
        </w:r>
        <w:r w:rsidR="009A6FEC">
          <w:rPr>
            <w:webHidden/>
          </w:rPr>
          <w:fldChar w:fldCharType="begin"/>
        </w:r>
        <w:r w:rsidR="009A6FEC">
          <w:rPr>
            <w:webHidden/>
          </w:rPr>
          <w:instrText xml:space="preserve"> PAGEREF _Toc93390317 \h </w:instrText>
        </w:r>
        <w:r w:rsidR="009A6FEC">
          <w:rPr>
            <w:webHidden/>
          </w:rPr>
        </w:r>
        <w:r w:rsidR="009A6FEC">
          <w:rPr>
            <w:webHidden/>
          </w:rPr>
          <w:fldChar w:fldCharType="separate"/>
        </w:r>
        <w:r w:rsidR="009F0282">
          <w:rPr>
            <w:webHidden/>
          </w:rPr>
          <w:t>125</w:t>
        </w:r>
        <w:r w:rsidR="009A6FEC">
          <w:rPr>
            <w:webHidden/>
          </w:rPr>
          <w:fldChar w:fldCharType="end"/>
        </w:r>
      </w:hyperlink>
    </w:p>
    <w:p w14:paraId="53DCC653" w14:textId="74D19019" w:rsidR="009A6FEC" w:rsidRDefault="00B455B7">
      <w:pPr>
        <w:pStyle w:val="TOC3"/>
        <w:rPr>
          <w:rFonts w:eastAsiaTheme="minorEastAsia"/>
          <w:color w:val="auto"/>
          <w:sz w:val="22"/>
          <w:szCs w:val="22"/>
          <w:lang w:eastAsia="fr-FR"/>
        </w:rPr>
      </w:pPr>
      <w:hyperlink w:anchor="_Toc93390318" w:history="1">
        <w:r w:rsidR="009A6FEC" w:rsidRPr="00F91BFA">
          <w:rPr>
            <w:rStyle w:val="Hyperlink"/>
            <w14:scene3d>
              <w14:camera w14:prst="orthographicFront"/>
              <w14:lightRig w14:rig="threePt" w14:dir="t">
                <w14:rot w14:lat="0" w14:lon="0" w14:rev="0"/>
              </w14:lightRig>
            </w14:scene3d>
          </w:rPr>
          <w:t>B.2.2</w:t>
        </w:r>
        <w:r w:rsidR="009A6FEC">
          <w:rPr>
            <w:rFonts w:eastAsiaTheme="minorEastAsia"/>
            <w:color w:val="auto"/>
            <w:sz w:val="22"/>
            <w:szCs w:val="22"/>
            <w:lang w:eastAsia="fr-FR"/>
          </w:rPr>
          <w:tab/>
        </w:r>
        <w:r w:rsidR="009A6FEC" w:rsidRPr="00F91BFA">
          <w:rPr>
            <w:rStyle w:val="Hyperlink"/>
          </w:rPr>
          <w:t>Objectifs du fonds</w:t>
        </w:r>
        <w:r w:rsidR="009A6FEC">
          <w:rPr>
            <w:webHidden/>
          </w:rPr>
          <w:tab/>
        </w:r>
        <w:r w:rsidR="009A6FEC">
          <w:rPr>
            <w:webHidden/>
          </w:rPr>
          <w:fldChar w:fldCharType="begin"/>
        </w:r>
        <w:r w:rsidR="009A6FEC">
          <w:rPr>
            <w:webHidden/>
          </w:rPr>
          <w:instrText xml:space="preserve"> PAGEREF _Toc93390318 \h </w:instrText>
        </w:r>
        <w:r w:rsidR="009A6FEC">
          <w:rPr>
            <w:webHidden/>
          </w:rPr>
        </w:r>
        <w:r w:rsidR="009A6FEC">
          <w:rPr>
            <w:webHidden/>
          </w:rPr>
          <w:fldChar w:fldCharType="separate"/>
        </w:r>
        <w:r w:rsidR="009F0282">
          <w:rPr>
            <w:webHidden/>
          </w:rPr>
          <w:t>125</w:t>
        </w:r>
        <w:r w:rsidR="009A6FEC">
          <w:rPr>
            <w:webHidden/>
          </w:rPr>
          <w:fldChar w:fldCharType="end"/>
        </w:r>
      </w:hyperlink>
    </w:p>
    <w:p w14:paraId="57B14853" w14:textId="2691FD9A" w:rsidR="009A6FEC" w:rsidRDefault="00B455B7">
      <w:pPr>
        <w:pStyle w:val="TOC3"/>
        <w:rPr>
          <w:rFonts w:eastAsiaTheme="minorEastAsia"/>
          <w:color w:val="auto"/>
          <w:sz w:val="22"/>
          <w:szCs w:val="22"/>
          <w:lang w:eastAsia="fr-FR"/>
        </w:rPr>
      </w:pPr>
      <w:hyperlink w:anchor="_Toc93390319" w:history="1">
        <w:r w:rsidR="009A6FEC" w:rsidRPr="00F91BFA">
          <w:rPr>
            <w:rStyle w:val="Hyperlink"/>
            <w14:scene3d>
              <w14:camera w14:prst="orthographicFront"/>
              <w14:lightRig w14:rig="threePt" w14:dir="t">
                <w14:rot w14:lat="0" w14:lon="0" w14:rev="0"/>
              </w14:lightRig>
            </w14:scene3d>
          </w:rPr>
          <w:t>B.2.3</w:t>
        </w:r>
        <w:r w:rsidR="009A6FEC">
          <w:rPr>
            <w:rFonts w:eastAsiaTheme="minorEastAsia"/>
            <w:color w:val="auto"/>
            <w:sz w:val="22"/>
            <w:szCs w:val="22"/>
            <w:lang w:eastAsia="fr-FR"/>
          </w:rPr>
          <w:tab/>
        </w:r>
        <w:r w:rsidR="009A6FEC" w:rsidRPr="00F91BFA">
          <w:rPr>
            <w:rStyle w:val="Hyperlink"/>
          </w:rPr>
          <w:t>Présentation du fonds</w:t>
        </w:r>
        <w:r w:rsidR="009A6FEC">
          <w:rPr>
            <w:webHidden/>
          </w:rPr>
          <w:tab/>
        </w:r>
        <w:r w:rsidR="009A6FEC">
          <w:rPr>
            <w:webHidden/>
          </w:rPr>
          <w:fldChar w:fldCharType="begin"/>
        </w:r>
        <w:r w:rsidR="009A6FEC">
          <w:rPr>
            <w:webHidden/>
          </w:rPr>
          <w:instrText xml:space="preserve"> PAGEREF _Toc93390319 \h </w:instrText>
        </w:r>
        <w:r w:rsidR="009A6FEC">
          <w:rPr>
            <w:webHidden/>
          </w:rPr>
        </w:r>
        <w:r w:rsidR="009A6FEC">
          <w:rPr>
            <w:webHidden/>
          </w:rPr>
          <w:fldChar w:fldCharType="separate"/>
        </w:r>
        <w:r w:rsidR="009F0282">
          <w:rPr>
            <w:webHidden/>
          </w:rPr>
          <w:t>125</w:t>
        </w:r>
        <w:r w:rsidR="009A6FEC">
          <w:rPr>
            <w:webHidden/>
          </w:rPr>
          <w:fldChar w:fldCharType="end"/>
        </w:r>
      </w:hyperlink>
    </w:p>
    <w:p w14:paraId="473080C1" w14:textId="49BAD3C9" w:rsidR="009A6FEC" w:rsidRDefault="00B455B7">
      <w:pPr>
        <w:pStyle w:val="TOC3"/>
        <w:rPr>
          <w:rFonts w:eastAsiaTheme="minorEastAsia"/>
          <w:color w:val="auto"/>
          <w:sz w:val="22"/>
          <w:szCs w:val="22"/>
          <w:lang w:eastAsia="fr-FR"/>
        </w:rPr>
      </w:pPr>
      <w:hyperlink w:anchor="_Toc93390320" w:history="1">
        <w:r w:rsidR="009A6FEC" w:rsidRPr="00F91BFA">
          <w:rPr>
            <w:rStyle w:val="Hyperlink"/>
            <w14:scene3d>
              <w14:camera w14:prst="orthographicFront"/>
              <w14:lightRig w14:rig="threePt" w14:dir="t">
                <w14:rot w14:lat="0" w14:lon="0" w14:rev="0"/>
              </w14:lightRig>
            </w14:scene3d>
          </w:rPr>
          <w:t>B.2.4</w:t>
        </w:r>
        <w:r w:rsidR="009A6FEC">
          <w:rPr>
            <w:rFonts w:eastAsiaTheme="minorEastAsia"/>
            <w:color w:val="auto"/>
            <w:sz w:val="22"/>
            <w:szCs w:val="22"/>
            <w:lang w:eastAsia="fr-FR"/>
          </w:rPr>
          <w:tab/>
        </w:r>
        <w:r w:rsidR="009A6FEC" w:rsidRPr="00F91BFA">
          <w:rPr>
            <w:rStyle w:val="Hyperlink"/>
          </w:rPr>
          <w:t>Principales actions engagées et résultats</w:t>
        </w:r>
        <w:r w:rsidR="009A6FEC">
          <w:rPr>
            <w:webHidden/>
          </w:rPr>
          <w:tab/>
        </w:r>
        <w:r w:rsidR="009A6FEC">
          <w:rPr>
            <w:webHidden/>
          </w:rPr>
          <w:fldChar w:fldCharType="begin"/>
        </w:r>
        <w:r w:rsidR="009A6FEC">
          <w:rPr>
            <w:webHidden/>
          </w:rPr>
          <w:instrText xml:space="preserve"> PAGEREF _Toc93390320 \h </w:instrText>
        </w:r>
        <w:r w:rsidR="009A6FEC">
          <w:rPr>
            <w:webHidden/>
          </w:rPr>
        </w:r>
        <w:r w:rsidR="009A6FEC">
          <w:rPr>
            <w:webHidden/>
          </w:rPr>
          <w:fldChar w:fldCharType="separate"/>
        </w:r>
        <w:r w:rsidR="009F0282">
          <w:rPr>
            <w:webHidden/>
          </w:rPr>
          <w:t>126</w:t>
        </w:r>
        <w:r w:rsidR="009A6FEC">
          <w:rPr>
            <w:webHidden/>
          </w:rPr>
          <w:fldChar w:fldCharType="end"/>
        </w:r>
      </w:hyperlink>
    </w:p>
    <w:p w14:paraId="2AC83578" w14:textId="1F5BB3DE" w:rsidR="009A6FEC" w:rsidRDefault="00B455B7">
      <w:pPr>
        <w:pStyle w:val="TOC3"/>
        <w:rPr>
          <w:rFonts w:eastAsiaTheme="minorEastAsia"/>
          <w:color w:val="auto"/>
          <w:sz w:val="22"/>
          <w:szCs w:val="22"/>
          <w:lang w:eastAsia="fr-FR"/>
        </w:rPr>
      </w:pPr>
      <w:hyperlink w:anchor="_Toc93390321" w:history="1">
        <w:r w:rsidR="009A6FEC" w:rsidRPr="00F91BFA">
          <w:rPr>
            <w:rStyle w:val="Hyperlink"/>
            <w14:scene3d>
              <w14:camera w14:prst="orthographicFront"/>
              <w14:lightRig w14:rig="threePt" w14:dir="t">
                <w14:rot w14:lat="0" w14:lon="0" w14:rev="0"/>
              </w14:lightRig>
            </w14:scene3d>
          </w:rPr>
          <w:t>B.2.5</w:t>
        </w:r>
        <w:r w:rsidR="009A6FEC">
          <w:rPr>
            <w:rFonts w:eastAsiaTheme="minorEastAsia"/>
            <w:color w:val="auto"/>
            <w:sz w:val="22"/>
            <w:szCs w:val="22"/>
            <w:lang w:eastAsia="fr-FR"/>
          </w:rPr>
          <w:tab/>
        </w:r>
        <w:r w:rsidR="009A6FEC" w:rsidRPr="00F91BFA">
          <w:rPr>
            <w:rStyle w:val="Hyperlink"/>
          </w:rPr>
          <w:t>Structuration et financement (dont partenaires)</w:t>
        </w:r>
        <w:r w:rsidR="009A6FEC">
          <w:rPr>
            <w:webHidden/>
          </w:rPr>
          <w:tab/>
        </w:r>
        <w:r w:rsidR="009A6FEC">
          <w:rPr>
            <w:webHidden/>
          </w:rPr>
          <w:fldChar w:fldCharType="begin"/>
        </w:r>
        <w:r w:rsidR="009A6FEC">
          <w:rPr>
            <w:webHidden/>
          </w:rPr>
          <w:instrText xml:space="preserve"> PAGEREF _Toc93390321 \h </w:instrText>
        </w:r>
        <w:r w:rsidR="009A6FEC">
          <w:rPr>
            <w:webHidden/>
          </w:rPr>
        </w:r>
        <w:r w:rsidR="009A6FEC">
          <w:rPr>
            <w:webHidden/>
          </w:rPr>
          <w:fldChar w:fldCharType="separate"/>
        </w:r>
        <w:r w:rsidR="009F0282">
          <w:rPr>
            <w:webHidden/>
          </w:rPr>
          <w:t>126</w:t>
        </w:r>
        <w:r w:rsidR="009A6FEC">
          <w:rPr>
            <w:webHidden/>
          </w:rPr>
          <w:fldChar w:fldCharType="end"/>
        </w:r>
      </w:hyperlink>
    </w:p>
    <w:p w14:paraId="5DB80FC3" w14:textId="1C100A11" w:rsidR="009A6FEC" w:rsidRDefault="00B455B7">
      <w:pPr>
        <w:pStyle w:val="TOC3"/>
        <w:rPr>
          <w:rFonts w:eastAsiaTheme="minorEastAsia"/>
          <w:color w:val="auto"/>
          <w:sz w:val="22"/>
          <w:szCs w:val="22"/>
          <w:lang w:eastAsia="fr-FR"/>
        </w:rPr>
      </w:pPr>
      <w:hyperlink w:anchor="_Toc93390322" w:history="1">
        <w:r w:rsidR="009A6FEC" w:rsidRPr="00F91BFA">
          <w:rPr>
            <w:rStyle w:val="Hyperlink"/>
            <w14:scene3d>
              <w14:camera w14:prst="orthographicFront"/>
              <w14:lightRig w14:rig="threePt" w14:dir="t">
                <w14:rot w14:lat="0" w14:lon="0" w14:rev="0"/>
              </w14:lightRig>
            </w14:scene3d>
          </w:rPr>
          <w:t>B.2.6</w:t>
        </w:r>
        <w:r w:rsidR="009A6FEC">
          <w:rPr>
            <w:rFonts w:eastAsiaTheme="minorEastAsia"/>
            <w:color w:val="auto"/>
            <w:sz w:val="22"/>
            <w:szCs w:val="22"/>
            <w:lang w:eastAsia="fr-FR"/>
          </w:rPr>
          <w:tab/>
        </w:r>
        <w:r w:rsidR="009A6FEC" w:rsidRPr="00F91BFA">
          <w:rPr>
            <w:rStyle w:val="Hyperlink"/>
          </w:rPr>
          <w:t>Enseignements</w:t>
        </w:r>
        <w:r w:rsidR="009A6FEC">
          <w:rPr>
            <w:webHidden/>
          </w:rPr>
          <w:tab/>
        </w:r>
        <w:r w:rsidR="009A6FEC">
          <w:rPr>
            <w:webHidden/>
          </w:rPr>
          <w:fldChar w:fldCharType="begin"/>
        </w:r>
        <w:r w:rsidR="009A6FEC">
          <w:rPr>
            <w:webHidden/>
          </w:rPr>
          <w:instrText xml:space="preserve"> PAGEREF _Toc93390322 \h </w:instrText>
        </w:r>
        <w:r w:rsidR="009A6FEC">
          <w:rPr>
            <w:webHidden/>
          </w:rPr>
        </w:r>
        <w:r w:rsidR="009A6FEC">
          <w:rPr>
            <w:webHidden/>
          </w:rPr>
          <w:fldChar w:fldCharType="separate"/>
        </w:r>
        <w:r w:rsidR="009F0282">
          <w:rPr>
            <w:webHidden/>
          </w:rPr>
          <w:t>128</w:t>
        </w:r>
        <w:r w:rsidR="009A6FEC">
          <w:rPr>
            <w:webHidden/>
          </w:rPr>
          <w:fldChar w:fldCharType="end"/>
        </w:r>
      </w:hyperlink>
    </w:p>
    <w:p w14:paraId="79419D81" w14:textId="2E5EED6B" w:rsidR="009A6FEC" w:rsidRDefault="00B455B7">
      <w:pPr>
        <w:pStyle w:val="TOC3"/>
        <w:rPr>
          <w:rFonts w:eastAsiaTheme="minorEastAsia"/>
          <w:color w:val="auto"/>
          <w:sz w:val="22"/>
          <w:szCs w:val="22"/>
          <w:lang w:eastAsia="fr-FR"/>
        </w:rPr>
      </w:pPr>
      <w:hyperlink w:anchor="_Toc93390323" w:history="1">
        <w:r w:rsidR="009A6FEC" w:rsidRPr="00F91BFA">
          <w:rPr>
            <w:rStyle w:val="Hyperlink"/>
            <w14:scene3d>
              <w14:camera w14:prst="orthographicFront"/>
              <w14:lightRig w14:rig="threePt" w14:dir="t">
                <w14:rot w14:lat="0" w14:lon="0" w14:rev="0"/>
              </w14:lightRig>
            </w14:scene3d>
          </w:rPr>
          <w:t>B.2.7</w:t>
        </w:r>
        <w:r w:rsidR="009A6FEC">
          <w:rPr>
            <w:rFonts w:eastAsiaTheme="minorEastAsia"/>
            <w:color w:val="auto"/>
            <w:sz w:val="22"/>
            <w:szCs w:val="22"/>
            <w:lang w:eastAsia="fr-FR"/>
          </w:rPr>
          <w:tab/>
        </w:r>
        <w:r w:rsidR="009A6FEC" w:rsidRPr="00F91BFA">
          <w:rPr>
            <w:rStyle w:val="Hyperlink"/>
          </w:rPr>
          <w:t>Clés de succès</w:t>
        </w:r>
        <w:r w:rsidR="009A6FEC">
          <w:rPr>
            <w:webHidden/>
          </w:rPr>
          <w:tab/>
        </w:r>
        <w:r w:rsidR="009A6FEC">
          <w:rPr>
            <w:webHidden/>
          </w:rPr>
          <w:fldChar w:fldCharType="begin"/>
        </w:r>
        <w:r w:rsidR="009A6FEC">
          <w:rPr>
            <w:webHidden/>
          </w:rPr>
          <w:instrText xml:space="preserve"> PAGEREF _Toc93390323 \h </w:instrText>
        </w:r>
        <w:r w:rsidR="009A6FEC">
          <w:rPr>
            <w:webHidden/>
          </w:rPr>
        </w:r>
        <w:r w:rsidR="009A6FEC">
          <w:rPr>
            <w:webHidden/>
          </w:rPr>
          <w:fldChar w:fldCharType="separate"/>
        </w:r>
        <w:r w:rsidR="009F0282">
          <w:rPr>
            <w:webHidden/>
          </w:rPr>
          <w:t>128</w:t>
        </w:r>
        <w:r w:rsidR="009A6FEC">
          <w:rPr>
            <w:webHidden/>
          </w:rPr>
          <w:fldChar w:fldCharType="end"/>
        </w:r>
      </w:hyperlink>
    </w:p>
    <w:p w14:paraId="65444CC1" w14:textId="0AC6E10A" w:rsidR="009A6FEC" w:rsidRDefault="00B455B7">
      <w:pPr>
        <w:pStyle w:val="TOC3"/>
        <w:rPr>
          <w:rFonts w:eastAsiaTheme="minorEastAsia"/>
          <w:color w:val="auto"/>
          <w:sz w:val="22"/>
          <w:szCs w:val="22"/>
          <w:lang w:eastAsia="fr-FR"/>
        </w:rPr>
      </w:pPr>
      <w:hyperlink w:anchor="_Toc93390324" w:history="1">
        <w:r w:rsidR="009A6FEC" w:rsidRPr="00F91BFA">
          <w:rPr>
            <w:rStyle w:val="Hyperlink"/>
            <w14:scene3d>
              <w14:camera w14:prst="orthographicFront"/>
              <w14:lightRig w14:rig="threePt" w14:dir="t">
                <w14:rot w14:lat="0" w14:lon="0" w14:rev="0"/>
              </w14:lightRig>
            </w14:scene3d>
          </w:rPr>
          <w:t>B.2.8</w:t>
        </w:r>
        <w:r w:rsidR="009A6FEC">
          <w:rPr>
            <w:rFonts w:eastAsiaTheme="minorEastAsia"/>
            <w:color w:val="auto"/>
            <w:sz w:val="22"/>
            <w:szCs w:val="22"/>
            <w:lang w:eastAsia="fr-FR"/>
          </w:rPr>
          <w:tab/>
        </w:r>
        <w:r w:rsidR="009A6FEC" w:rsidRPr="00F91BFA">
          <w:rPr>
            <w:rStyle w:val="Hyperlink"/>
          </w:rPr>
          <w:t>Mise en perspective par rapport à la région Hauts-de-France</w:t>
        </w:r>
        <w:r w:rsidR="009A6FEC">
          <w:rPr>
            <w:webHidden/>
          </w:rPr>
          <w:tab/>
        </w:r>
        <w:r w:rsidR="009A6FEC">
          <w:rPr>
            <w:webHidden/>
          </w:rPr>
          <w:fldChar w:fldCharType="begin"/>
        </w:r>
        <w:r w:rsidR="009A6FEC">
          <w:rPr>
            <w:webHidden/>
          </w:rPr>
          <w:instrText xml:space="preserve"> PAGEREF _Toc93390324 \h </w:instrText>
        </w:r>
        <w:r w:rsidR="009A6FEC">
          <w:rPr>
            <w:webHidden/>
          </w:rPr>
        </w:r>
        <w:r w:rsidR="009A6FEC">
          <w:rPr>
            <w:webHidden/>
          </w:rPr>
          <w:fldChar w:fldCharType="separate"/>
        </w:r>
        <w:r w:rsidR="009F0282">
          <w:rPr>
            <w:webHidden/>
          </w:rPr>
          <w:t>129</w:t>
        </w:r>
        <w:r w:rsidR="009A6FEC">
          <w:rPr>
            <w:webHidden/>
          </w:rPr>
          <w:fldChar w:fldCharType="end"/>
        </w:r>
      </w:hyperlink>
    </w:p>
    <w:p w14:paraId="084181BA" w14:textId="0AB3F4D5" w:rsidR="009A6FEC" w:rsidRDefault="00B455B7">
      <w:pPr>
        <w:pStyle w:val="TOC3"/>
        <w:rPr>
          <w:rFonts w:eastAsiaTheme="minorEastAsia"/>
          <w:color w:val="auto"/>
          <w:sz w:val="22"/>
          <w:szCs w:val="22"/>
          <w:lang w:eastAsia="fr-FR"/>
        </w:rPr>
      </w:pPr>
      <w:hyperlink w:anchor="_Toc93390325" w:history="1">
        <w:r w:rsidR="009A6FEC" w:rsidRPr="00F91BFA">
          <w:rPr>
            <w:rStyle w:val="Hyperlink"/>
            <w14:scene3d>
              <w14:camera w14:prst="orthographicFront"/>
              <w14:lightRig w14:rig="threePt" w14:dir="t">
                <w14:rot w14:lat="0" w14:lon="0" w14:rev="0"/>
              </w14:lightRig>
            </w14:scene3d>
          </w:rPr>
          <w:t>B.2.9</w:t>
        </w:r>
        <w:r w:rsidR="009A6FEC">
          <w:rPr>
            <w:rFonts w:eastAsiaTheme="minorEastAsia"/>
            <w:color w:val="auto"/>
            <w:sz w:val="22"/>
            <w:szCs w:val="22"/>
            <w:lang w:eastAsia="fr-FR"/>
          </w:rPr>
          <w:tab/>
        </w:r>
        <w:r w:rsidR="009A6FEC" w:rsidRPr="00F91BFA">
          <w:rPr>
            <w:rStyle w:val="Hyperlink"/>
          </w:rPr>
          <w:t>Contact</w:t>
        </w:r>
        <w:r w:rsidR="009A6FEC">
          <w:rPr>
            <w:webHidden/>
          </w:rPr>
          <w:tab/>
        </w:r>
        <w:r w:rsidR="009A6FEC">
          <w:rPr>
            <w:webHidden/>
          </w:rPr>
          <w:fldChar w:fldCharType="begin"/>
        </w:r>
        <w:r w:rsidR="009A6FEC">
          <w:rPr>
            <w:webHidden/>
          </w:rPr>
          <w:instrText xml:space="preserve"> PAGEREF _Toc93390325 \h </w:instrText>
        </w:r>
        <w:r w:rsidR="009A6FEC">
          <w:rPr>
            <w:webHidden/>
          </w:rPr>
        </w:r>
        <w:r w:rsidR="009A6FEC">
          <w:rPr>
            <w:webHidden/>
          </w:rPr>
          <w:fldChar w:fldCharType="separate"/>
        </w:r>
        <w:r w:rsidR="009F0282">
          <w:rPr>
            <w:webHidden/>
          </w:rPr>
          <w:t>129</w:t>
        </w:r>
        <w:r w:rsidR="009A6FEC">
          <w:rPr>
            <w:webHidden/>
          </w:rPr>
          <w:fldChar w:fldCharType="end"/>
        </w:r>
      </w:hyperlink>
    </w:p>
    <w:p w14:paraId="541A687A" w14:textId="34C44BB2" w:rsidR="009A6FEC" w:rsidRDefault="00B455B7">
      <w:pPr>
        <w:pStyle w:val="TOC3"/>
        <w:rPr>
          <w:rFonts w:eastAsiaTheme="minorEastAsia"/>
          <w:color w:val="auto"/>
          <w:sz w:val="22"/>
          <w:szCs w:val="22"/>
          <w:lang w:eastAsia="fr-FR"/>
        </w:rPr>
      </w:pPr>
      <w:hyperlink w:anchor="_Toc93390326" w:history="1">
        <w:r w:rsidR="009A6FEC" w:rsidRPr="00F91BFA">
          <w:rPr>
            <w:rStyle w:val="Hyperlink"/>
            <w14:scene3d>
              <w14:camera w14:prst="orthographicFront"/>
              <w14:lightRig w14:rig="threePt" w14:dir="t">
                <w14:rot w14:lat="0" w14:lon="0" w14:rev="0"/>
              </w14:lightRig>
            </w14:scene3d>
          </w:rPr>
          <w:t>B.2.10</w:t>
        </w:r>
        <w:r w:rsidR="009A6FEC">
          <w:rPr>
            <w:rFonts w:eastAsiaTheme="minorEastAsia"/>
            <w:color w:val="auto"/>
            <w:sz w:val="22"/>
            <w:szCs w:val="22"/>
            <w:lang w:eastAsia="fr-FR"/>
          </w:rPr>
          <w:tab/>
        </w:r>
        <w:r w:rsidR="009A6FEC" w:rsidRPr="00F91BFA">
          <w:rPr>
            <w:rStyle w:val="Hyperlink"/>
          </w:rPr>
          <w:t>Autres sources</w:t>
        </w:r>
        <w:r w:rsidR="009A6FEC">
          <w:rPr>
            <w:webHidden/>
          </w:rPr>
          <w:tab/>
        </w:r>
        <w:r w:rsidR="009A6FEC">
          <w:rPr>
            <w:webHidden/>
          </w:rPr>
          <w:fldChar w:fldCharType="begin"/>
        </w:r>
        <w:r w:rsidR="009A6FEC">
          <w:rPr>
            <w:webHidden/>
          </w:rPr>
          <w:instrText xml:space="preserve"> PAGEREF _Toc93390326 \h </w:instrText>
        </w:r>
        <w:r w:rsidR="009A6FEC">
          <w:rPr>
            <w:webHidden/>
          </w:rPr>
        </w:r>
        <w:r w:rsidR="009A6FEC">
          <w:rPr>
            <w:webHidden/>
          </w:rPr>
          <w:fldChar w:fldCharType="separate"/>
        </w:r>
        <w:r w:rsidR="009F0282">
          <w:rPr>
            <w:webHidden/>
          </w:rPr>
          <w:t>129</w:t>
        </w:r>
        <w:r w:rsidR="009A6FEC">
          <w:rPr>
            <w:webHidden/>
          </w:rPr>
          <w:fldChar w:fldCharType="end"/>
        </w:r>
      </w:hyperlink>
    </w:p>
    <w:p w14:paraId="1426FB19" w14:textId="6998CDF8" w:rsidR="009A6FEC" w:rsidRDefault="00B455B7">
      <w:pPr>
        <w:pStyle w:val="TOC2"/>
        <w:rPr>
          <w:rFonts w:eastAsiaTheme="minorEastAsia"/>
          <w:color w:val="auto"/>
          <w:sz w:val="22"/>
          <w:szCs w:val="22"/>
          <w:lang w:eastAsia="fr-FR"/>
        </w:rPr>
      </w:pPr>
      <w:hyperlink w:anchor="_Toc93390327" w:history="1">
        <w:r w:rsidR="009A6FEC" w:rsidRPr="00F91BFA">
          <w:rPr>
            <w:rStyle w:val="Hyperlink"/>
            <w14:scene3d>
              <w14:camera w14:prst="orthographicFront"/>
              <w14:lightRig w14:rig="threePt" w14:dir="t">
                <w14:rot w14:lat="0" w14:lon="0" w14:rev="0"/>
              </w14:lightRig>
            </w14:scene3d>
          </w:rPr>
          <w:t>A.3</w:t>
        </w:r>
        <w:r w:rsidR="009A6FEC">
          <w:rPr>
            <w:rFonts w:eastAsiaTheme="minorEastAsia"/>
            <w:color w:val="auto"/>
            <w:sz w:val="22"/>
            <w:szCs w:val="22"/>
            <w:lang w:eastAsia="fr-FR"/>
          </w:rPr>
          <w:tab/>
        </w:r>
        <w:r w:rsidR="009A6FEC" w:rsidRPr="00F91BFA">
          <w:rPr>
            <w:rStyle w:val="Hyperlink"/>
          </w:rPr>
          <w:t>GED Jessica Andalousie</w:t>
        </w:r>
        <w:r w:rsidR="009A6FEC">
          <w:rPr>
            <w:webHidden/>
          </w:rPr>
          <w:tab/>
        </w:r>
        <w:r w:rsidR="009A6FEC">
          <w:rPr>
            <w:webHidden/>
          </w:rPr>
          <w:fldChar w:fldCharType="begin"/>
        </w:r>
        <w:r w:rsidR="009A6FEC">
          <w:rPr>
            <w:webHidden/>
          </w:rPr>
          <w:instrText xml:space="preserve"> PAGEREF _Toc93390327 \h </w:instrText>
        </w:r>
        <w:r w:rsidR="009A6FEC">
          <w:rPr>
            <w:webHidden/>
          </w:rPr>
        </w:r>
        <w:r w:rsidR="009A6FEC">
          <w:rPr>
            <w:webHidden/>
          </w:rPr>
          <w:fldChar w:fldCharType="separate"/>
        </w:r>
        <w:r w:rsidR="009F0282">
          <w:rPr>
            <w:webHidden/>
          </w:rPr>
          <w:t>129</w:t>
        </w:r>
        <w:r w:rsidR="009A6FEC">
          <w:rPr>
            <w:webHidden/>
          </w:rPr>
          <w:fldChar w:fldCharType="end"/>
        </w:r>
      </w:hyperlink>
    </w:p>
    <w:p w14:paraId="367B9B57" w14:textId="262288EC" w:rsidR="009A6FEC" w:rsidRDefault="00B455B7">
      <w:pPr>
        <w:pStyle w:val="TOC3"/>
        <w:rPr>
          <w:rFonts w:eastAsiaTheme="minorEastAsia"/>
          <w:color w:val="auto"/>
          <w:sz w:val="22"/>
          <w:szCs w:val="22"/>
          <w:lang w:eastAsia="fr-FR"/>
        </w:rPr>
      </w:pPr>
      <w:hyperlink w:anchor="_Toc93390328" w:history="1">
        <w:r w:rsidR="009A6FEC" w:rsidRPr="00F91BFA">
          <w:rPr>
            <w:rStyle w:val="Hyperlink"/>
            <w14:scene3d>
              <w14:camera w14:prst="orthographicFront"/>
              <w14:lightRig w14:rig="threePt" w14:dir="t">
                <w14:rot w14:lat="0" w14:lon="0" w14:rev="0"/>
              </w14:lightRig>
            </w14:scene3d>
          </w:rPr>
          <w:t>B.3.1</w:t>
        </w:r>
        <w:r w:rsidR="009A6FEC">
          <w:rPr>
            <w:rFonts w:eastAsiaTheme="minorEastAsia"/>
            <w:color w:val="auto"/>
            <w:sz w:val="22"/>
            <w:szCs w:val="22"/>
            <w:lang w:eastAsia="fr-FR"/>
          </w:rPr>
          <w:tab/>
        </w:r>
        <w:r w:rsidR="009A6FEC" w:rsidRPr="00F91BFA">
          <w:rPr>
            <w:rStyle w:val="Hyperlink"/>
          </w:rPr>
          <w:t>Éléments de contexte : pourquoi le fonds a été créé ?</w:t>
        </w:r>
        <w:r w:rsidR="009A6FEC">
          <w:rPr>
            <w:webHidden/>
          </w:rPr>
          <w:tab/>
        </w:r>
        <w:r w:rsidR="009A6FEC">
          <w:rPr>
            <w:webHidden/>
          </w:rPr>
          <w:fldChar w:fldCharType="begin"/>
        </w:r>
        <w:r w:rsidR="009A6FEC">
          <w:rPr>
            <w:webHidden/>
          </w:rPr>
          <w:instrText xml:space="preserve"> PAGEREF _Toc93390328 \h </w:instrText>
        </w:r>
        <w:r w:rsidR="009A6FEC">
          <w:rPr>
            <w:webHidden/>
          </w:rPr>
        </w:r>
        <w:r w:rsidR="009A6FEC">
          <w:rPr>
            <w:webHidden/>
          </w:rPr>
          <w:fldChar w:fldCharType="separate"/>
        </w:r>
        <w:r w:rsidR="009F0282">
          <w:rPr>
            <w:webHidden/>
          </w:rPr>
          <w:t>129</w:t>
        </w:r>
        <w:r w:rsidR="009A6FEC">
          <w:rPr>
            <w:webHidden/>
          </w:rPr>
          <w:fldChar w:fldCharType="end"/>
        </w:r>
      </w:hyperlink>
    </w:p>
    <w:p w14:paraId="3F03275B" w14:textId="15EB99CF" w:rsidR="009A6FEC" w:rsidRDefault="00B455B7">
      <w:pPr>
        <w:pStyle w:val="TOC3"/>
        <w:rPr>
          <w:rFonts w:eastAsiaTheme="minorEastAsia"/>
          <w:color w:val="auto"/>
          <w:sz w:val="22"/>
          <w:szCs w:val="22"/>
          <w:lang w:eastAsia="fr-FR"/>
        </w:rPr>
      </w:pPr>
      <w:hyperlink w:anchor="_Toc93390329" w:history="1">
        <w:r w:rsidR="009A6FEC" w:rsidRPr="00F91BFA">
          <w:rPr>
            <w:rStyle w:val="Hyperlink"/>
            <w14:scene3d>
              <w14:camera w14:prst="orthographicFront"/>
              <w14:lightRig w14:rig="threePt" w14:dir="t">
                <w14:rot w14:lat="0" w14:lon="0" w14:rev="0"/>
              </w14:lightRig>
            </w14:scene3d>
          </w:rPr>
          <w:t>B.3.2</w:t>
        </w:r>
        <w:r w:rsidR="009A6FEC">
          <w:rPr>
            <w:rFonts w:eastAsiaTheme="minorEastAsia"/>
            <w:color w:val="auto"/>
            <w:sz w:val="22"/>
            <w:szCs w:val="22"/>
            <w:lang w:eastAsia="fr-FR"/>
          </w:rPr>
          <w:tab/>
        </w:r>
        <w:r w:rsidR="009A6FEC" w:rsidRPr="00F91BFA">
          <w:rPr>
            <w:rStyle w:val="Hyperlink"/>
          </w:rPr>
          <w:t>Objectifs du fonds</w:t>
        </w:r>
        <w:r w:rsidR="009A6FEC">
          <w:rPr>
            <w:webHidden/>
          </w:rPr>
          <w:tab/>
        </w:r>
        <w:r w:rsidR="009A6FEC">
          <w:rPr>
            <w:webHidden/>
          </w:rPr>
          <w:fldChar w:fldCharType="begin"/>
        </w:r>
        <w:r w:rsidR="009A6FEC">
          <w:rPr>
            <w:webHidden/>
          </w:rPr>
          <w:instrText xml:space="preserve"> PAGEREF _Toc93390329 \h </w:instrText>
        </w:r>
        <w:r w:rsidR="009A6FEC">
          <w:rPr>
            <w:webHidden/>
          </w:rPr>
        </w:r>
        <w:r w:rsidR="009A6FEC">
          <w:rPr>
            <w:webHidden/>
          </w:rPr>
          <w:fldChar w:fldCharType="separate"/>
        </w:r>
        <w:r w:rsidR="009F0282">
          <w:rPr>
            <w:webHidden/>
          </w:rPr>
          <w:t>130</w:t>
        </w:r>
        <w:r w:rsidR="009A6FEC">
          <w:rPr>
            <w:webHidden/>
          </w:rPr>
          <w:fldChar w:fldCharType="end"/>
        </w:r>
      </w:hyperlink>
    </w:p>
    <w:p w14:paraId="7709A439" w14:textId="0A784609" w:rsidR="009A6FEC" w:rsidRDefault="00B455B7">
      <w:pPr>
        <w:pStyle w:val="TOC3"/>
        <w:rPr>
          <w:rFonts w:eastAsiaTheme="minorEastAsia"/>
          <w:color w:val="auto"/>
          <w:sz w:val="22"/>
          <w:szCs w:val="22"/>
          <w:lang w:eastAsia="fr-FR"/>
        </w:rPr>
      </w:pPr>
      <w:hyperlink w:anchor="_Toc93390330" w:history="1">
        <w:r w:rsidR="009A6FEC" w:rsidRPr="00F91BFA">
          <w:rPr>
            <w:rStyle w:val="Hyperlink"/>
            <w14:scene3d>
              <w14:camera w14:prst="orthographicFront"/>
              <w14:lightRig w14:rig="threePt" w14:dir="t">
                <w14:rot w14:lat="0" w14:lon="0" w14:rev="0"/>
              </w14:lightRig>
            </w14:scene3d>
          </w:rPr>
          <w:t>B.3.3</w:t>
        </w:r>
        <w:r w:rsidR="009A6FEC">
          <w:rPr>
            <w:rFonts w:eastAsiaTheme="minorEastAsia"/>
            <w:color w:val="auto"/>
            <w:sz w:val="22"/>
            <w:szCs w:val="22"/>
            <w:lang w:eastAsia="fr-FR"/>
          </w:rPr>
          <w:tab/>
        </w:r>
        <w:r w:rsidR="009A6FEC" w:rsidRPr="00F91BFA">
          <w:rPr>
            <w:rStyle w:val="Hyperlink"/>
          </w:rPr>
          <w:t>Présentation du fonds</w:t>
        </w:r>
        <w:r w:rsidR="009A6FEC">
          <w:rPr>
            <w:webHidden/>
          </w:rPr>
          <w:tab/>
        </w:r>
        <w:r w:rsidR="009A6FEC">
          <w:rPr>
            <w:webHidden/>
          </w:rPr>
          <w:fldChar w:fldCharType="begin"/>
        </w:r>
        <w:r w:rsidR="009A6FEC">
          <w:rPr>
            <w:webHidden/>
          </w:rPr>
          <w:instrText xml:space="preserve"> PAGEREF _Toc93390330 \h </w:instrText>
        </w:r>
        <w:r w:rsidR="009A6FEC">
          <w:rPr>
            <w:webHidden/>
          </w:rPr>
        </w:r>
        <w:r w:rsidR="009A6FEC">
          <w:rPr>
            <w:webHidden/>
          </w:rPr>
          <w:fldChar w:fldCharType="separate"/>
        </w:r>
        <w:r w:rsidR="009F0282">
          <w:rPr>
            <w:webHidden/>
          </w:rPr>
          <w:t>130</w:t>
        </w:r>
        <w:r w:rsidR="009A6FEC">
          <w:rPr>
            <w:webHidden/>
          </w:rPr>
          <w:fldChar w:fldCharType="end"/>
        </w:r>
      </w:hyperlink>
    </w:p>
    <w:p w14:paraId="47EE1A90" w14:textId="432384B6" w:rsidR="009A6FEC" w:rsidRDefault="00B455B7">
      <w:pPr>
        <w:pStyle w:val="TOC3"/>
        <w:rPr>
          <w:rFonts w:eastAsiaTheme="minorEastAsia"/>
          <w:color w:val="auto"/>
          <w:sz w:val="22"/>
          <w:szCs w:val="22"/>
          <w:lang w:eastAsia="fr-FR"/>
        </w:rPr>
      </w:pPr>
      <w:hyperlink w:anchor="_Toc93390331" w:history="1">
        <w:r w:rsidR="009A6FEC" w:rsidRPr="00F91BFA">
          <w:rPr>
            <w:rStyle w:val="Hyperlink"/>
            <w14:scene3d>
              <w14:camera w14:prst="orthographicFront"/>
              <w14:lightRig w14:rig="threePt" w14:dir="t">
                <w14:rot w14:lat="0" w14:lon="0" w14:rev="0"/>
              </w14:lightRig>
            </w14:scene3d>
          </w:rPr>
          <w:t>B.3.4</w:t>
        </w:r>
        <w:r w:rsidR="009A6FEC">
          <w:rPr>
            <w:rFonts w:eastAsiaTheme="minorEastAsia"/>
            <w:color w:val="auto"/>
            <w:sz w:val="22"/>
            <w:szCs w:val="22"/>
            <w:lang w:eastAsia="fr-FR"/>
          </w:rPr>
          <w:tab/>
        </w:r>
        <w:r w:rsidR="009A6FEC" w:rsidRPr="00F91BFA">
          <w:rPr>
            <w:rStyle w:val="Hyperlink"/>
          </w:rPr>
          <w:t>Principales actions engagées et résultats</w:t>
        </w:r>
        <w:r w:rsidR="009A6FEC">
          <w:rPr>
            <w:webHidden/>
          </w:rPr>
          <w:tab/>
        </w:r>
        <w:r w:rsidR="009A6FEC">
          <w:rPr>
            <w:webHidden/>
          </w:rPr>
          <w:fldChar w:fldCharType="begin"/>
        </w:r>
        <w:r w:rsidR="009A6FEC">
          <w:rPr>
            <w:webHidden/>
          </w:rPr>
          <w:instrText xml:space="preserve"> PAGEREF _Toc93390331 \h </w:instrText>
        </w:r>
        <w:r w:rsidR="009A6FEC">
          <w:rPr>
            <w:webHidden/>
          </w:rPr>
        </w:r>
        <w:r w:rsidR="009A6FEC">
          <w:rPr>
            <w:webHidden/>
          </w:rPr>
          <w:fldChar w:fldCharType="separate"/>
        </w:r>
        <w:r w:rsidR="009F0282">
          <w:rPr>
            <w:webHidden/>
          </w:rPr>
          <w:t>130</w:t>
        </w:r>
        <w:r w:rsidR="009A6FEC">
          <w:rPr>
            <w:webHidden/>
          </w:rPr>
          <w:fldChar w:fldCharType="end"/>
        </w:r>
      </w:hyperlink>
    </w:p>
    <w:p w14:paraId="147DE9E5" w14:textId="44A711DC" w:rsidR="009A6FEC" w:rsidRDefault="00B455B7">
      <w:pPr>
        <w:pStyle w:val="TOC3"/>
        <w:rPr>
          <w:rFonts w:eastAsiaTheme="minorEastAsia"/>
          <w:color w:val="auto"/>
          <w:sz w:val="22"/>
          <w:szCs w:val="22"/>
          <w:lang w:eastAsia="fr-FR"/>
        </w:rPr>
      </w:pPr>
      <w:hyperlink w:anchor="_Toc93390332" w:history="1">
        <w:r w:rsidR="009A6FEC" w:rsidRPr="00F91BFA">
          <w:rPr>
            <w:rStyle w:val="Hyperlink"/>
            <w14:scene3d>
              <w14:camera w14:prst="orthographicFront"/>
              <w14:lightRig w14:rig="threePt" w14:dir="t">
                <w14:rot w14:lat="0" w14:lon="0" w14:rev="0"/>
              </w14:lightRig>
            </w14:scene3d>
          </w:rPr>
          <w:t>B.3.5</w:t>
        </w:r>
        <w:r w:rsidR="009A6FEC">
          <w:rPr>
            <w:rFonts w:eastAsiaTheme="minorEastAsia"/>
            <w:color w:val="auto"/>
            <w:sz w:val="22"/>
            <w:szCs w:val="22"/>
            <w:lang w:eastAsia="fr-FR"/>
          </w:rPr>
          <w:tab/>
        </w:r>
        <w:r w:rsidR="009A6FEC" w:rsidRPr="00F91BFA">
          <w:rPr>
            <w:rStyle w:val="Hyperlink"/>
          </w:rPr>
          <w:t>Structuration et financement (dont partenaires)</w:t>
        </w:r>
        <w:r w:rsidR="009A6FEC">
          <w:rPr>
            <w:webHidden/>
          </w:rPr>
          <w:tab/>
        </w:r>
        <w:r w:rsidR="009A6FEC">
          <w:rPr>
            <w:webHidden/>
          </w:rPr>
          <w:fldChar w:fldCharType="begin"/>
        </w:r>
        <w:r w:rsidR="009A6FEC">
          <w:rPr>
            <w:webHidden/>
          </w:rPr>
          <w:instrText xml:space="preserve"> PAGEREF _Toc93390332 \h </w:instrText>
        </w:r>
        <w:r w:rsidR="009A6FEC">
          <w:rPr>
            <w:webHidden/>
          </w:rPr>
        </w:r>
        <w:r w:rsidR="009A6FEC">
          <w:rPr>
            <w:webHidden/>
          </w:rPr>
          <w:fldChar w:fldCharType="separate"/>
        </w:r>
        <w:r w:rsidR="009F0282">
          <w:rPr>
            <w:webHidden/>
          </w:rPr>
          <w:t>131</w:t>
        </w:r>
        <w:r w:rsidR="009A6FEC">
          <w:rPr>
            <w:webHidden/>
          </w:rPr>
          <w:fldChar w:fldCharType="end"/>
        </w:r>
      </w:hyperlink>
    </w:p>
    <w:p w14:paraId="3D82B907" w14:textId="5864F34C" w:rsidR="009A6FEC" w:rsidRDefault="00B455B7">
      <w:pPr>
        <w:pStyle w:val="TOC3"/>
        <w:rPr>
          <w:rFonts w:eastAsiaTheme="minorEastAsia"/>
          <w:color w:val="auto"/>
          <w:sz w:val="22"/>
          <w:szCs w:val="22"/>
          <w:lang w:eastAsia="fr-FR"/>
        </w:rPr>
      </w:pPr>
      <w:hyperlink w:anchor="_Toc93390333" w:history="1">
        <w:r w:rsidR="009A6FEC" w:rsidRPr="00F91BFA">
          <w:rPr>
            <w:rStyle w:val="Hyperlink"/>
            <w14:scene3d>
              <w14:camera w14:prst="orthographicFront"/>
              <w14:lightRig w14:rig="threePt" w14:dir="t">
                <w14:rot w14:lat="0" w14:lon="0" w14:rev="0"/>
              </w14:lightRig>
            </w14:scene3d>
          </w:rPr>
          <w:t>B.3.6</w:t>
        </w:r>
        <w:r w:rsidR="009A6FEC">
          <w:rPr>
            <w:rFonts w:eastAsiaTheme="minorEastAsia"/>
            <w:color w:val="auto"/>
            <w:sz w:val="22"/>
            <w:szCs w:val="22"/>
            <w:lang w:eastAsia="fr-FR"/>
          </w:rPr>
          <w:tab/>
        </w:r>
        <w:r w:rsidR="009A6FEC" w:rsidRPr="00F91BFA">
          <w:rPr>
            <w:rStyle w:val="Hyperlink"/>
          </w:rPr>
          <w:t>Enseignements</w:t>
        </w:r>
        <w:r w:rsidR="009A6FEC">
          <w:rPr>
            <w:webHidden/>
          </w:rPr>
          <w:tab/>
        </w:r>
        <w:r w:rsidR="009A6FEC">
          <w:rPr>
            <w:webHidden/>
          </w:rPr>
          <w:fldChar w:fldCharType="begin"/>
        </w:r>
        <w:r w:rsidR="009A6FEC">
          <w:rPr>
            <w:webHidden/>
          </w:rPr>
          <w:instrText xml:space="preserve"> PAGEREF _Toc93390333 \h </w:instrText>
        </w:r>
        <w:r w:rsidR="009A6FEC">
          <w:rPr>
            <w:webHidden/>
          </w:rPr>
        </w:r>
        <w:r w:rsidR="009A6FEC">
          <w:rPr>
            <w:webHidden/>
          </w:rPr>
          <w:fldChar w:fldCharType="separate"/>
        </w:r>
        <w:r w:rsidR="009F0282">
          <w:rPr>
            <w:webHidden/>
          </w:rPr>
          <w:t>131</w:t>
        </w:r>
        <w:r w:rsidR="009A6FEC">
          <w:rPr>
            <w:webHidden/>
          </w:rPr>
          <w:fldChar w:fldCharType="end"/>
        </w:r>
      </w:hyperlink>
    </w:p>
    <w:p w14:paraId="5B011C48" w14:textId="33D6844D" w:rsidR="009A6FEC" w:rsidRDefault="00B455B7">
      <w:pPr>
        <w:pStyle w:val="TOC3"/>
        <w:rPr>
          <w:rFonts w:eastAsiaTheme="minorEastAsia"/>
          <w:color w:val="auto"/>
          <w:sz w:val="22"/>
          <w:szCs w:val="22"/>
          <w:lang w:eastAsia="fr-FR"/>
        </w:rPr>
      </w:pPr>
      <w:hyperlink w:anchor="_Toc93390334" w:history="1">
        <w:r w:rsidR="009A6FEC" w:rsidRPr="00F91BFA">
          <w:rPr>
            <w:rStyle w:val="Hyperlink"/>
            <w14:scene3d>
              <w14:camera w14:prst="orthographicFront"/>
              <w14:lightRig w14:rig="threePt" w14:dir="t">
                <w14:rot w14:lat="0" w14:lon="0" w14:rev="0"/>
              </w14:lightRig>
            </w14:scene3d>
          </w:rPr>
          <w:t>B.3.7</w:t>
        </w:r>
        <w:r w:rsidR="009A6FEC">
          <w:rPr>
            <w:rFonts w:eastAsiaTheme="minorEastAsia"/>
            <w:color w:val="auto"/>
            <w:sz w:val="22"/>
            <w:szCs w:val="22"/>
            <w:lang w:eastAsia="fr-FR"/>
          </w:rPr>
          <w:tab/>
        </w:r>
        <w:r w:rsidR="009A6FEC" w:rsidRPr="00F91BFA">
          <w:rPr>
            <w:rStyle w:val="Hyperlink"/>
          </w:rPr>
          <w:t>Clés de succès</w:t>
        </w:r>
        <w:r w:rsidR="009A6FEC">
          <w:rPr>
            <w:webHidden/>
          </w:rPr>
          <w:tab/>
        </w:r>
        <w:r w:rsidR="009A6FEC">
          <w:rPr>
            <w:webHidden/>
          </w:rPr>
          <w:fldChar w:fldCharType="begin"/>
        </w:r>
        <w:r w:rsidR="009A6FEC">
          <w:rPr>
            <w:webHidden/>
          </w:rPr>
          <w:instrText xml:space="preserve"> PAGEREF _Toc93390334 \h </w:instrText>
        </w:r>
        <w:r w:rsidR="009A6FEC">
          <w:rPr>
            <w:webHidden/>
          </w:rPr>
        </w:r>
        <w:r w:rsidR="009A6FEC">
          <w:rPr>
            <w:webHidden/>
          </w:rPr>
          <w:fldChar w:fldCharType="separate"/>
        </w:r>
        <w:r w:rsidR="009F0282">
          <w:rPr>
            <w:webHidden/>
          </w:rPr>
          <w:t>132</w:t>
        </w:r>
        <w:r w:rsidR="009A6FEC">
          <w:rPr>
            <w:webHidden/>
          </w:rPr>
          <w:fldChar w:fldCharType="end"/>
        </w:r>
      </w:hyperlink>
    </w:p>
    <w:p w14:paraId="54A6CEB8" w14:textId="479E41B5" w:rsidR="009A6FEC" w:rsidRDefault="00B455B7">
      <w:pPr>
        <w:pStyle w:val="TOC3"/>
        <w:rPr>
          <w:rFonts w:eastAsiaTheme="minorEastAsia"/>
          <w:color w:val="auto"/>
          <w:sz w:val="22"/>
          <w:szCs w:val="22"/>
          <w:lang w:eastAsia="fr-FR"/>
        </w:rPr>
      </w:pPr>
      <w:hyperlink w:anchor="_Toc93390335" w:history="1">
        <w:r w:rsidR="009A6FEC" w:rsidRPr="00F91BFA">
          <w:rPr>
            <w:rStyle w:val="Hyperlink"/>
            <w14:scene3d>
              <w14:camera w14:prst="orthographicFront"/>
              <w14:lightRig w14:rig="threePt" w14:dir="t">
                <w14:rot w14:lat="0" w14:lon="0" w14:rev="0"/>
              </w14:lightRig>
            </w14:scene3d>
          </w:rPr>
          <w:t>B.3.8</w:t>
        </w:r>
        <w:r w:rsidR="009A6FEC">
          <w:rPr>
            <w:rFonts w:eastAsiaTheme="minorEastAsia"/>
            <w:color w:val="auto"/>
            <w:sz w:val="22"/>
            <w:szCs w:val="22"/>
            <w:lang w:eastAsia="fr-FR"/>
          </w:rPr>
          <w:tab/>
        </w:r>
        <w:r w:rsidR="009A6FEC" w:rsidRPr="00F91BFA">
          <w:rPr>
            <w:rStyle w:val="Hyperlink"/>
          </w:rPr>
          <w:t>Mise en perspective par rapport à la région Hauts-de-France</w:t>
        </w:r>
        <w:r w:rsidR="009A6FEC">
          <w:rPr>
            <w:webHidden/>
          </w:rPr>
          <w:tab/>
        </w:r>
        <w:r w:rsidR="009A6FEC">
          <w:rPr>
            <w:webHidden/>
          </w:rPr>
          <w:fldChar w:fldCharType="begin"/>
        </w:r>
        <w:r w:rsidR="009A6FEC">
          <w:rPr>
            <w:webHidden/>
          </w:rPr>
          <w:instrText xml:space="preserve"> PAGEREF _Toc93390335 \h </w:instrText>
        </w:r>
        <w:r w:rsidR="009A6FEC">
          <w:rPr>
            <w:webHidden/>
          </w:rPr>
        </w:r>
        <w:r w:rsidR="009A6FEC">
          <w:rPr>
            <w:webHidden/>
          </w:rPr>
          <w:fldChar w:fldCharType="separate"/>
        </w:r>
        <w:r w:rsidR="009F0282">
          <w:rPr>
            <w:webHidden/>
          </w:rPr>
          <w:t>132</w:t>
        </w:r>
        <w:r w:rsidR="009A6FEC">
          <w:rPr>
            <w:webHidden/>
          </w:rPr>
          <w:fldChar w:fldCharType="end"/>
        </w:r>
      </w:hyperlink>
    </w:p>
    <w:p w14:paraId="1E555D82" w14:textId="1D4B9E63" w:rsidR="009A6FEC" w:rsidRDefault="00B455B7">
      <w:pPr>
        <w:pStyle w:val="TOC3"/>
        <w:rPr>
          <w:rFonts w:eastAsiaTheme="minorEastAsia"/>
          <w:color w:val="auto"/>
          <w:sz w:val="22"/>
          <w:szCs w:val="22"/>
          <w:lang w:eastAsia="fr-FR"/>
        </w:rPr>
      </w:pPr>
      <w:hyperlink w:anchor="_Toc93390336" w:history="1">
        <w:r w:rsidR="009A6FEC" w:rsidRPr="00F91BFA">
          <w:rPr>
            <w:rStyle w:val="Hyperlink"/>
            <w:lang w:val="en-US"/>
            <w14:scene3d>
              <w14:camera w14:prst="orthographicFront"/>
              <w14:lightRig w14:rig="threePt" w14:dir="t">
                <w14:rot w14:lat="0" w14:lon="0" w14:rev="0"/>
              </w14:lightRig>
            </w14:scene3d>
          </w:rPr>
          <w:t>B.3.9</w:t>
        </w:r>
        <w:r w:rsidR="009A6FEC">
          <w:rPr>
            <w:rFonts w:eastAsiaTheme="minorEastAsia"/>
            <w:color w:val="auto"/>
            <w:sz w:val="22"/>
            <w:szCs w:val="22"/>
            <w:lang w:eastAsia="fr-FR"/>
          </w:rPr>
          <w:tab/>
        </w:r>
        <w:r w:rsidR="009A6FEC" w:rsidRPr="00F91BFA">
          <w:rPr>
            <w:rStyle w:val="Hyperlink"/>
            <w:lang w:val="en-US"/>
          </w:rPr>
          <w:t>Contact</w:t>
        </w:r>
        <w:r w:rsidR="009A6FEC">
          <w:rPr>
            <w:webHidden/>
          </w:rPr>
          <w:tab/>
        </w:r>
        <w:r w:rsidR="009A6FEC">
          <w:rPr>
            <w:webHidden/>
          </w:rPr>
          <w:fldChar w:fldCharType="begin"/>
        </w:r>
        <w:r w:rsidR="009A6FEC">
          <w:rPr>
            <w:webHidden/>
          </w:rPr>
          <w:instrText xml:space="preserve"> PAGEREF _Toc93390336 \h </w:instrText>
        </w:r>
        <w:r w:rsidR="009A6FEC">
          <w:rPr>
            <w:webHidden/>
          </w:rPr>
        </w:r>
        <w:r w:rsidR="009A6FEC">
          <w:rPr>
            <w:webHidden/>
          </w:rPr>
          <w:fldChar w:fldCharType="separate"/>
        </w:r>
        <w:r w:rsidR="009F0282">
          <w:rPr>
            <w:webHidden/>
          </w:rPr>
          <w:t>132</w:t>
        </w:r>
        <w:r w:rsidR="009A6FEC">
          <w:rPr>
            <w:webHidden/>
          </w:rPr>
          <w:fldChar w:fldCharType="end"/>
        </w:r>
      </w:hyperlink>
    </w:p>
    <w:p w14:paraId="4BF116F2" w14:textId="79080970" w:rsidR="009A6FEC" w:rsidRDefault="00B455B7">
      <w:pPr>
        <w:pStyle w:val="TOC3"/>
        <w:rPr>
          <w:rFonts w:eastAsiaTheme="minorEastAsia"/>
          <w:color w:val="auto"/>
          <w:sz w:val="22"/>
          <w:szCs w:val="22"/>
          <w:lang w:eastAsia="fr-FR"/>
        </w:rPr>
      </w:pPr>
      <w:hyperlink w:anchor="_Toc93390337" w:history="1">
        <w:r w:rsidR="009A6FEC" w:rsidRPr="00F91BFA">
          <w:rPr>
            <w:rStyle w:val="Hyperlink"/>
            <w14:scene3d>
              <w14:camera w14:prst="orthographicFront"/>
              <w14:lightRig w14:rig="threePt" w14:dir="t">
                <w14:rot w14:lat="0" w14:lon="0" w14:rev="0"/>
              </w14:lightRig>
            </w14:scene3d>
          </w:rPr>
          <w:t>B.3.10</w:t>
        </w:r>
        <w:r w:rsidR="009A6FEC">
          <w:rPr>
            <w:rFonts w:eastAsiaTheme="minorEastAsia"/>
            <w:color w:val="auto"/>
            <w:sz w:val="22"/>
            <w:szCs w:val="22"/>
            <w:lang w:eastAsia="fr-FR"/>
          </w:rPr>
          <w:tab/>
        </w:r>
        <w:r w:rsidR="009A6FEC" w:rsidRPr="00F91BFA">
          <w:rPr>
            <w:rStyle w:val="Hyperlink"/>
          </w:rPr>
          <w:t>Autres sources</w:t>
        </w:r>
        <w:r w:rsidR="009A6FEC">
          <w:rPr>
            <w:webHidden/>
          </w:rPr>
          <w:tab/>
        </w:r>
        <w:r w:rsidR="009A6FEC">
          <w:rPr>
            <w:webHidden/>
          </w:rPr>
          <w:fldChar w:fldCharType="begin"/>
        </w:r>
        <w:r w:rsidR="009A6FEC">
          <w:rPr>
            <w:webHidden/>
          </w:rPr>
          <w:instrText xml:space="preserve"> PAGEREF _Toc93390337 \h </w:instrText>
        </w:r>
        <w:r w:rsidR="009A6FEC">
          <w:rPr>
            <w:webHidden/>
          </w:rPr>
        </w:r>
        <w:r w:rsidR="009A6FEC">
          <w:rPr>
            <w:webHidden/>
          </w:rPr>
          <w:fldChar w:fldCharType="separate"/>
        </w:r>
        <w:r w:rsidR="009F0282">
          <w:rPr>
            <w:webHidden/>
          </w:rPr>
          <w:t>133</w:t>
        </w:r>
        <w:r w:rsidR="009A6FEC">
          <w:rPr>
            <w:webHidden/>
          </w:rPr>
          <w:fldChar w:fldCharType="end"/>
        </w:r>
      </w:hyperlink>
    </w:p>
    <w:p w14:paraId="7B0A3021" w14:textId="445F06D9" w:rsidR="009A6FEC" w:rsidRDefault="00B455B7">
      <w:pPr>
        <w:pStyle w:val="TOC1"/>
        <w:tabs>
          <w:tab w:val="left" w:pos="1247"/>
        </w:tabs>
        <w:rPr>
          <w:rFonts w:eastAsiaTheme="minorEastAsia"/>
          <w:noProof/>
          <w:color w:val="auto"/>
          <w:sz w:val="22"/>
          <w:szCs w:val="22"/>
          <w:lang w:eastAsia="fr-FR"/>
        </w:rPr>
      </w:pPr>
      <w:hyperlink w:anchor="_Toc93390338" w:history="1">
        <w:r w:rsidR="009A6FEC" w:rsidRPr="00F91BFA">
          <w:rPr>
            <w:rStyle w:val="Hyperlink"/>
            <w:noProof/>
            <w14:scene3d>
              <w14:camera w14:prst="orthographicFront"/>
              <w14:lightRig w14:rig="threePt" w14:dir="t">
                <w14:rot w14:lat="0" w14:lon="0" w14:rev="0"/>
              </w14:lightRig>
            </w14:scene3d>
          </w:rPr>
          <w:t>Annexe C</w:t>
        </w:r>
        <w:r w:rsidR="009A6FEC">
          <w:rPr>
            <w:rFonts w:eastAsiaTheme="minorEastAsia"/>
            <w:noProof/>
            <w:color w:val="auto"/>
            <w:sz w:val="22"/>
            <w:szCs w:val="22"/>
            <w:lang w:eastAsia="fr-FR"/>
          </w:rPr>
          <w:tab/>
        </w:r>
        <w:r w:rsidR="009A6FEC" w:rsidRPr="00F91BFA">
          <w:rPr>
            <w:rStyle w:val="Hyperlink"/>
            <w:noProof/>
          </w:rPr>
          <w:t>Fiches descriptives par outil financé par la Région</w:t>
        </w:r>
        <w:r w:rsidR="009A6FEC">
          <w:rPr>
            <w:noProof/>
            <w:webHidden/>
          </w:rPr>
          <w:tab/>
        </w:r>
        <w:r w:rsidR="009A6FEC">
          <w:rPr>
            <w:noProof/>
            <w:webHidden/>
          </w:rPr>
          <w:fldChar w:fldCharType="begin"/>
        </w:r>
        <w:r w:rsidR="009A6FEC">
          <w:rPr>
            <w:noProof/>
            <w:webHidden/>
          </w:rPr>
          <w:instrText xml:space="preserve"> PAGEREF _Toc93390338 \h </w:instrText>
        </w:r>
        <w:r w:rsidR="009A6FEC">
          <w:rPr>
            <w:noProof/>
            <w:webHidden/>
          </w:rPr>
        </w:r>
        <w:r w:rsidR="009A6FEC">
          <w:rPr>
            <w:noProof/>
            <w:webHidden/>
          </w:rPr>
          <w:fldChar w:fldCharType="separate"/>
        </w:r>
        <w:r w:rsidR="009F0282">
          <w:rPr>
            <w:noProof/>
            <w:webHidden/>
          </w:rPr>
          <w:t>134</w:t>
        </w:r>
        <w:r w:rsidR="009A6FEC">
          <w:rPr>
            <w:noProof/>
            <w:webHidden/>
          </w:rPr>
          <w:fldChar w:fldCharType="end"/>
        </w:r>
      </w:hyperlink>
    </w:p>
    <w:p w14:paraId="0E0FB099" w14:textId="50E5699C" w:rsidR="00783196" w:rsidRPr="00FB6623" w:rsidRDefault="00A917F6" w:rsidP="00F105DE">
      <w:pPr>
        <w:rPr>
          <w:b/>
          <w:bCs/>
        </w:rPr>
      </w:pPr>
      <w:r>
        <w:rPr>
          <w:b/>
          <w:bCs/>
          <w:color w:val="000000" w:themeColor="text1"/>
          <w:sz w:val="20"/>
        </w:rPr>
        <w:fldChar w:fldCharType="end"/>
      </w:r>
    </w:p>
    <w:p w14:paraId="0AF68E71" w14:textId="681A3042" w:rsidR="00783196" w:rsidRPr="00FB6623" w:rsidRDefault="00877179" w:rsidP="00E804E0">
      <w:pPr>
        <w:pStyle w:val="Heading1"/>
        <w:numPr>
          <w:ilvl w:val="0"/>
          <w:numId w:val="0"/>
        </w:numPr>
      </w:pPr>
      <w:bookmarkStart w:id="3" w:name="_Toc93390261"/>
      <w:r w:rsidRPr="00877179">
        <w:t>Tableaux</w:t>
      </w:r>
      <w:bookmarkEnd w:id="3"/>
    </w:p>
    <w:p w14:paraId="7BCECD50" w14:textId="0C9681BC" w:rsidR="005140E1" w:rsidRDefault="00783196">
      <w:pPr>
        <w:pStyle w:val="TableofFigures"/>
        <w:rPr>
          <w:rFonts w:eastAsiaTheme="minorEastAsia"/>
          <w:noProof/>
          <w:sz w:val="22"/>
          <w:szCs w:val="22"/>
          <w:lang w:eastAsia="fr-FR"/>
        </w:rPr>
      </w:pPr>
      <w:r w:rsidRPr="00FB6623">
        <w:fldChar w:fldCharType="begin"/>
      </w:r>
      <w:r w:rsidRPr="00FB6623">
        <w:instrText xml:space="preserve"> TOC \h \z \c "Table</w:instrText>
      </w:r>
      <w:r w:rsidR="00FD51D1">
        <w:instrText>au</w:instrText>
      </w:r>
      <w:r w:rsidRPr="00FB6623">
        <w:instrText xml:space="preserve">" \t "Table heading,1" </w:instrText>
      </w:r>
      <w:r w:rsidRPr="00FB6623">
        <w:fldChar w:fldCharType="separate"/>
      </w:r>
      <w:hyperlink w:anchor="_Toc88842093" w:history="1">
        <w:r w:rsidR="005140E1" w:rsidRPr="003D522F">
          <w:rPr>
            <w:rStyle w:val="Hyperlink"/>
            <w:noProof/>
          </w:rPr>
          <w:t>Tableau 1 Bilan des outils et sources de financement des projets EnR innovants</w:t>
        </w:r>
        <w:r w:rsidR="005140E1">
          <w:rPr>
            <w:noProof/>
            <w:webHidden/>
          </w:rPr>
          <w:tab/>
        </w:r>
        <w:r w:rsidR="005140E1">
          <w:rPr>
            <w:noProof/>
            <w:webHidden/>
          </w:rPr>
          <w:fldChar w:fldCharType="begin"/>
        </w:r>
        <w:r w:rsidR="005140E1">
          <w:rPr>
            <w:noProof/>
            <w:webHidden/>
          </w:rPr>
          <w:instrText xml:space="preserve"> PAGEREF _Toc88842093 \h </w:instrText>
        </w:r>
        <w:r w:rsidR="005140E1">
          <w:rPr>
            <w:noProof/>
            <w:webHidden/>
          </w:rPr>
        </w:r>
        <w:r w:rsidR="005140E1">
          <w:rPr>
            <w:noProof/>
            <w:webHidden/>
          </w:rPr>
          <w:fldChar w:fldCharType="separate"/>
        </w:r>
        <w:r w:rsidR="009F0282">
          <w:rPr>
            <w:noProof/>
            <w:webHidden/>
          </w:rPr>
          <w:t>16</w:t>
        </w:r>
        <w:r w:rsidR="005140E1">
          <w:rPr>
            <w:noProof/>
            <w:webHidden/>
          </w:rPr>
          <w:fldChar w:fldCharType="end"/>
        </w:r>
      </w:hyperlink>
    </w:p>
    <w:p w14:paraId="47A7607F" w14:textId="04FBC70B" w:rsidR="005140E1" w:rsidRDefault="00B455B7">
      <w:pPr>
        <w:pStyle w:val="TableofFigures"/>
        <w:rPr>
          <w:rFonts w:eastAsiaTheme="minorEastAsia"/>
          <w:noProof/>
          <w:sz w:val="22"/>
          <w:szCs w:val="22"/>
          <w:lang w:eastAsia="fr-FR"/>
        </w:rPr>
      </w:pPr>
      <w:hyperlink w:anchor="_Toc88842094" w:history="1">
        <w:r w:rsidR="005140E1" w:rsidRPr="003D522F">
          <w:rPr>
            <w:rStyle w:val="Hyperlink"/>
            <w:noProof/>
          </w:rPr>
          <w:t>Tableau 2 Bilan des outils et sources de financement des projets EnR matures</w:t>
        </w:r>
        <w:r w:rsidR="005140E1">
          <w:rPr>
            <w:noProof/>
            <w:webHidden/>
          </w:rPr>
          <w:tab/>
        </w:r>
        <w:r w:rsidR="005140E1">
          <w:rPr>
            <w:noProof/>
            <w:webHidden/>
          </w:rPr>
          <w:fldChar w:fldCharType="begin"/>
        </w:r>
        <w:r w:rsidR="005140E1">
          <w:rPr>
            <w:noProof/>
            <w:webHidden/>
          </w:rPr>
          <w:instrText xml:space="preserve"> PAGEREF _Toc88842094 \h </w:instrText>
        </w:r>
        <w:r w:rsidR="005140E1">
          <w:rPr>
            <w:noProof/>
            <w:webHidden/>
          </w:rPr>
        </w:r>
        <w:r w:rsidR="005140E1">
          <w:rPr>
            <w:noProof/>
            <w:webHidden/>
          </w:rPr>
          <w:fldChar w:fldCharType="separate"/>
        </w:r>
        <w:r w:rsidR="009F0282">
          <w:rPr>
            <w:noProof/>
            <w:webHidden/>
          </w:rPr>
          <w:t>20</w:t>
        </w:r>
        <w:r w:rsidR="005140E1">
          <w:rPr>
            <w:noProof/>
            <w:webHidden/>
          </w:rPr>
          <w:fldChar w:fldCharType="end"/>
        </w:r>
      </w:hyperlink>
    </w:p>
    <w:p w14:paraId="7B2DD60E" w14:textId="4A0F97E2" w:rsidR="005140E1" w:rsidRDefault="00B455B7">
      <w:pPr>
        <w:pStyle w:val="TableofFigures"/>
        <w:rPr>
          <w:rFonts w:eastAsiaTheme="minorEastAsia"/>
          <w:noProof/>
          <w:sz w:val="22"/>
          <w:szCs w:val="22"/>
          <w:lang w:eastAsia="fr-FR"/>
        </w:rPr>
      </w:pPr>
      <w:hyperlink w:anchor="_Toc88842095" w:history="1">
        <w:r w:rsidR="005140E1" w:rsidRPr="003D522F">
          <w:rPr>
            <w:rStyle w:val="Hyperlink"/>
            <w:noProof/>
          </w:rPr>
          <w:t>Tableau 3 Montants maquettés et consommés au titre de la priorité 4a (EnR) des PO FEDER Nord-Pas-de-Calais et Picardie 2014-2020</w:t>
        </w:r>
        <w:r w:rsidR="005140E1">
          <w:rPr>
            <w:noProof/>
            <w:webHidden/>
          </w:rPr>
          <w:tab/>
        </w:r>
        <w:r w:rsidR="005140E1">
          <w:rPr>
            <w:noProof/>
            <w:webHidden/>
          </w:rPr>
          <w:fldChar w:fldCharType="begin"/>
        </w:r>
        <w:r w:rsidR="005140E1">
          <w:rPr>
            <w:noProof/>
            <w:webHidden/>
          </w:rPr>
          <w:instrText xml:space="preserve"> PAGEREF _Toc88842095 \h </w:instrText>
        </w:r>
        <w:r w:rsidR="005140E1">
          <w:rPr>
            <w:noProof/>
            <w:webHidden/>
          </w:rPr>
        </w:r>
        <w:r w:rsidR="005140E1">
          <w:rPr>
            <w:noProof/>
            <w:webHidden/>
          </w:rPr>
          <w:fldChar w:fldCharType="separate"/>
        </w:r>
        <w:r w:rsidR="009F0282">
          <w:rPr>
            <w:noProof/>
            <w:webHidden/>
          </w:rPr>
          <w:t>28</w:t>
        </w:r>
        <w:r w:rsidR="005140E1">
          <w:rPr>
            <w:noProof/>
            <w:webHidden/>
          </w:rPr>
          <w:fldChar w:fldCharType="end"/>
        </w:r>
      </w:hyperlink>
    </w:p>
    <w:p w14:paraId="2879C2D6" w14:textId="53429D5B" w:rsidR="005140E1" w:rsidRDefault="00B455B7">
      <w:pPr>
        <w:pStyle w:val="TableofFigures"/>
        <w:rPr>
          <w:rFonts w:eastAsiaTheme="minorEastAsia"/>
          <w:noProof/>
          <w:sz w:val="22"/>
          <w:szCs w:val="22"/>
          <w:lang w:eastAsia="fr-FR"/>
        </w:rPr>
      </w:pPr>
      <w:hyperlink w:anchor="_Toc88842096" w:history="1">
        <w:r w:rsidR="005140E1" w:rsidRPr="003D522F">
          <w:rPr>
            <w:rStyle w:val="Hyperlink"/>
            <w:noProof/>
          </w:rPr>
          <w:t>Tableau 4 AFOM offre de financement des EnR</w:t>
        </w:r>
        <w:r w:rsidR="005140E1">
          <w:rPr>
            <w:noProof/>
            <w:webHidden/>
          </w:rPr>
          <w:tab/>
        </w:r>
        <w:r w:rsidR="005140E1">
          <w:rPr>
            <w:noProof/>
            <w:webHidden/>
          </w:rPr>
          <w:fldChar w:fldCharType="begin"/>
        </w:r>
        <w:r w:rsidR="005140E1">
          <w:rPr>
            <w:noProof/>
            <w:webHidden/>
          </w:rPr>
          <w:instrText xml:space="preserve"> PAGEREF _Toc88842096 \h </w:instrText>
        </w:r>
        <w:r w:rsidR="005140E1">
          <w:rPr>
            <w:noProof/>
            <w:webHidden/>
          </w:rPr>
        </w:r>
        <w:r w:rsidR="005140E1">
          <w:rPr>
            <w:noProof/>
            <w:webHidden/>
          </w:rPr>
          <w:fldChar w:fldCharType="separate"/>
        </w:r>
        <w:r w:rsidR="009F0282">
          <w:rPr>
            <w:noProof/>
            <w:webHidden/>
          </w:rPr>
          <w:t>29</w:t>
        </w:r>
        <w:r w:rsidR="005140E1">
          <w:rPr>
            <w:noProof/>
            <w:webHidden/>
          </w:rPr>
          <w:fldChar w:fldCharType="end"/>
        </w:r>
      </w:hyperlink>
    </w:p>
    <w:p w14:paraId="62344702" w14:textId="3D9B873F" w:rsidR="005140E1" w:rsidRDefault="00B455B7">
      <w:pPr>
        <w:pStyle w:val="TableofFigures"/>
        <w:rPr>
          <w:rFonts w:eastAsiaTheme="minorEastAsia"/>
          <w:noProof/>
          <w:sz w:val="22"/>
          <w:szCs w:val="22"/>
          <w:lang w:eastAsia="fr-FR"/>
        </w:rPr>
      </w:pPr>
      <w:hyperlink w:anchor="_Toc88842097" w:history="1">
        <w:r w:rsidR="005140E1" w:rsidRPr="003D522F">
          <w:rPr>
            <w:rStyle w:val="Hyperlink"/>
            <w:noProof/>
          </w:rPr>
          <w:t>Tableau 5 Montants maquettés et consommés au titre de la priorité 4c (Efficacité énergétique) des PO FEDER Nord-Pas-de-Calais et Picardie 2014-2020</w:t>
        </w:r>
        <w:r w:rsidR="005140E1">
          <w:rPr>
            <w:noProof/>
            <w:webHidden/>
          </w:rPr>
          <w:tab/>
        </w:r>
        <w:r w:rsidR="005140E1">
          <w:rPr>
            <w:noProof/>
            <w:webHidden/>
          </w:rPr>
          <w:fldChar w:fldCharType="begin"/>
        </w:r>
        <w:r w:rsidR="005140E1">
          <w:rPr>
            <w:noProof/>
            <w:webHidden/>
          </w:rPr>
          <w:instrText xml:space="preserve"> PAGEREF _Toc88842097 \h </w:instrText>
        </w:r>
        <w:r w:rsidR="005140E1">
          <w:rPr>
            <w:noProof/>
            <w:webHidden/>
          </w:rPr>
        </w:r>
        <w:r w:rsidR="005140E1">
          <w:rPr>
            <w:noProof/>
            <w:webHidden/>
          </w:rPr>
          <w:fldChar w:fldCharType="separate"/>
        </w:r>
        <w:r w:rsidR="009F0282">
          <w:rPr>
            <w:noProof/>
            <w:webHidden/>
          </w:rPr>
          <w:t>42</w:t>
        </w:r>
        <w:r w:rsidR="005140E1">
          <w:rPr>
            <w:noProof/>
            <w:webHidden/>
          </w:rPr>
          <w:fldChar w:fldCharType="end"/>
        </w:r>
      </w:hyperlink>
    </w:p>
    <w:p w14:paraId="0A950B92" w14:textId="12A057E7" w:rsidR="005140E1" w:rsidRDefault="00B455B7">
      <w:pPr>
        <w:pStyle w:val="TableofFigures"/>
        <w:rPr>
          <w:rFonts w:eastAsiaTheme="minorEastAsia"/>
          <w:noProof/>
          <w:sz w:val="22"/>
          <w:szCs w:val="22"/>
          <w:lang w:eastAsia="fr-FR"/>
        </w:rPr>
      </w:pPr>
      <w:hyperlink w:anchor="_Toc88842098" w:history="1">
        <w:r w:rsidR="005140E1" w:rsidRPr="003D522F">
          <w:rPr>
            <w:rStyle w:val="Hyperlink"/>
            <w:noProof/>
          </w:rPr>
          <w:t>Tableau 6 AFOM offre de financement de l’efficacité énergétique</w:t>
        </w:r>
        <w:r w:rsidR="005140E1">
          <w:rPr>
            <w:noProof/>
            <w:webHidden/>
          </w:rPr>
          <w:tab/>
        </w:r>
        <w:r w:rsidR="005140E1">
          <w:rPr>
            <w:noProof/>
            <w:webHidden/>
          </w:rPr>
          <w:fldChar w:fldCharType="begin"/>
        </w:r>
        <w:r w:rsidR="005140E1">
          <w:rPr>
            <w:noProof/>
            <w:webHidden/>
          </w:rPr>
          <w:instrText xml:space="preserve"> PAGEREF _Toc88842098 \h </w:instrText>
        </w:r>
        <w:r w:rsidR="005140E1">
          <w:rPr>
            <w:noProof/>
            <w:webHidden/>
          </w:rPr>
        </w:r>
        <w:r w:rsidR="005140E1">
          <w:rPr>
            <w:noProof/>
            <w:webHidden/>
          </w:rPr>
          <w:fldChar w:fldCharType="separate"/>
        </w:r>
        <w:r w:rsidR="009F0282">
          <w:rPr>
            <w:noProof/>
            <w:webHidden/>
          </w:rPr>
          <w:t>42</w:t>
        </w:r>
        <w:r w:rsidR="005140E1">
          <w:rPr>
            <w:noProof/>
            <w:webHidden/>
          </w:rPr>
          <w:fldChar w:fldCharType="end"/>
        </w:r>
      </w:hyperlink>
    </w:p>
    <w:p w14:paraId="12E98C7A" w14:textId="2C58EE7E" w:rsidR="005140E1" w:rsidRDefault="00B455B7">
      <w:pPr>
        <w:pStyle w:val="TableofFigures"/>
        <w:rPr>
          <w:rFonts w:eastAsiaTheme="minorEastAsia"/>
          <w:noProof/>
          <w:sz w:val="22"/>
          <w:szCs w:val="22"/>
          <w:lang w:eastAsia="fr-FR"/>
        </w:rPr>
      </w:pPr>
      <w:hyperlink w:anchor="_Toc88842099" w:history="1">
        <w:r w:rsidR="005140E1" w:rsidRPr="003D522F">
          <w:rPr>
            <w:rStyle w:val="Hyperlink"/>
            <w:noProof/>
          </w:rPr>
          <w:t>Tableau 7 Montants maquettés et consommés au titre de la priorité 6e (réhabilitation du foncier) des PO FEDER Nord-Pas-de-Calais et Picardie 2014-2020</w:t>
        </w:r>
        <w:r w:rsidR="005140E1">
          <w:rPr>
            <w:noProof/>
            <w:webHidden/>
          </w:rPr>
          <w:tab/>
        </w:r>
        <w:r w:rsidR="005140E1">
          <w:rPr>
            <w:noProof/>
            <w:webHidden/>
          </w:rPr>
          <w:fldChar w:fldCharType="begin"/>
        </w:r>
        <w:r w:rsidR="005140E1">
          <w:rPr>
            <w:noProof/>
            <w:webHidden/>
          </w:rPr>
          <w:instrText xml:space="preserve"> PAGEREF _Toc88842099 \h </w:instrText>
        </w:r>
        <w:r w:rsidR="005140E1">
          <w:rPr>
            <w:noProof/>
            <w:webHidden/>
          </w:rPr>
        </w:r>
        <w:r w:rsidR="005140E1">
          <w:rPr>
            <w:noProof/>
            <w:webHidden/>
          </w:rPr>
          <w:fldChar w:fldCharType="separate"/>
        </w:r>
        <w:r w:rsidR="009F0282">
          <w:rPr>
            <w:noProof/>
            <w:webHidden/>
          </w:rPr>
          <w:t>53</w:t>
        </w:r>
        <w:r w:rsidR="005140E1">
          <w:rPr>
            <w:noProof/>
            <w:webHidden/>
          </w:rPr>
          <w:fldChar w:fldCharType="end"/>
        </w:r>
      </w:hyperlink>
    </w:p>
    <w:p w14:paraId="24BECCC9" w14:textId="6AC22CBD" w:rsidR="005140E1" w:rsidRDefault="00B455B7">
      <w:pPr>
        <w:pStyle w:val="TableofFigures"/>
        <w:rPr>
          <w:rFonts w:eastAsiaTheme="minorEastAsia"/>
          <w:noProof/>
          <w:sz w:val="22"/>
          <w:szCs w:val="22"/>
          <w:lang w:eastAsia="fr-FR"/>
        </w:rPr>
      </w:pPr>
      <w:hyperlink w:anchor="_Toc88842100" w:history="1">
        <w:r w:rsidR="005140E1" w:rsidRPr="003D522F">
          <w:rPr>
            <w:rStyle w:val="Hyperlink"/>
            <w:noProof/>
          </w:rPr>
          <w:t>Tableau 8 AFOM offre de financement du recyclage foncier</w:t>
        </w:r>
        <w:r w:rsidR="005140E1">
          <w:rPr>
            <w:noProof/>
            <w:webHidden/>
          </w:rPr>
          <w:tab/>
        </w:r>
        <w:r w:rsidR="005140E1">
          <w:rPr>
            <w:noProof/>
            <w:webHidden/>
          </w:rPr>
          <w:fldChar w:fldCharType="begin"/>
        </w:r>
        <w:r w:rsidR="005140E1">
          <w:rPr>
            <w:noProof/>
            <w:webHidden/>
          </w:rPr>
          <w:instrText xml:space="preserve"> PAGEREF _Toc88842100 \h </w:instrText>
        </w:r>
        <w:r w:rsidR="005140E1">
          <w:rPr>
            <w:noProof/>
            <w:webHidden/>
          </w:rPr>
        </w:r>
        <w:r w:rsidR="005140E1">
          <w:rPr>
            <w:noProof/>
            <w:webHidden/>
          </w:rPr>
          <w:fldChar w:fldCharType="separate"/>
        </w:r>
        <w:r w:rsidR="009F0282">
          <w:rPr>
            <w:noProof/>
            <w:webHidden/>
          </w:rPr>
          <w:t>54</w:t>
        </w:r>
        <w:r w:rsidR="005140E1">
          <w:rPr>
            <w:noProof/>
            <w:webHidden/>
          </w:rPr>
          <w:fldChar w:fldCharType="end"/>
        </w:r>
      </w:hyperlink>
    </w:p>
    <w:p w14:paraId="46C2F1CB" w14:textId="363B4E1D" w:rsidR="005140E1" w:rsidRDefault="00B455B7">
      <w:pPr>
        <w:pStyle w:val="TableofFigures"/>
        <w:rPr>
          <w:rFonts w:eastAsiaTheme="minorEastAsia"/>
          <w:noProof/>
          <w:sz w:val="22"/>
          <w:szCs w:val="22"/>
          <w:lang w:eastAsia="fr-FR"/>
        </w:rPr>
      </w:pPr>
      <w:hyperlink w:anchor="_Toc88842101" w:history="1">
        <w:r w:rsidR="005140E1" w:rsidRPr="003D522F">
          <w:rPr>
            <w:rStyle w:val="Hyperlink"/>
            <w:noProof/>
          </w:rPr>
          <w:t>Tableau 9 AFOM des énergies renouvelables sur le territoire</w:t>
        </w:r>
        <w:r w:rsidR="005140E1">
          <w:rPr>
            <w:noProof/>
            <w:webHidden/>
          </w:rPr>
          <w:tab/>
        </w:r>
        <w:r w:rsidR="005140E1">
          <w:rPr>
            <w:noProof/>
            <w:webHidden/>
          </w:rPr>
          <w:fldChar w:fldCharType="begin"/>
        </w:r>
        <w:r w:rsidR="005140E1">
          <w:rPr>
            <w:noProof/>
            <w:webHidden/>
          </w:rPr>
          <w:instrText xml:space="preserve"> PAGEREF _Toc88842101 \h </w:instrText>
        </w:r>
        <w:r w:rsidR="005140E1">
          <w:rPr>
            <w:noProof/>
            <w:webHidden/>
          </w:rPr>
        </w:r>
        <w:r w:rsidR="005140E1">
          <w:rPr>
            <w:noProof/>
            <w:webHidden/>
          </w:rPr>
          <w:fldChar w:fldCharType="separate"/>
        </w:r>
        <w:r w:rsidR="009F0282">
          <w:rPr>
            <w:noProof/>
            <w:webHidden/>
          </w:rPr>
          <w:t>65</w:t>
        </w:r>
        <w:r w:rsidR="005140E1">
          <w:rPr>
            <w:noProof/>
            <w:webHidden/>
          </w:rPr>
          <w:fldChar w:fldCharType="end"/>
        </w:r>
      </w:hyperlink>
    </w:p>
    <w:p w14:paraId="3FC2CA1E" w14:textId="1C308741" w:rsidR="005140E1" w:rsidRDefault="00B455B7">
      <w:pPr>
        <w:pStyle w:val="TableofFigures"/>
        <w:rPr>
          <w:rFonts w:eastAsiaTheme="minorEastAsia"/>
          <w:noProof/>
          <w:sz w:val="22"/>
          <w:szCs w:val="22"/>
          <w:lang w:eastAsia="fr-FR"/>
        </w:rPr>
      </w:pPr>
      <w:hyperlink w:anchor="_Toc88842102" w:history="1">
        <w:r w:rsidR="005140E1" w:rsidRPr="003D522F">
          <w:rPr>
            <w:rStyle w:val="Hyperlink"/>
            <w:noProof/>
          </w:rPr>
          <w:t>Tableau 10 Niveau de couverture des besoins par l’offre régionale</w:t>
        </w:r>
        <w:r w:rsidR="005140E1">
          <w:rPr>
            <w:noProof/>
            <w:webHidden/>
          </w:rPr>
          <w:tab/>
        </w:r>
        <w:r w:rsidR="005140E1">
          <w:rPr>
            <w:noProof/>
            <w:webHidden/>
          </w:rPr>
          <w:fldChar w:fldCharType="begin"/>
        </w:r>
        <w:r w:rsidR="005140E1">
          <w:rPr>
            <w:noProof/>
            <w:webHidden/>
          </w:rPr>
          <w:instrText xml:space="preserve"> PAGEREF _Toc88842102 \h </w:instrText>
        </w:r>
        <w:r w:rsidR="005140E1">
          <w:rPr>
            <w:noProof/>
            <w:webHidden/>
          </w:rPr>
        </w:r>
        <w:r w:rsidR="005140E1">
          <w:rPr>
            <w:noProof/>
            <w:webHidden/>
          </w:rPr>
          <w:fldChar w:fldCharType="separate"/>
        </w:r>
        <w:r w:rsidR="009F0282">
          <w:rPr>
            <w:noProof/>
            <w:webHidden/>
          </w:rPr>
          <w:t>66</w:t>
        </w:r>
        <w:r w:rsidR="005140E1">
          <w:rPr>
            <w:noProof/>
            <w:webHidden/>
          </w:rPr>
          <w:fldChar w:fldCharType="end"/>
        </w:r>
      </w:hyperlink>
    </w:p>
    <w:p w14:paraId="2ED0C4C7" w14:textId="0CC17E7D" w:rsidR="005140E1" w:rsidRDefault="00B455B7">
      <w:pPr>
        <w:pStyle w:val="TableofFigures"/>
        <w:rPr>
          <w:rFonts w:eastAsiaTheme="minorEastAsia"/>
          <w:noProof/>
          <w:sz w:val="22"/>
          <w:szCs w:val="22"/>
          <w:lang w:eastAsia="fr-FR"/>
        </w:rPr>
      </w:pPr>
      <w:hyperlink w:anchor="_Toc88842103" w:history="1">
        <w:r w:rsidR="005140E1" w:rsidRPr="003D522F">
          <w:rPr>
            <w:rStyle w:val="Hyperlink"/>
            <w:noProof/>
          </w:rPr>
          <w:t>Tableau 11 Résultats attendus de l'objectif 35 du SRADDET</w:t>
        </w:r>
        <w:r w:rsidR="005140E1">
          <w:rPr>
            <w:noProof/>
            <w:webHidden/>
          </w:rPr>
          <w:tab/>
        </w:r>
        <w:r w:rsidR="005140E1">
          <w:rPr>
            <w:noProof/>
            <w:webHidden/>
          </w:rPr>
          <w:fldChar w:fldCharType="begin"/>
        </w:r>
        <w:r w:rsidR="005140E1">
          <w:rPr>
            <w:noProof/>
            <w:webHidden/>
          </w:rPr>
          <w:instrText xml:space="preserve"> PAGEREF _Toc88842103 \h </w:instrText>
        </w:r>
        <w:r w:rsidR="005140E1">
          <w:rPr>
            <w:noProof/>
            <w:webHidden/>
          </w:rPr>
        </w:r>
        <w:r w:rsidR="005140E1">
          <w:rPr>
            <w:noProof/>
            <w:webHidden/>
          </w:rPr>
          <w:fldChar w:fldCharType="separate"/>
        </w:r>
        <w:r w:rsidR="009F0282">
          <w:rPr>
            <w:noProof/>
            <w:webHidden/>
          </w:rPr>
          <w:t>82</w:t>
        </w:r>
        <w:r w:rsidR="005140E1">
          <w:rPr>
            <w:noProof/>
            <w:webHidden/>
          </w:rPr>
          <w:fldChar w:fldCharType="end"/>
        </w:r>
      </w:hyperlink>
    </w:p>
    <w:p w14:paraId="1A19E501" w14:textId="761E4BE3" w:rsidR="005140E1" w:rsidRDefault="00B455B7">
      <w:pPr>
        <w:pStyle w:val="TableofFigures"/>
        <w:rPr>
          <w:rFonts w:eastAsiaTheme="minorEastAsia"/>
          <w:noProof/>
          <w:sz w:val="22"/>
          <w:szCs w:val="22"/>
          <w:lang w:eastAsia="fr-FR"/>
        </w:rPr>
      </w:pPr>
      <w:hyperlink w:anchor="_Toc88842104" w:history="1">
        <w:r w:rsidR="005140E1" w:rsidRPr="003D522F">
          <w:rPr>
            <w:rStyle w:val="Hyperlink"/>
            <w:noProof/>
          </w:rPr>
          <w:t>Tableau 12 Caractéristiques du parc de logements en Hauts-de-France</w:t>
        </w:r>
        <w:r w:rsidR="005140E1">
          <w:rPr>
            <w:noProof/>
            <w:webHidden/>
          </w:rPr>
          <w:tab/>
        </w:r>
        <w:r w:rsidR="005140E1">
          <w:rPr>
            <w:noProof/>
            <w:webHidden/>
          </w:rPr>
          <w:fldChar w:fldCharType="begin"/>
        </w:r>
        <w:r w:rsidR="005140E1">
          <w:rPr>
            <w:noProof/>
            <w:webHidden/>
          </w:rPr>
          <w:instrText xml:space="preserve"> PAGEREF _Toc88842104 \h </w:instrText>
        </w:r>
        <w:r w:rsidR="005140E1">
          <w:rPr>
            <w:noProof/>
            <w:webHidden/>
          </w:rPr>
        </w:r>
        <w:r w:rsidR="005140E1">
          <w:rPr>
            <w:noProof/>
            <w:webHidden/>
          </w:rPr>
          <w:fldChar w:fldCharType="separate"/>
        </w:r>
        <w:r w:rsidR="009F0282">
          <w:rPr>
            <w:noProof/>
            <w:webHidden/>
          </w:rPr>
          <w:t>86</w:t>
        </w:r>
        <w:r w:rsidR="005140E1">
          <w:rPr>
            <w:noProof/>
            <w:webHidden/>
          </w:rPr>
          <w:fldChar w:fldCharType="end"/>
        </w:r>
      </w:hyperlink>
    </w:p>
    <w:p w14:paraId="6E73219D" w14:textId="03523270" w:rsidR="005140E1" w:rsidRDefault="00B455B7">
      <w:pPr>
        <w:pStyle w:val="TableofFigures"/>
        <w:rPr>
          <w:rFonts w:eastAsiaTheme="minorEastAsia"/>
          <w:noProof/>
          <w:sz w:val="22"/>
          <w:szCs w:val="22"/>
          <w:lang w:eastAsia="fr-FR"/>
        </w:rPr>
      </w:pPr>
      <w:hyperlink w:anchor="_Toc88842105" w:history="1">
        <w:r w:rsidR="005140E1" w:rsidRPr="003D522F">
          <w:rPr>
            <w:rStyle w:val="Hyperlink"/>
            <w:noProof/>
          </w:rPr>
          <w:t>Tableau 13 Répartition du parc locatif social par département en Hauts-de-France</w:t>
        </w:r>
        <w:r w:rsidR="005140E1">
          <w:rPr>
            <w:noProof/>
            <w:webHidden/>
          </w:rPr>
          <w:tab/>
        </w:r>
        <w:r w:rsidR="005140E1">
          <w:rPr>
            <w:noProof/>
            <w:webHidden/>
          </w:rPr>
          <w:fldChar w:fldCharType="begin"/>
        </w:r>
        <w:r w:rsidR="005140E1">
          <w:rPr>
            <w:noProof/>
            <w:webHidden/>
          </w:rPr>
          <w:instrText xml:space="preserve"> PAGEREF _Toc88842105 \h </w:instrText>
        </w:r>
        <w:r w:rsidR="005140E1">
          <w:rPr>
            <w:noProof/>
            <w:webHidden/>
          </w:rPr>
        </w:r>
        <w:r w:rsidR="005140E1">
          <w:rPr>
            <w:noProof/>
            <w:webHidden/>
          </w:rPr>
          <w:fldChar w:fldCharType="separate"/>
        </w:r>
        <w:r w:rsidR="009F0282">
          <w:rPr>
            <w:noProof/>
            <w:webHidden/>
          </w:rPr>
          <w:t>86</w:t>
        </w:r>
        <w:r w:rsidR="005140E1">
          <w:rPr>
            <w:noProof/>
            <w:webHidden/>
          </w:rPr>
          <w:fldChar w:fldCharType="end"/>
        </w:r>
      </w:hyperlink>
    </w:p>
    <w:p w14:paraId="51DD8476" w14:textId="0365A69E" w:rsidR="005140E1" w:rsidRDefault="00B455B7">
      <w:pPr>
        <w:pStyle w:val="TableofFigures"/>
        <w:rPr>
          <w:rFonts w:eastAsiaTheme="minorEastAsia"/>
          <w:noProof/>
          <w:sz w:val="22"/>
          <w:szCs w:val="22"/>
          <w:lang w:eastAsia="fr-FR"/>
        </w:rPr>
      </w:pPr>
      <w:hyperlink w:anchor="_Toc88842106" w:history="1">
        <w:r w:rsidR="005140E1" w:rsidRPr="003D522F">
          <w:rPr>
            <w:rStyle w:val="Hyperlink"/>
            <w:noProof/>
          </w:rPr>
          <w:t>Tableau 14 Part des propriétaires modestes et très modestes en Hauts-de-France</w:t>
        </w:r>
        <w:r w:rsidR="005140E1">
          <w:rPr>
            <w:noProof/>
            <w:webHidden/>
          </w:rPr>
          <w:tab/>
        </w:r>
        <w:r w:rsidR="005140E1">
          <w:rPr>
            <w:noProof/>
            <w:webHidden/>
          </w:rPr>
          <w:fldChar w:fldCharType="begin"/>
        </w:r>
        <w:r w:rsidR="005140E1">
          <w:rPr>
            <w:noProof/>
            <w:webHidden/>
          </w:rPr>
          <w:instrText xml:space="preserve"> PAGEREF _Toc88842106 \h </w:instrText>
        </w:r>
        <w:r w:rsidR="005140E1">
          <w:rPr>
            <w:noProof/>
            <w:webHidden/>
          </w:rPr>
        </w:r>
        <w:r w:rsidR="005140E1">
          <w:rPr>
            <w:noProof/>
            <w:webHidden/>
          </w:rPr>
          <w:fldChar w:fldCharType="separate"/>
        </w:r>
        <w:r w:rsidR="009F0282">
          <w:rPr>
            <w:noProof/>
            <w:webHidden/>
          </w:rPr>
          <w:t>89</w:t>
        </w:r>
        <w:r w:rsidR="005140E1">
          <w:rPr>
            <w:noProof/>
            <w:webHidden/>
          </w:rPr>
          <w:fldChar w:fldCharType="end"/>
        </w:r>
      </w:hyperlink>
    </w:p>
    <w:p w14:paraId="3A2F8998" w14:textId="6DB5AA27" w:rsidR="005140E1" w:rsidRDefault="00B455B7">
      <w:pPr>
        <w:pStyle w:val="TableofFigures"/>
        <w:rPr>
          <w:rFonts w:eastAsiaTheme="minorEastAsia"/>
          <w:noProof/>
          <w:sz w:val="22"/>
          <w:szCs w:val="22"/>
          <w:lang w:eastAsia="fr-FR"/>
        </w:rPr>
      </w:pPr>
      <w:hyperlink w:anchor="_Toc88842107" w:history="1">
        <w:r w:rsidR="005140E1" w:rsidRPr="003D522F">
          <w:rPr>
            <w:rStyle w:val="Hyperlink"/>
            <w:noProof/>
          </w:rPr>
          <w:t>Tableau 15 AFOM de l’économie sur le territoire</w:t>
        </w:r>
        <w:r w:rsidR="005140E1">
          <w:rPr>
            <w:noProof/>
            <w:webHidden/>
          </w:rPr>
          <w:tab/>
        </w:r>
        <w:r w:rsidR="005140E1">
          <w:rPr>
            <w:noProof/>
            <w:webHidden/>
          </w:rPr>
          <w:fldChar w:fldCharType="begin"/>
        </w:r>
        <w:r w:rsidR="005140E1">
          <w:rPr>
            <w:noProof/>
            <w:webHidden/>
          </w:rPr>
          <w:instrText xml:space="preserve"> PAGEREF _Toc88842107 \h </w:instrText>
        </w:r>
        <w:r w:rsidR="005140E1">
          <w:rPr>
            <w:noProof/>
            <w:webHidden/>
          </w:rPr>
        </w:r>
        <w:r w:rsidR="005140E1">
          <w:rPr>
            <w:noProof/>
            <w:webHidden/>
          </w:rPr>
          <w:fldChar w:fldCharType="separate"/>
        </w:r>
        <w:r w:rsidR="009F0282">
          <w:rPr>
            <w:noProof/>
            <w:webHidden/>
          </w:rPr>
          <w:t>91</w:t>
        </w:r>
        <w:r w:rsidR="005140E1">
          <w:rPr>
            <w:noProof/>
            <w:webHidden/>
          </w:rPr>
          <w:fldChar w:fldCharType="end"/>
        </w:r>
      </w:hyperlink>
    </w:p>
    <w:p w14:paraId="4CBE672E" w14:textId="6D4D9830" w:rsidR="005140E1" w:rsidRDefault="00B455B7">
      <w:pPr>
        <w:pStyle w:val="TableofFigures"/>
        <w:rPr>
          <w:rFonts w:eastAsiaTheme="minorEastAsia"/>
          <w:noProof/>
          <w:sz w:val="22"/>
          <w:szCs w:val="22"/>
          <w:lang w:eastAsia="fr-FR"/>
        </w:rPr>
      </w:pPr>
      <w:hyperlink w:anchor="_Toc88842108" w:history="1">
        <w:r w:rsidR="005140E1" w:rsidRPr="003D522F">
          <w:rPr>
            <w:rStyle w:val="Hyperlink"/>
            <w:noProof/>
          </w:rPr>
          <w:t>Tableau 16 Niveau de couverture des besoins par l’offre régionale</w:t>
        </w:r>
        <w:r w:rsidR="005140E1">
          <w:rPr>
            <w:noProof/>
            <w:webHidden/>
          </w:rPr>
          <w:tab/>
        </w:r>
        <w:r w:rsidR="005140E1">
          <w:rPr>
            <w:noProof/>
            <w:webHidden/>
          </w:rPr>
          <w:fldChar w:fldCharType="begin"/>
        </w:r>
        <w:r w:rsidR="005140E1">
          <w:rPr>
            <w:noProof/>
            <w:webHidden/>
          </w:rPr>
          <w:instrText xml:space="preserve"> PAGEREF _Toc88842108 \h </w:instrText>
        </w:r>
        <w:r w:rsidR="005140E1">
          <w:rPr>
            <w:noProof/>
            <w:webHidden/>
          </w:rPr>
        </w:r>
        <w:r w:rsidR="005140E1">
          <w:rPr>
            <w:noProof/>
            <w:webHidden/>
          </w:rPr>
          <w:fldChar w:fldCharType="separate"/>
        </w:r>
        <w:r w:rsidR="009F0282">
          <w:rPr>
            <w:noProof/>
            <w:webHidden/>
          </w:rPr>
          <w:t>92</w:t>
        </w:r>
        <w:r w:rsidR="005140E1">
          <w:rPr>
            <w:noProof/>
            <w:webHidden/>
          </w:rPr>
          <w:fldChar w:fldCharType="end"/>
        </w:r>
      </w:hyperlink>
    </w:p>
    <w:p w14:paraId="3F893D2E" w14:textId="54D44812" w:rsidR="005140E1" w:rsidRDefault="00B455B7">
      <w:pPr>
        <w:pStyle w:val="TableofFigures"/>
        <w:rPr>
          <w:rFonts w:eastAsiaTheme="minorEastAsia"/>
          <w:noProof/>
          <w:sz w:val="22"/>
          <w:szCs w:val="22"/>
          <w:lang w:eastAsia="fr-FR"/>
        </w:rPr>
      </w:pPr>
      <w:hyperlink w:anchor="_Toc88842109" w:history="1">
        <w:r w:rsidR="005140E1" w:rsidRPr="003D522F">
          <w:rPr>
            <w:rStyle w:val="Hyperlink"/>
            <w:noProof/>
          </w:rPr>
          <w:t>Tableau 17 AFOM de l’économie sur le territoire</w:t>
        </w:r>
        <w:r w:rsidR="005140E1">
          <w:rPr>
            <w:noProof/>
            <w:webHidden/>
          </w:rPr>
          <w:tab/>
        </w:r>
        <w:r w:rsidR="005140E1">
          <w:rPr>
            <w:noProof/>
            <w:webHidden/>
          </w:rPr>
          <w:fldChar w:fldCharType="begin"/>
        </w:r>
        <w:r w:rsidR="005140E1">
          <w:rPr>
            <w:noProof/>
            <w:webHidden/>
          </w:rPr>
          <w:instrText xml:space="preserve"> PAGEREF _Toc88842109 \h </w:instrText>
        </w:r>
        <w:r w:rsidR="005140E1">
          <w:rPr>
            <w:noProof/>
            <w:webHidden/>
          </w:rPr>
        </w:r>
        <w:r w:rsidR="005140E1">
          <w:rPr>
            <w:noProof/>
            <w:webHidden/>
          </w:rPr>
          <w:fldChar w:fldCharType="separate"/>
        </w:r>
        <w:r w:rsidR="009F0282">
          <w:rPr>
            <w:noProof/>
            <w:webHidden/>
          </w:rPr>
          <w:t>99</w:t>
        </w:r>
        <w:r w:rsidR="005140E1">
          <w:rPr>
            <w:noProof/>
            <w:webHidden/>
          </w:rPr>
          <w:fldChar w:fldCharType="end"/>
        </w:r>
      </w:hyperlink>
    </w:p>
    <w:p w14:paraId="0EFCF604" w14:textId="6EDDC443" w:rsidR="005140E1" w:rsidRDefault="00B455B7">
      <w:pPr>
        <w:pStyle w:val="TableofFigures"/>
        <w:rPr>
          <w:rFonts w:eastAsiaTheme="minorEastAsia"/>
          <w:noProof/>
          <w:sz w:val="22"/>
          <w:szCs w:val="22"/>
          <w:lang w:eastAsia="fr-FR"/>
        </w:rPr>
      </w:pPr>
      <w:hyperlink w:anchor="_Toc88842110" w:history="1">
        <w:r w:rsidR="005140E1" w:rsidRPr="003D522F">
          <w:rPr>
            <w:rStyle w:val="Hyperlink"/>
            <w:noProof/>
          </w:rPr>
          <w:t>Tableau 18 Adéquation des solutions de financement existante à destination des opérations de réhabilitation foncière</w:t>
        </w:r>
        <w:r w:rsidR="005140E1">
          <w:rPr>
            <w:noProof/>
            <w:webHidden/>
          </w:rPr>
          <w:tab/>
        </w:r>
        <w:r w:rsidR="005140E1">
          <w:rPr>
            <w:noProof/>
            <w:webHidden/>
          </w:rPr>
          <w:fldChar w:fldCharType="begin"/>
        </w:r>
        <w:r w:rsidR="005140E1">
          <w:rPr>
            <w:noProof/>
            <w:webHidden/>
          </w:rPr>
          <w:instrText xml:space="preserve"> PAGEREF _Toc88842110 \h </w:instrText>
        </w:r>
        <w:r w:rsidR="005140E1">
          <w:rPr>
            <w:noProof/>
            <w:webHidden/>
          </w:rPr>
        </w:r>
        <w:r w:rsidR="005140E1">
          <w:rPr>
            <w:noProof/>
            <w:webHidden/>
          </w:rPr>
          <w:fldChar w:fldCharType="separate"/>
        </w:r>
        <w:r w:rsidR="009F0282">
          <w:rPr>
            <w:noProof/>
            <w:webHidden/>
          </w:rPr>
          <w:t>99</w:t>
        </w:r>
        <w:r w:rsidR="005140E1">
          <w:rPr>
            <w:noProof/>
            <w:webHidden/>
          </w:rPr>
          <w:fldChar w:fldCharType="end"/>
        </w:r>
      </w:hyperlink>
    </w:p>
    <w:p w14:paraId="1976A4F0" w14:textId="4CBF237E" w:rsidR="005140E1" w:rsidRDefault="00B455B7">
      <w:pPr>
        <w:pStyle w:val="TableofFigures"/>
        <w:rPr>
          <w:rFonts w:eastAsiaTheme="minorEastAsia"/>
          <w:noProof/>
          <w:sz w:val="22"/>
          <w:szCs w:val="22"/>
          <w:lang w:eastAsia="fr-FR"/>
        </w:rPr>
      </w:pPr>
      <w:hyperlink w:anchor="_Toc88842111" w:history="1">
        <w:r w:rsidR="005140E1" w:rsidRPr="003D522F">
          <w:rPr>
            <w:rStyle w:val="Hyperlink"/>
            <w:noProof/>
          </w:rPr>
          <w:t>Tableau 19 Niveau de couverture des besoins par l’offre régionale</w:t>
        </w:r>
        <w:r w:rsidR="005140E1">
          <w:rPr>
            <w:noProof/>
            <w:webHidden/>
          </w:rPr>
          <w:tab/>
        </w:r>
        <w:r w:rsidR="005140E1">
          <w:rPr>
            <w:noProof/>
            <w:webHidden/>
          </w:rPr>
          <w:fldChar w:fldCharType="begin"/>
        </w:r>
        <w:r w:rsidR="005140E1">
          <w:rPr>
            <w:noProof/>
            <w:webHidden/>
          </w:rPr>
          <w:instrText xml:space="preserve"> PAGEREF _Toc88842111 \h </w:instrText>
        </w:r>
        <w:r w:rsidR="005140E1">
          <w:rPr>
            <w:noProof/>
            <w:webHidden/>
          </w:rPr>
        </w:r>
        <w:r w:rsidR="005140E1">
          <w:rPr>
            <w:noProof/>
            <w:webHidden/>
          </w:rPr>
          <w:fldChar w:fldCharType="separate"/>
        </w:r>
        <w:r w:rsidR="009F0282">
          <w:rPr>
            <w:noProof/>
            <w:webHidden/>
          </w:rPr>
          <w:t>100</w:t>
        </w:r>
        <w:r w:rsidR="005140E1">
          <w:rPr>
            <w:noProof/>
            <w:webHidden/>
          </w:rPr>
          <w:fldChar w:fldCharType="end"/>
        </w:r>
      </w:hyperlink>
    </w:p>
    <w:p w14:paraId="77A2487A" w14:textId="5BC17B01" w:rsidR="005140E1" w:rsidRDefault="00B455B7">
      <w:pPr>
        <w:pStyle w:val="TableofFigures"/>
        <w:rPr>
          <w:rFonts w:eastAsiaTheme="minorEastAsia"/>
          <w:noProof/>
          <w:sz w:val="22"/>
          <w:szCs w:val="22"/>
          <w:lang w:eastAsia="fr-FR"/>
        </w:rPr>
      </w:pPr>
      <w:hyperlink w:anchor="_Toc88842112" w:history="1">
        <w:r w:rsidR="005140E1" w:rsidRPr="003D522F">
          <w:rPr>
            <w:rStyle w:val="Hyperlink"/>
            <w:noProof/>
          </w:rPr>
          <w:t>Tableau 20 Synthèse des défaillances de marché</w:t>
        </w:r>
        <w:r w:rsidR="005140E1">
          <w:rPr>
            <w:noProof/>
            <w:webHidden/>
          </w:rPr>
          <w:tab/>
        </w:r>
        <w:r w:rsidR="005140E1">
          <w:rPr>
            <w:noProof/>
            <w:webHidden/>
          </w:rPr>
          <w:fldChar w:fldCharType="begin"/>
        </w:r>
        <w:r w:rsidR="005140E1">
          <w:rPr>
            <w:noProof/>
            <w:webHidden/>
          </w:rPr>
          <w:instrText xml:space="preserve"> PAGEREF _Toc88842112 \h </w:instrText>
        </w:r>
        <w:r w:rsidR="005140E1">
          <w:rPr>
            <w:noProof/>
            <w:webHidden/>
          </w:rPr>
        </w:r>
        <w:r w:rsidR="005140E1">
          <w:rPr>
            <w:noProof/>
            <w:webHidden/>
          </w:rPr>
          <w:fldChar w:fldCharType="separate"/>
        </w:r>
        <w:r w:rsidR="009F0282">
          <w:rPr>
            <w:noProof/>
            <w:webHidden/>
          </w:rPr>
          <w:t>102</w:t>
        </w:r>
        <w:r w:rsidR="005140E1">
          <w:rPr>
            <w:noProof/>
            <w:webHidden/>
          </w:rPr>
          <w:fldChar w:fldCharType="end"/>
        </w:r>
      </w:hyperlink>
    </w:p>
    <w:p w14:paraId="27C3607D" w14:textId="2898B439" w:rsidR="005140E1" w:rsidRDefault="00B455B7">
      <w:pPr>
        <w:pStyle w:val="TableofFigures"/>
        <w:rPr>
          <w:rFonts w:eastAsiaTheme="minorEastAsia"/>
          <w:noProof/>
          <w:sz w:val="22"/>
          <w:szCs w:val="22"/>
          <w:lang w:eastAsia="fr-FR"/>
        </w:rPr>
      </w:pPr>
      <w:hyperlink w:anchor="_Toc88842113" w:history="1">
        <w:r w:rsidR="005140E1" w:rsidRPr="003D522F">
          <w:rPr>
            <w:rStyle w:val="Hyperlink"/>
            <w:noProof/>
          </w:rPr>
          <w:t>Tableau 21 Périmètre de l’intervention régionale via les instruments financiers avec FESI</w:t>
        </w:r>
        <w:r w:rsidR="005140E1">
          <w:rPr>
            <w:noProof/>
            <w:webHidden/>
          </w:rPr>
          <w:tab/>
        </w:r>
        <w:r w:rsidR="005140E1">
          <w:rPr>
            <w:noProof/>
            <w:webHidden/>
          </w:rPr>
          <w:fldChar w:fldCharType="begin"/>
        </w:r>
        <w:r w:rsidR="005140E1">
          <w:rPr>
            <w:noProof/>
            <w:webHidden/>
          </w:rPr>
          <w:instrText xml:space="preserve"> PAGEREF _Toc88842113 \h </w:instrText>
        </w:r>
        <w:r w:rsidR="005140E1">
          <w:rPr>
            <w:noProof/>
            <w:webHidden/>
          </w:rPr>
        </w:r>
        <w:r w:rsidR="005140E1">
          <w:rPr>
            <w:noProof/>
            <w:webHidden/>
          </w:rPr>
          <w:fldChar w:fldCharType="separate"/>
        </w:r>
        <w:r w:rsidR="009F0282">
          <w:rPr>
            <w:noProof/>
            <w:webHidden/>
          </w:rPr>
          <w:t>110</w:t>
        </w:r>
        <w:r w:rsidR="005140E1">
          <w:rPr>
            <w:noProof/>
            <w:webHidden/>
          </w:rPr>
          <w:fldChar w:fldCharType="end"/>
        </w:r>
      </w:hyperlink>
    </w:p>
    <w:p w14:paraId="0D59721B" w14:textId="0546C6E7" w:rsidR="005140E1" w:rsidRDefault="00B455B7">
      <w:pPr>
        <w:pStyle w:val="TableofFigures"/>
        <w:rPr>
          <w:rFonts w:eastAsiaTheme="minorEastAsia"/>
          <w:noProof/>
          <w:sz w:val="22"/>
          <w:szCs w:val="22"/>
          <w:lang w:eastAsia="fr-FR"/>
        </w:rPr>
      </w:pPr>
      <w:hyperlink w:anchor="_Toc88842114" w:history="1">
        <w:r w:rsidR="005140E1" w:rsidRPr="003D522F">
          <w:rPr>
            <w:rStyle w:val="Hyperlink"/>
            <w:noProof/>
          </w:rPr>
          <w:t>Tableau 22 Présentation des options de gouvernance pour la mobilisation des outils financiers</w:t>
        </w:r>
        <w:r w:rsidR="005140E1">
          <w:rPr>
            <w:noProof/>
            <w:webHidden/>
          </w:rPr>
          <w:tab/>
        </w:r>
        <w:r w:rsidR="005140E1">
          <w:rPr>
            <w:noProof/>
            <w:webHidden/>
          </w:rPr>
          <w:fldChar w:fldCharType="begin"/>
        </w:r>
        <w:r w:rsidR="005140E1">
          <w:rPr>
            <w:noProof/>
            <w:webHidden/>
          </w:rPr>
          <w:instrText xml:space="preserve"> PAGEREF _Toc88842114 \h </w:instrText>
        </w:r>
        <w:r w:rsidR="005140E1">
          <w:rPr>
            <w:noProof/>
            <w:webHidden/>
          </w:rPr>
        </w:r>
        <w:r w:rsidR="005140E1">
          <w:rPr>
            <w:noProof/>
            <w:webHidden/>
          </w:rPr>
          <w:fldChar w:fldCharType="separate"/>
        </w:r>
        <w:r w:rsidR="009F0282">
          <w:rPr>
            <w:noProof/>
            <w:webHidden/>
          </w:rPr>
          <w:t>115</w:t>
        </w:r>
        <w:r w:rsidR="005140E1">
          <w:rPr>
            <w:noProof/>
            <w:webHidden/>
          </w:rPr>
          <w:fldChar w:fldCharType="end"/>
        </w:r>
      </w:hyperlink>
    </w:p>
    <w:p w14:paraId="65E48147" w14:textId="3B7B2F5B" w:rsidR="006B6662" w:rsidRPr="00FB6623" w:rsidRDefault="00783196" w:rsidP="00A12155">
      <w:pPr>
        <w:rPr>
          <w:b/>
          <w:bCs/>
        </w:rPr>
      </w:pPr>
      <w:r w:rsidRPr="00FB6623">
        <w:fldChar w:fldCharType="end"/>
      </w:r>
    </w:p>
    <w:p w14:paraId="0A406474" w14:textId="77777777" w:rsidR="00783196" w:rsidRPr="00FB6623" w:rsidRDefault="00783196" w:rsidP="00E804E0">
      <w:pPr>
        <w:pStyle w:val="Heading1"/>
        <w:numPr>
          <w:ilvl w:val="0"/>
          <w:numId w:val="0"/>
        </w:numPr>
      </w:pPr>
      <w:bookmarkStart w:id="4" w:name="_Toc93390262"/>
      <w:bookmarkStart w:id="5" w:name="_Toc298670436"/>
      <w:bookmarkStart w:id="6" w:name="_Toc298670438"/>
      <w:bookmarkStart w:id="7" w:name="_Toc301601456"/>
      <w:bookmarkStart w:id="8" w:name="_Toc301607988"/>
      <w:bookmarkStart w:id="9" w:name="_Toc301608002"/>
      <w:bookmarkStart w:id="10" w:name="_Toc301608010"/>
      <w:bookmarkStart w:id="11" w:name="_Toc301610847"/>
      <w:bookmarkStart w:id="12" w:name="_Toc301612389"/>
      <w:bookmarkStart w:id="13" w:name="_Toc301612552"/>
      <w:bookmarkStart w:id="14" w:name="_Toc301615061"/>
      <w:bookmarkStart w:id="15" w:name="_Toc301615210"/>
      <w:bookmarkStart w:id="16" w:name="_Toc301615274"/>
      <w:bookmarkStart w:id="17" w:name="_Toc301615684"/>
      <w:bookmarkStart w:id="18" w:name="_Toc302656371"/>
      <w:bookmarkStart w:id="19" w:name="_Toc302656375"/>
      <w:bookmarkStart w:id="20" w:name="_Toc302656378"/>
      <w:bookmarkEnd w:id="2"/>
      <w:r w:rsidRPr="00FB6623">
        <w:t>Figures</w:t>
      </w:r>
      <w:bookmarkEnd w:id="4"/>
    </w:p>
    <w:p w14:paraId="7F5F800C" w14:textId="07493761" w:rsidR="005140E1" w:rsidRDefault="00783196">
      <w:pPr>
        <w:pStyle w:val="TableofFigures"/>
        <w:rPr>
          <w:rFonts w:eastAsiaTheme="minorEastAsia"/>
          <w:noProof/>
          <w:sz w:val="22"/>
          <w:szCs w:val="22"/>
          <w:lang w:eastAsia="fr-FR"/>
        </w:rPr>
      </w:pPr>
      <w:r w:rsidRPr="00FB6623">
        <w:fldChar w:fldCharType="begin"/>
      </w:r>
      <w:r w:rsidRPr="00FB6623">
        <w:instrText xml:space="preserve"> TOC \h \z \c "Figure" \t "Figure heading,1" </w:instrText>
      </w:r>
      <w:r w:rsidRPr="00FB6623">
        <w:fldChar w:fldCharType="separate"/>
      </w:r>
      <w:hyperlink w:anchor="_Toc88842115" w:history="1">
        <w:r w:rsidR="005140E1" w:rsidRPr="00496D85">
          <w:rPr>
            <w:rStyle w:val="Hyperlink"/>
            <w:noProof/>
          </w:rPr>
          <w:t>Figure 1 Recensement des outils financiers à destination des EnR en région Hauts de France</w:t>
        </w:r>
        <w:r w:rsidR="005140E1">
          <w:rPr>
            <w:noProof/>
            <w:webHidden/>
          </w:rPr>
          <w:tab/>
        </w:r>
        <w:r w:rsidR="005140E1">
          <w:rPr>
            <w:noProof/>
            <w:webHidden/>
          </w:rPr>
          <w:fldChar w:fldCharType="begin"/>
        </w:r>
        <w:r w:rsidR="005140E1">
          <w:rPr>
            <w:noProof/>
            <w:webHidden/>
          </w:rPr>
          <w:instrText xml:space="preserve"> PAGEREF _Toc88842115 \h </w:instrText>
        </w:r>
        <w:r w:rsidR="005140E1">
          <w:rPr>
            <w:noProof/>
            <w:webHidden/>
          </w:rPr>
        </w:r>
        <w:r w:rsidR="005140E1">
          <w:rPr>
            <w:noProof/>
            <w:webHidden/>
          </w:rPr>
          <w:fldChar w:fldCharType="separate"/>
        </w:r>
        <w:r w:rsidR="009F0282">
          <w:rPr>
            <w:noProof/>
            <w:webHidden/>
          </w:rPr>
          <w:t>11</w:t>
        </w:r>
        <w:r w:rsidR="005140E1">
          <w:rPr>
            <w:noProof/>
            <w:webHidden/>
          </w:rPr>
          <w:fldChar w:fldCharType="end"/>
        </w:r>
      </w:hyperlink>
    </w:p>
    <w:p w14:paraId="0DC054F5" w14:textId="1EDE4534" w:rsidR="005140E1" w:rsidRDefault="00B455B7">
      <w:pPr>
        <w:pStyle w:val="TableofFigures"/>
        <w:rPr>
          <w:rFonts w:eastAsiaTheme="minorEastAsia"/>
          <w:noProof/>
          <w:sz w:val="22"/>
          <w:szCs w:val="22"/>
          <w:lang w:eastAsia="fr-FR"/>
        </w:rPr>
      </w:pPr>
      <w:hyperlink w:anchor="_Toc88842116" w:history="1">
        <w:r w:rsidR="005140E1" w:rsidRPr="00496D85">
          <w:rPr>
            <w:rStyle w:val="Hyperlink"/>
            <w:noProof/>
          </w:rPr>
          <w:t>Figure 2 Étapes d’un projet de revitalisation de friches</w:t>
        </w:r>
        <w:r w:rsidR="005140E1">
          <w:rPr>
            <w:noProof/>
            <w:webHidden/>
          </w:rPr>
          <w:tab/>
        </w:r>
        <w:r w:rsidR="005140E1">
          <w:rPr>
            <w:noProof/>
            <w:webHidden/>
          </w:rPr>
          <w:fldChar w:fldCharType="begin"/>
        </w:r>
        <w:r w:rsidR="005140E1">
          <w:rPr>
            <w:noProof/>
            <w:webHidden/>
          </w:rPr>
          <w:instrText xml:space="preserve"> PAGEREF _Toc88842116 \h </w:instrText>
        </w:r>
        <w:r w:rsidR="005140E1">
          <w:rPr>
            <w:noProof/>
            <w:webHidden/>
          </w:rPr>
        </w:r>
        <w:r w:rsidR="005140E1">
          <w:rPr>
            <w:noProof/>
            <w:webHidden/>
          </w:rPr>
          <w:fldChar w:fldCharType="separate"/>
        </w:r>
        <w:r w:rsidR="009F0282">
          <w:rPr>
            <w:noProof/>
            <w:webHidden/>
          </w:rPr>
          <w:t>45</w:t>
        </w:r>
        <w:r w:rsidR="005140E1">
          <w:rPr>
            <w:noProof/>
            <w:webHidden/>
          </w:rPr>
          <w:fldChar w:fldCharType="end"/>
        </w:r>
      </w:hyperlink>
    </w:p>
    <w:p w14:paraId="2687F394" w14:textId="5011A1DF" w:rsidR="005140E1" w:rsidRDefault="00B455B7">
      <w:pPr>
        <w:pStyle w:val="TableofFigures"/>
        <w:rPr>
          <w:rFonts w:eastAsiaTheme="minorEastAsia"/>
          <w:noProof/>
          <w:sz w:val="22"/>
          <w:szCs w:val="22"/>
          <w:lang w:eastAsia="fr-FR"/>
        </w:rPr>
      </w:pPr>
      <w:hyperlink w:anchor="_Toc88842117" w:history="1">
        <w:r w:rsidR="005140E1" w:rsidRPr="00496D85">
          <w:rPr>
            <w:rStyle w:val="Hyperlink"/>
            <w:noProof/>
          </w:rPr>
          <w:t>Figure 3 Recensement des outils financiers à destination de la réhabilitation des friches</w:t>
        </w:r>
        <w:r w:rsidR="005140E1">
          <w:rPr>
            <w:noProof/>
            <w:webHidden/>
          </w:rPr>
          <w:tab/>
        </w:r>
        <w:r w:rsidR="005140E1">
          <w:rPr>
            <w:noProof/>
            <w:webHidden/>
          </w:rPr>
          <w:fldChar w:fldCharType="begin"/>
        </w:r>
        <w:r w:rsidR="005140E1">
          <w:rPr>
            <w:noProof/>
            <w:webHidden/>
          </w:rPr>
          <w:instrText xml:space="preserve"> PAGEREF _Toc88842117 \h </w:instrText>
        </w:r>
        <w:r w:rsidR="005140E1">
          <w:rPr>
            <w:noProof/>
            <w:webHidden/>
          </w:rPr>
        </w:r>
        <w:r w:rsidR="005140E1">
          <w:rPr>
            <w:noProof/>
            <w:webHidden/>
          </w:rPr>
          <w:fldChar w:fldCharType="separate"/>
        </w:r>
        <w:r w:rsidR="009F0282">
          <w:rPr>
            <w:noProof/>
            <w:webHidden/>
          </w:rPr>
          <w:t>46</w:t>
        </w:r>
        <w:r w:rsidR="005140E1">
          <w:rPr>
            <w:noProof/>
            <w:webHidden/>
          </w:rPr>
          <w:fldChar w:fldCharType="end"/>
        </w:r>
      </w:hyperlink>
    </w:p>
    <w:p w14:paraId="48982D90" w14:textId="4F7BDAE0" w:rsidR="005140E1" w:rsidRDefault="00B455B7">
      <w:pPr>
        <w:pStyle w:val="TableofFigures"/>
        <w:rPr>
          <w:rFonts w:eastAsiaTheme="minorEastAsia"/>
          <w:noProof/>
          <w:sz w:val="22"/>
          <w:szCs w:val="22"/>
          <w:lang w:eastAsia="fr-FR"/>
        </w:rPr>
      </w:pPr>
      <w:hyperlink w:anchor="_Toc88842118" w:history="1">
        <w:r w:rsidR="005140E1" w:rsidRPr="00496D85">
          <w:rPr>
            <w:rStyle w:val="Hyperlink"/>
            <w:noProof/>
          </w:rPr>
          <w:t>Figure 4 Consommation d’énergie par secteur en Hauts-de-France (2017)</w:t>
        </w:r>
        <w:r w:rsidR="005140E1">
          <w:rPr>
            <w:noProof/>
            <w:webHidden/>
          </w:rPr>
          <w:tab/>
        </w:r>
        <w:r w:rsidR="005140E1">
          <w:rPr>
            <w:noProof/>
            <w:webHidden/>
          </w:rPr>
          <w:fldChar w:fldCharType="begin"/>
        </w:r>
        <w:r w:rsidR="005140E1">
          <w:rPr>
            <w:noProof/>
            <w:webHidden/>
          </w:rPr>
          <w:instrText xml:space="preserve"> PAGEREF _Toc88842118 \h </w:instrText>
        </w:r>
        <w:r w:rsidR="005140E1">
          <w:rPr>
            <w:noProof/>
            <w:webHidden/>
          </w:rPr>
        </w:r>
        <w:r w:rsidR="005140E1">
          <w:rPr>
            <w:noProof/>
            <w:webHidden/>
          </w:rPr>
          <w:fldChar w:fldCharType="separate"/>
        </w:r>
        <w:r w:rsidR="009F0282">
          <w:rPr>
            <w:noProof/>
            <w:webHidden/>
          </w:rPr>
          <w:t>57</w:t>
        </w:r>
        <w:r w:rsidR="005140E1">
          <w:rPr>
            <w:noProof/>
            <w:webHidden/>
          </w:rPr>
          <w:fldChar w:fldCharType="end"/>
        </w:r>
      </w:hyperlink>
    </w:p>
    <w:p w14:paraId="1118BB04" w14:textId="5D88AEAC" w:rsidR="005140E1" w:rsidRDefault="00B455B7">
      <w:pPr>
        <w:pStyle w:val="TableofFigures"/>
        <w:rPr>
          <w:rFonts w:eastAsiaTheme="minorEastAsia"/>
          <w:noProof/>
          <w:sz w:val="22"/>
          <w:szCs w:val="22"/>
          <w:lang w:eastAsia="fr-FR"/>
        </w:rPr>
      </w:pPr>
      <w:hyperlink w:anchor="_Toc88842119" w:history="1">
        <w:r w:rsidR="005140E1" w:rsidRPr="00496D85">
          <w:rPr>
            <w:rStyle w:val="Hyperlink"/>
            <w:noProof/>
          </w:rPr>
          <w:t>Figure 5 énergies primaires prioritaires de la PPE pour la production d’électricité renouvelable</w:t>
        </w:r>
        <w:r w:rsidR="005140E1">
          <w:rPr>
            <w:noProof/>
            <w:webHidden/>
          </w:rPr>
          <w:tab/>
        </w:r>
        <w:r w:rsidR="005140E1">
          <w:rPr>
            <w:noProof/>
            <w:webHidden/>
          </w:rPr>
          <w:fldChar w:fldCharType="begin"/>
        </w:r>
        <w:r w:rsidR="005140E1">
          <w:rPr>
            <w:noProof/>
            <w:webHidden/>
          </w:rPr>
          <w:instrText xml:space="preserve"> PAGEREF _Toc88842119 \h </w:instrText>
        </w:r>
        <w:r w:rsidR="005140E1">
          <w:rPr>
            <w:noProof/>
            <w:webHidden/>
          </w:rPr>
        </w:r>
        <w:r w:rsidR="005140E1">
          <w:rPr>
            <w:noProof/>
            <w:webHidden/>
          </w:rPr>
          <w:fldChar w:fldCharType="separate"/>
        </w:r>
        <w:r w:rsidR="009F0282">
          <w:rPr>
            <w:noProof/>
            <w:webHidden/>
          </w:rPr>
          <w:t>61</w:t>
        </w:r>
        <w:r w:rsidR="005140E1">
          <w:rPr>
            <w:noProof/>
            <w:webHidden/>
          </w:rPr>
          <w:fldChar w:fldCharType="end"/>
        </w:r>
      </w:hyperlink>
    </w:p>
    <w:p w14:paraId="7CCB49CA" w14:textId="5FA1DA85" w:rsidR="005140E1" w:rsidRDefault="00B455B7">
      <w:pPr>
        <w:pStyle w:val="TableofFigures"/>
        <w:rPr>
          <w:rFonts w:eastAsiaTheme="minorEastAsia"/>
          <w:noProof/>
          <w:sz w:val="22"/>
          <w:szCs w:val="22"/>
          <w:lang w:eastAsia="fr-FR"/>
        </w:rPr>
      </w:pPr>
      <w:hyperlink w:anchor="_Toc88842120" w:history="1">
        <w:r w:rsidR="005140E1" w:rsidRPr="00496D85">
          <w:rPr>
            <w:rStyle w:val="Hyperlink"/>
            <w:noProof/>
          </w:rPr>
          <w:t>Figure 6 données de consommation totale et de production (nucléaire, éolienne) en MW</w:t>
        </w:r>
        <w:r w:rsidR="005140E1">
          <w:rPr>
            <w:noProof/>
            <w:webHidden/>
          </w:rPr>
          <w:tab/>
        </w:r>
        <w:r w:rsidR="005140E1">
          <w:rPr>
            <w:noProof/>
            <w:webHidden/>
          </w:rPr>
          <w:fldChar w:fldCharType="begin"/>
        </w:r>
        <w:r w:rsidR="005140E1">
          <w:rPr>
            <w:noProof/>
            <w:webHidden/>
          </w:rPr>
          <w:instrText xml:space="preserve"> PAGEREF _Toc88842120 \h </w:instrText>
        </w:r>
        <w:r w:rsidR="005140E1">
          <w:rPr>
            <w:noProof/>
            <w:webHidden/>
          </w:rPr>
        </w:r>
        <w:r w:rsidR="005140E1">
          <w:rPr>
            <w:noProof/>
            <w:webHidden/>
          </w:rPr>
          <w:fldChar w:fldCharType="separate"/>
        </w:r>
        <w:r w:rsidR="009F0282">
          <w:rPr>
            <w:noProof/>
            <w:webHidden/>
          </w:rPr>
          <w:t>68</w:t>
        </w:r>
        <w:r w:rsidR="005140E1">
          <w:rPr>
            <w:noProof/>
            <w:webHidden/>
          </w:rPr>
          <w:fldChar w:fldCharType="end"/>
        </w:r>
      </w:hyperlink>
    </w:p>
    <w:p w14:paraId="1DDAB336" w14:textId="5F48F895" w:rsidR="005140E1" w:rsidRDefault="00B455B7">
      <w:pPr>
        <w:pStyle w:val="TableofFigures"/>
        <w:rPr>
          <w:rFonts w:eastAsiaTheme="minorEastAsia"/>
          <w:noProof/>
          <w:sz w:val="22"/>
          <w:szCs w:val="22"/>
          <w:lang w:eastAsia="fr-FR"/>
        </w:rPr>
      </w:pPr>
      <w:hyperlink w:anchor="_Toc88842121" w:history="1">
        <w:r w:rsidR="005140E1" w:rsidRPr="00496D85">
          <w:rPr>
            <w:rStyle w:val="Hyperlink"/>
            <w:noProof/>
          </w:rPr>
          <w:t>Figure 7 données de production totale de solaire en MW</w:t>
        </w:r>
        <w:r w:rsidR="005140E1">
          <w:rPr>
            <w:noProof/>
            <w:webHidden/>
          </w:rPr>
          <w:tab/>
        </w:r>
        <w:r w:rsidR="005140E1">
          <w:rPr>
            <w:noProof/>
            <w:webHidden/>
          </w:rPr>
          <w:fldChar w:fldCharType="begin"/>
        </w:r>
        <w:r w:rsidR="005140E1">
          <w:rPr>
            <w:noProof/>
            <w:webHidden/>
          </w:rPr>
          <w:instrText xml:space="preserve"> PAGEREF _Toc88842121 \h </w:instrText>
        </w:r>
        <w:r w:rsidR="005140E1">
          <w:rPr>
            <w:noProof/>
            <w:webHidden/>
          </w:rPr>
        </w:r>
        <w:r w:rsidR="005140E1">
          <w:rPr>
            <w:noProof/>
            <w:webHidden/>
          </w:rPr>
          <w:fldChar w:fldCharType="separate"/>
        </w:r>
        <w:r w:rsidR="009F0282">
          <w:rPr>
            <w:noProof/>
            <w:webHidden/>
          </w:rPr>
          <w:t>69</w:t>
        </w:r>
        <w:r w:rsidR="005140E1">
          <w:rPr>
            <w:noProof/>
            <w:webHidden/>
          </w:rPr>
          <w:fldChar w:fldCharType="end"/>
        </w:r>
      </w:hyperlink>
    </w:p>
    <w:p w14:paraId="6A19D696" w14:textId="0D7544EC" w:rsidR="005140E1" w:rsidRDefault="00B455B7">
      <w:pPr>
        <w:pStyle w:val="TableofFigures"/>
        <w:rPr>
          <w:rFonts w:eastAsiaTheme="minorEastAsia"/>
          <w:noProof/>
          <w:sz w:val="22"/>
          <w:szCs w:val="22"/>
          <w:lang w:eastAsia="fr-FR"/>
        </w:rPr>
      </w:pPr>
      <w:hyperlink w:anchor="_Toc88842122" w:history="1">
        <w:r w:rsidR="005140E1" w:rsidRPr="00496D85">
          <w:rPr>
            <w:rStyle w:val="Hyperlink"/>
            <w:noProof/>
          </w:rPr>
          <w:t>Figure 8  Production totale de biogaz en TWh (2010 – 2017) et objectifs horizons 2026,2031</w:t>
        </w:r>
        <w:r w:rsidR="005140E1">
          <w:rPr>
            <w:noProof/>
            <w:webHidden/>
          </w:rPr>
          <w:tab/>
        </w:r>
        <w:r w:rsidR="005140E1">
          <w:rPr>
            <w:noProof/>
            <w:webHidden/>
          </w:rPr>
          <w:fldChar w:fldCharType="begin"/>
        </w:r>
        <w:r w:rsidR="005140E1">
          <w:rPr>
            <w:noProof/>
            <w:webHidden/>
          </w:rPr>
          <w:instrText xml:space="preserve"> PAGEREF _Toc88842122 \h </w:instrText>
        </w:r>
        <w:r w:rsidR="005140E1">
          <w:rPr>
            <w:noProof/>
            <w:webHidden/>
          </w:rPr>
        </w:r>
        <w:r w:rsidR="005140E1">
          <w:rPr>
            <w:noProof/>
            <w:webHidden/>
          </w:rPr>
          <w:fldChar w:fldCharType="separate"/>
        </w:r>
        <w:r w:rsidR="009F0282">
          <w:rPr>
            <w:noProof/>
            <w:webHidden/>
          </w:rPr>
          <w:t>71</w:t>
        </w:r>
        <w:r w:rsidR="005140E1">
          <w:rPr>
            <w:noProof/>
            <w:webHidden/>
          </w:rPr>
          <w:fldChar w:fldCharType="end"/>
        </w:r>
      </w:hyperlink>
    </w:p>
    <w:p w14:paraId="7C4A2CA1" w14:textId="66E1CE93" w:rsidR="005140E1" w:rsidRDefault="00B455B7">
      <w:pPr>
        <w:pStyle w:val="TableofFigures"/>
        <w:rPr>
          <w:rFonts w:eastAsiaTheme="minorEastAsia"/>
          <w:noProof/>
          <w:sz w:val="22"/>
          <w:szCs w:val="22"/>
          <w:lang w:eastAsia="fr-FR"/>
        </w:rPr>
      </w:pPr>
      <w:hyperlink w:anchor="_Toc88842123" w:history="1">
        <w:r w:rsidR="005140E1" w:rsidRPr="00496D85">
          <w:rPr>
            <w:rStyle w:val="Hyperlink"/>
            <w:noProof/>
          </w:rPr>
          <w:t>Figure 9 Carte des projets lauréats du fonds pour le recyclage des friches en Hauts-de-France</w:t>
        </w:r>
        <w:r w:rsidR="005140E1">
          <w:rPr>
            <w:noProof/>
            <w:webHidden/>
          </w:rPr>
          <w:tab/>
        </w:r>
        <w:r w:rsidR="005140E1">
          <w:rPr>
            <w:noProof/>
            <w:webHidden/>
          </w:rPr>
          <w:fldChar w:fldCharType="begin"/>
        </w:r>
        <w:r w:rsidR="005140E1">
          <w:rPr>
            <w:noProof/>
            <w:webHidden/>
          </w:rPr>
          <w:instrText xml:space="preserve"> PAGEREF _Toc88842123 \h </w:instrText>
        </w:r>
        <w:r w:rsidR="005140E1">
          <w:rPr>
            <w:noProof/>
            <w:webHidden/>
          </w:rPr>
        </w:r>
        <w:r w:rsidR="005140E1">
          <w:rPr>
            <w:noProof/>
            <w:webHidden/>
          </w:rPr>
          <w:fldChar w:fldCharType="separate"/>
        </w:r>
        <w:r w:rsidR="009F0282">
          <w:rPr>
            <w:noProof/>
            <w:webHidden/>
          </w:rPr>
          <w:t>95</w:t>
        </w:r>
        <w:r w:rsidR="005140E1">
          <w:rPr>
            <w:noProof/>
            <w:webHidden/>
          </w:rPr>
          <w:fldChar w:fldCharType="end"/>
        </w:r>
      </w:hyperlink>
    </w:p>
    <w:p w14:paraId="449F0B28" w14:textId="7FBECA1F" w:rsidR="005140E1" w:rsidRDefault="00B455B7">
      <w:pPr>
        <w:pStyle w:val="TableofFigures"/>
        <w:rPr>
          <w:rFonts w:eastAsiaTheme="minorEastAsia"/>
          <w:noProof/>
          <w:sz w:val="22"/>
          <w:szCs w:val="22"/>
          <w:lang w:eastAsia="fr-FR"/>
        </w:rPr>
      </w:pPr>
      <w:hyperlink w:anchor="_Toc88842124" w:history="1">
        <w:r w:rsidR="005140E1" w:rsidRPr="00496D85">
          <w:rPr>
            <w:rStyle w:val="Hyperlink"/>
            <w:noProof/>
          </w:rPr>
          <w:t>Figure 10 Contribution des financeurs à l’IFRRU</w:t>
        </w:r>
        <w:r w:rsidR="005140E1">
          <w:rPr>
            <w:noProof/>
            <w:webHidden/>
          </w:rPr>
          <w:tab/>
        </w:r>
        <w:r w:rsidR="005140E1">
          <w:rPr>
            <w:noProof/>
            <w:webHidden/>
          </w:rPr>
          <w:fldChar w:fldCharType="begin"/>
        </w:r>
        <w:r w:rsidR="005140E1">
          <w:rPr>
            <w:noProof/>
            <w:webHidden/>
          </w:rPr>
          <w:instrText xml:space="preserve"> PAGEREF _Toc88842124 \h </w:instrText>
        </w:r>
        <w:r w:rsidR="005140E1">
          <w:rPr>
            <w:noProof/>
            <w:webHidden/>
          </w:rPr>
        </w:r>
        <w:r w:rsidR="005140E1">
          <w:rPr>
            <w:noProof/>
            <w:webHidden/>
          </w:rPr>
          <w:fldChar w:fldCharType="separate"/>
        </w:r>
        <w:r w:rsidR="009F0282">
          <w:rPr>
            <w:noProof/>
            <w:webHidden/>
          </w:rPr>
          <w:t>127</w:t>
        </w:r>
        <w:r w:rsidR="005140E1">
          <w:rPr>
            <w:noProof/>
            <w:webHidden/>
          </w:rPr>
          <w:fldChar w:fldCharType="end"/>
        </w:r>
      </w:hyperlink>
    </w:p>
    <w:p w14:paraId="4BD09B54" w14:textId="247BE250" w:rsidR="002C51E9" w:rsidRPr="00FB6623" w:rsidRDefault="00783196" w:rsidP="004E5110">
      <w:pPr>
        <w:tabs>
          <w:tab w:val="right" w:leader="dot" w:pos="9061"/>
        </w:tabs>
      </w:pPr>
      <w:r w:rsidRPr="00FB6623">
        <w:fldChar w:fldCharType="end"/>
      </w:r>
    </w:p>
    <w:p w14:paraId="1CE3B04C" w14:textId="5EC6A931" w:rsidR="005E3F23" w:rsidRDefault="005E3F23">
      <w:r>
        <w:br w:type="page"/>
      </w:r>
    </w:p>
    <w:p w14:paraId="0655B4FD" w14:textId="77777777" w:rsidR="00535001" w:rsidRPr="00FB6623" w:rsidRDefault="00535001" w:rsidP="00F42170">
      <w:pPr>
        <w:pStyle w:val="BodyText"/>
        <w:sectPr w:rsidR="00535001" w:rsidRPr="00FB6623" w:rsidSect="00723459">
          <w:footerReference w:type="default" r:id="rId20"/>
          <w:pgSz w:w="11907" w:h="16839" w:code="9"/>
          <w:pgMar w:top="1701" w:right="1134" w:bottom="1701" w:left="1701" w:header="851" w:footer="567" w:gutter="0"/>
          <w:pgNumType w:fmt="lowerRoman" w:start="1"/>
          <w:cols w:space="708"/>
          <w:docGrid w:linePitch="360"/>
        </w:sectPr>
      </w:pPr>
    </w:p>
    <w:p w14:paraId="20617966" w14:textId="77777777" w:rsidR="007466C6" w:rsidRDefault="007466C6" w:rsidP="00E804E0">
      <w:pPr>
        <w:pStyle w:val="Heading1"/>
        <w:numPr>
          <w:ilvl w:val="0"/>
          <w:numId w:val="0"/>
        </w:numPr>
      </w:pPr>
      <w:bookmarkStart w:id="21" w:name="_Toc52499430"/>
      <w:bookmarkStart w:id="22" w:name="_Toc9339026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Acronymes</w:t>
      </w:r>
      <w:bookmarkEnd w:id="21"/>
      <w:bookmarkEnd w:id="22"/>
    </w:p>
    <w:tbl>
      <w:tblPr>
        <w:tblStyle w:val="Grilledetableauclaire1"/>
        <w:tblW w:w="9084" w:type="dxa"/>
        <w:tblInd w:w="0" w:type="dxa"/>
        <w:tblLook w:val="04A0" w:firstRow="1" w:lastRow="0" w:firstColumn="1" w:lastColumn="0" w:noHBand="0" w:noVBand="1"/>
      </w:tblPr>
      <w:tblGrid>
        <w:gridCol w:w="1413"/>
        <w:gridCol w:w="7671"/>
      </w:tblGrid>
      <w:tr w:rsidR="00C95D8F" w14:paraId="19494396"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5DCEA8" w14:textId="6FF45D01" w:rsidR="00C95D8F" w:rsidRPr="004D3E65" w:rsidRDefault="00C95D8F" w:rsidP="00E72DF0">
            <w:pPr>
              <w:pStyle w:val="BodyText"/>
              <w:rPr>
                <w:sz w:val="16"/>
                <w:szCs w:val="16"/>
              </w:rPr>
            </w:pPr>
            <w:r w:rsidRPr="004D3E65">
              <w:rPr>
                <w:sz w:val="16"/>
                <w:szCs w:val="16"/>
              </w:rPr>
              <w:t>AAP</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CDCD49" w14:textId="2B04997A" w:rsidR="00C95D8F" w:rsidRPr="004D3E65" w:rsidRDefault="00C95D8F" w:rsidP="00E72DF0">
            <w:pPr>
              <w:pStyle w:val="BodyText"/>
              <w:rPr>
                <w:sz w:val="16"/>
                <w:szCs w:val="16"/>
              </w:rPr>
            </w:pPr>
            <w:r w:rsidRPr="004D3E65">
              <w:rPr>
                <w:sz w:val="16"/>
                <w:szCs w:val="16"/>
              </w:rPr>
              <w:t>Appels à projets</w:t>
            </w:r>
          </w:p>
        </w:tc>
      </w:tr>
      <w:tr w:rsidR="007904BC" w14:paraId="7B4390C2"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0D8B7C" w14:textId="77777777" w:rsidR="007904BC" w:rsidRPr="004D3E65" w:rsidRDefault="007904BC" w:rsidP="00E72DF0">
            <w:pPr>
              <w:pStyle w:val="BodyText"/>
              <w:rPr>
                <w:sz w:val="16"/>
                <w:szCs w:val="16"/>
              </w:rPr>
            </w:pPr>
            <w:r w:rsidRPr="004D3E65">
              <w:rPr>
                <w:sz w:val="16"/>
                <w:szCs w:val="16"/>
              </w:rPr>
              <w:t>AAPEL</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ACDA67" w14:textId="347BF181" w:rsidR="007904BC" w:rsidRPr="004D3E65" w:rsidRDefault="007904BC" w:rsidP="00E72DF0">
            <w:pPr>
              <w:pStyle w:val="BodyText"/>
              <w:rPr>
                <w:sz w:val="16"/>
                <w:szCs w:val="16"/>
              </w:rPr>
            </w:pPr>
            <w:r w:rsidRPr="004D3E65">
              <w:rPr>
                <w:sz w:val="16"/>
                <w:szCs w:val="16"/>
              </w:rPr>
              <w:t>Aide à l</w:t>
            </w:r>
            <w:r w:rsidR="00F42170" w:rsidRPr="004D3E65">
              <w:rPr>
                <w:sz w:val="16"/>
                <w:szCs w:val="16"/>
              </w:rPr>
              <w:t>’</w:t>
            </w:r>
            <w:r w:rsidRPr="004D3E65">
              <w:rPr>
                <w:sz w:val="16"/>
                <w:szCs w:val="16"/>
              </w:rPr>
              <w:t>Amélioration de la Performance Énergétique des Logements</w:t>
            </w:r>
          </w:p>
        </w:tc>
      </w:tr>
      <w:tr w:rsidR="007904BC" w14:paraId="58C0FDF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155F88" w14:textId="77777777" w:rsidR="007904BC" w:rsidRPr="004D3E65" w:rsidRDefault="007904BC" w:rsidP="00E72DF0">
            <w:pPr>
              <w:pStyle w:val="BodyText"/>
              <w:rPr>
                <w:sz w:val="16"/>
                <w:szCs w:val="16"/>
              </w:rPr>
            </w:pPr>
            <w:r w:rsidRPr="004D3E65">
              <w:rPr>
                <w:sz w:val="16"/>
                <w:szCs w:val="16"/>
              </w:rPr>
              <w:t>ADIE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FEC464" w14:textId="3D8E6C3E" w:rsidR="007904BC" w:rsidRPr="004D3E65" w:rsidRDefault="007904BC" w:rsidP="00E72DF0">
            <w:pPr>
              <w:pStyle w:val="BodyText"/>
              <w:rPr>
                <w:sz w:val="16"/>
                <w:szCs w:val="16"/>
              </w:rPr>
            </w:pPr>
            <w:r w:rsidRPr="004D3E65">
              <w:rPr>
                <w:sz w:val="16"/>
                <w:szCs w:val="16"/>
              </w:rPr>
              <w:t>Association pour le droit à l</w:t>
            </w:r>
            <w:r w:rsidR="00F42170" w:rsidRPr="004D3E65">
              <w:rPr>
                <w:sz w:val="16"/>
                <w:szCs w:val="16"/>
              </w:rPr>
              <w:t>’</w:t>
            </w:r>
            <w:r w:rsidRPr="004D3E65">
              <w:rPr>
                <w:sz w:val="16"/>
                <w:szCs w:val="16"/>
              </w:rPr>
              <w:t>initiative économique</w:t>
            </w:r>
          </w:p>
        </w:tc>
      </w:tr>
      <w:tr w:rsidR="007904BC" w14:paraId="63A93DBF"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818765" w14:textId="77777777" w:rsidR="007904BC" w:rsidRPr="004D3E65" w:rsidRDefault="007904BC" w:rsidP="00E72DF0">
            <w:pPr>
              <w:pStyle w:val="BodyText"/>
              <w:rPr>
                <w:sz w:val="16"/>
                <w:szCs w:val="16"/>
              </w:rPr>
            </w:pPr>
            <w:r w:rsidRPr="004D3E65">
              <w:rPr>
                <w:sz w:val="16"/>
                <w:szCs w:val="16"/>
              </w:rPr>
              <w:t>AFOM</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342CD8" w14:textId="77777777" w:rsidR="007904BC" w:rsidRPr="004D3E65" w:rsidRDefault="007904BC" w:rsidP="00E72DF0">
            <w:pPr>
              <w:pStyle w:val="BodyText"/>
              <w:rPr>
                <w:sz w:val="16"/>
                <w:szCs w:val="16"/>
              </w:rPr>
            </w:pPr>
            <w:r w:rsidRPr="004D3E65">
              <w:rPr>
                <w:sz w:val="16"/>
                <w:szCs w:val="16"/>
              </w:rPr>
              <w:t>Atouts - Faiblesses - Opportunités - Menaces</w:t>
            </w:r>
          </w:p>
        </w:tc>
      </w:tr>
      <w:tr w:rsidR="007904BC" w14:paraId="6A0572C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B2BC13" w14:textId="77777777" w:rsidR="007904BC" w:rsidRPr="004D3E65" w:rsidRDefault="007904BC" w:rsidP="00E72DF0">
            <w:pPr>
              <w:pStyle w:val="BodyText"/>
              <w:rPr>
                <w:sz w:val="16"/>
                <w:szCs w:val="16"/>
              </w:rPr>
            </w:pPr>
            <w:r w:rsidRPr="004D3E65">
              <w:rPr>
                <w:sz w:val="16"/>
                <w:szCs w:val="16"/>
              </w:rPr>
              <w:t>ANAH</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E61020" w14:textId="4823F771" w:rsidR="007904BC" w:rsidRPr="004D3E65" w:rsidRDefault="007904BC" w:rsidP="00E72DF0">
            <w:pPr>
              <w:pStyle w:val="BodyText"/>
              <w:rPr>
                <w:sz w:val="16"/>
                <w:szCs w:val="16"/>
              </w:rPr>
            </w:pPr>
            <w:r w:rsidRPr="004D3E65">
              <w:rPr>
                <w:sz w:val="16"/>
                <w:szCs w:val="16"/>
              </w:rPr>
              <w:t>Agence nationale de l</w:t>
            </w:r>
            <w:r w:rsidR="00F42170" w:rsidRPr="004D3E65">
              <w:rPr>
                <w:sz w:val="16"/>
                <w:szCs w:val="16"/>
              </w:rPr>
              <w:t>’</w:t>
            </w:r>
            <w:r w:rsidRPr="004D3E65">
              <w:rPr>
                <w:sz w:val="16"/>
                <w:szCs w:val="16"/>
              </w:rPr>
              <w:t>habitat</w:t>
            </w:r>
          </w:p>
        </w:tc>
      </w:tr>
      <w:tr w:rsidR="007904BC" w14:paraId="451056D2"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8F0F4D" w14:textId="77777777" w:rsidR="007904BC" w:rsidRPr="004D3E65" w:rsidRDefault="007904BC" w:rsidP="00E72DF0">
            <w:pPr>
              <w:pStyle w:val="BodyText"/>
              <w:rPr>
                <w:sz w:val="16"/>
                <w:szCs w:val="16"/>
              </w:rPr>
            </w:pPr>
            <w:r w:rsidRPr="004D3E65">
              <w:rPr>
                <w:sz w:val="16"/>
                <w:szCs w:val="16"/>
              </w:rPr>
              <w:t>BA</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4AFE73" w14:textId="77777777" w:rsidR="007904BC" w:rsidRPr="004D3E65" w:rsidRDefault="007904BC" w:rsidP="00E72DF0">
            <w:pPr>
              <w:pStyle w:val="BodyText"/>
              <w:rPr>
                <w:sz w:val="16"/>
                <w:szCs w:val="16"/>
              </w:rPr>
            </w:pPr>
            <w:r w:rsidRPr="004D3E65">
              <w:rPr>
                <w:sz w:val="16"/>
                <w:szCs w:val="16"/>
              </w:rPr>
              <w:t xml:space="preserve">Business Angels </w:t>
            </w:r>
          </w:p>
        </w:tc>
      </w:tr>
      <w:tr w:rsidR="007904BC" w14:paraId="2C30C4DB"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134BBA" w14:textId="77777777" w:rsidR="007904BC" w:rsidRPr="004D3E65" w:rsidRDefault="007904BC" w:rsidP="00E72DF0">
            <w:pPr>
              <w:pStyle w:val="BodyText"/>
              <w:rPr>
                <w:sz w:val="16"/>
                <w:szCs w:val="16"/>
              </w:rPr>
            </w:pPr>
            <w:r w:rsidRPr="004D3E65">
              <w:rPr>
                <w:sz w:val="16"/>
                <w:szCs w:val="16"/>
              </w:rPr>
              <w:t>BFR</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4CE66E" w14:textId="77777777" w:rsidR="007904BC" w:rsidRPr="004D3E65" w:rsidRDefault="007904BC" w:rsidP="00E72DF0">
            <w:pPr>
              <w:pStyle w:val="BodyText"/>
              <w:rPr>
                <w:sz w:val="16"/>
                <w:szCs w:val="16"/>
              </w:rPr>
            </w:pPr>
            <w:r w:rsidRPr="004D3E65">
              <w:rPr>
                <w:sz w:val="16"/>
                <w:szCs w:val="16"/>
              </w:rPr>
              <w:t>Besoins en fonds de roulement</w:t>
            </w:r>
          </w:p>
        </w:tc>
      </w:tr>
      <w:tr w:rsidR="007904BC" w14:paraId="5ABC9737"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8A50AA" w14:textId="77777777" w:rsidR="007904BC" w:rsidRPr="004D3E65" w:rsidRDefault="007904BC" w:rsidP="00E72DF0">
            <w:pPr>
              <w:pStyle w:val="BodyText"/>
              <w:rPr>
                <w:sz w:val="16"/>
                <w:szCs w:val="16"/>
              </w:rPr>
            </w:pPr>
            <w:r w:rsidRPr="004D3E65">
              <w:rPr>
                <w:sz w:val="16"/>
                <w:szCs w:val="16"/>
              </w:rPr>
              <w:t>CDC</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57594" w14:textId="77777777" w:rsidR="007904BC" w:rsidRPr="004D3E65" w:rsidRDefault="007904BC" w:rsidP="00E72DF0">
            <w:pPr>
              <w:pStyle w:val="BodyText"/>
              <w:rPr>
                <w:sz w:val="16"/>
                <w:szCs w:val="16"/>
              </w:rPr>
            </w:pPr>
            <w:r w:rsidRPr="004D3E65">
              <w:rPr>
                <w:sz w:val="16"/>
                <w:szCs w:val="16"/>
              </w:rPr>
              <w:t>Caisse des Dépôts et Consignation</w:t>
            </w:r>
          </w:p>
        </w:tc>
      </w:tr>
      <w:tr w:rsidR="007904BC" w14:paraId="4577162B"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01FAC4" w14:textId="77777777" w:rsidR="007904BC" w:rsidRPr="004D3E65" w:rsidRDefault="007904BC" w:rsidP="00E72DF0">
            <w:pPr>
              <w:pStyle w:val="BodyText"/>
              <w:rPr>
                <w:sz w:val="16"/>
                <w:szCs w:val="16"/>
              </w:rPr>
            </w:pPr>
            <w:r w:rsidRPr="004D3E65">
              <w:rPr>
                <w:sz w:val="16"/>
                <w:szCs w:val="16"/>
              </w:rPr>
              <w:t>CEA</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FDE641" w14:textId="77777777" w:rsidR="007904BC" w:rsidRPr="004D3E65" w:rsidRDefault="007904BC" w:rsidP="00E72DF0">
            <w:pPr>
              <w:pStyle w:val="BodyText"/>
              <w:rPr>
                <w:sz w:val="16"/>
                <w:szCs w:val="16"/>
              </w:rPr>
            </w:pPr>
            <w:r w:rsidRPr="004D3E65">
              <w:rPr>
                <w:sz w:val="16"/>
                <w:szCs w:val="16"/>
              </w:rPr>
              <w:t>Commissariat à l’Énergie Atomique</w:t>
            </w:r>
          </w:p>
        </w:tc>
      </w:tr>
      <w:tr w:rsidR="007904BC" w14:paraId="51FE64B3"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0DA980" w14:textId="77777777" w:rsidR="007904BC" w:rsidRPr="004D3E65" w:rsidRDefault="007904BC" w:rsidP="00E72DF0">
            <w:pPr>
              <w:pStyle w:val="BodyText"/>
              <w:rPr>
                <w:sz w:val="16"/>
                <w:szCs w:val="16"/>
              </w:rPr>
            </w:pPr>
            <w:r w:rsidRPr="004D3E65">
              <w:rPr>
                <w:sz w:val="16"/>
                <w:szCs w:val="16"/>
              </w:rPr>
              <w:t>CITE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2C63D3" w14:textId="77777777" w:rsidR="007904BC" w:rsidRPr="004D3E65" w:rsidRDefault="007904BC" w:rsidP="00E72DF0">
            <w:pPr>
              <w:pStyle w:val="BodyText"/>
              <w:rPr>
                <w:sz w:val="16"/>
                <w:szCs w:val="16"/>
              </w:rPr>
            </w:pPr>
            <w:r w:rsidRPr="004D3E65">
              <w:rPr>
                <w:sz w:val="16"/>
                <w:szCs w:val="16"/>
              </w:rPr>
              <w:t>Crédit d’impôt pour la transition énergétique</w:t>
            </w:r>
          </w:p>
        </w:tc>
      </w:tr>
      <w:tr w:rsidR="007904BC" w14:paraId="292CBBDD"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6A1912" w14:textId="77777777" w:rsidR="007904BC" w:rsidRPr="004D3E65" w:rsidRDefault="007904BC" w:rsidP="00E72DF0">
            <w:pPr>
              <w:pStyle w:val="BodyText"/>
              <w:rPr>
                <w:sz w:val="16"/>
                <w:szCs w:val="16"/>
              </w:rPr>
            </w:pPr>
            <w:r w:rsidRPr="004D3E65">
              <w:rPr>
                <w:sz w:val="16"/>
                <w:szCs w:val="16"/>
              </w:rPr>
              <w:t>CLCV</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508C8D" w14:textId="77777777" w:rsidR="007904BC" w:rsidRPr="004D3E65" w:rsidRDefault="007904BC" w:rsidP="00E72DF0">
            <w:pPr>
              <w:pStyle w:val="BodyText"/>
              <w:rPr>
                <w:sz w:val="16"/>
                <w:szCs w:val="16"/>
              </w:rPr>
            </w:pPr>
            <w:r w:rsidRPr="004D3E65">
              <w:rPr>
                <w:sz w:val="16"/>
                <w:szCs w:val="16"/>
              </w:rPr>
              <w:t>Association de consommateur et de protection des usagers</w:t>
            </w:r>
          </w:p>
        </w:tc>
      </w:tr>
      <w:tr w:rsidR="007904BC" w14:paraId="109C3FD5"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795AEC" w14:textId="77777777" w:rsidR="007904BC" w:rsidRPr="004D3E65" w:rsidRDefault="007904BC" w:rsidP="00E72DF0">
            <w:pPr>
              <w:pStyle w:val="BodyText"/>
              <w:rPr>
                <w:sz w:val="16"/>
                <w:szCs w:val="16"/>
              </w:rPr>
            </w:pPr>
            <w:r w:rsidRPr="004D3E65">
              <w:rPr>
                <w:sz w:val="16"/>
                <w:szCs w:val="16"/>
              </w:rPr>
              <w:t>DASESS</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A1D605" w14:textId="77777777" w:rsidR="007904BC" w:rsidRPr="004D3E65" w:rsidRDefault="007904BC" w:rsidP="00E72DF0">
            <w:pPr>
              <w:pStyle w:val="BodyText"/>
              <w:rPr>
                <w:sz w:val="16"/>
                <w:szCs w:val="16"/>
              </w:rPr>
            </w:pPr>
            <w:r w:rsidRPr="004D3E65">
              <w:rPr>
                <w:sz w:val="16"/>
                <w:szCs w:val="16"/>
              </w:rPr>
              <w:t>Dispositif d’accompagnement pour les structures de l’ESS</w:t>
            </w:r>
          </w:p>
        </w:tc>
      </w:tr>
      <w:tr w:rsidR="007904BC" w14:paraId="5AF94DB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70EF83" w14:textId="77777777" w:rsidR="007904BC" w:rsidRPr="004D3E65" w:rsidRDefault="007904BC" w:rsidP="00E72DF0">
            <w:pPr>
              <w:pStyle w:val="BodyText"/>
              <w:rPr>
                <w:sz w:val="16"/>
                <w:szCs w:val="16"/>
              </w:rPr>
            </w:pPr>
            <w:r w:rsidRPr="004D3E65">
              <w:rPr>
                <w:sz w:val="16"/>
                <w:szCs w:val="16"/>
              </w:rPr>
              <w:t>DIRECCTE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A16DAC" w14:textId="5CB882F2" w:rsidR="007904BC" w:rsidRPr="004D3E65" w:rsidRDefault="007904BC" w:rsidP="00E72DF0">
            <w:pPr>
              <w:pStyle w:val="BodyText"/>
              <w:rPr>
                <w:sz w:val="16"/>
                <w:szCs w:val="16"/>
              </w:rPr>
            </w:pPr>
            <w:r w:rsidRPr="004D3E65">
              <w:rPr>
                <w:sz w:val="16"/>
                <w:szCs w:val="16"/>
              </w:rPr>
              <w:t>Directions régionales des entreprises, de la concurrence, de la consommation, du travail et de l</w:t>
            </w:r>
            <w:r w:rsidR="00F42170" w:rsidRPr="004D3E65">
              <w:rPr>
                <w:sz w:val="16"/>
                <w:szCs w:val="16"/>
              </w:rPr>
              <w:t>’</w:t>
            </w:r>
            <w:r w:rsidRPr="004D3E65">
              <w:rPr>
                <w:sz w:val="16"/>
                <w:szCs w:val="16"/>
              </w:rPr>
              <w:t>emploi</w:t>
            </w:r>
          </w:p>
        </w:tc>
      </w:tr>
      <w:tr w:rsidR="007904BC" w14:paraId="7652695F"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26D3A6" w14:textId="77777777" w:rsidR="007904BC" w:rsidRPr="004D3E65" w:rsidRDefault="007904BC" w:rsidP="00E72DF0">
            <w:pPr>
              <w:pStyle w:val="BodyText"/>
              <w:rPr>
                <w:sz w:val="16"/>
                <w:szCs w:val="16"/>
              </w:rPr>
            </w:pPr>
            <w:r w:rsidRPr="004D3E65">
              <w:rPr>
                <w:sz w:val="16"/>
                <w:szCs w:val="16"/>
              </w:rPr>
              <w:t>DLA</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92584D" w14:textId="77777777" w:rsidR="007904BC" w:rsidRPr="004D3E65" w:rsidRDefault="007904BC" w:rsidP="00E72DF0">
            <w:pPr>
              <w:pStyle w:val="BodyText"/>
              <w:rPr>
                <w:sz w:val="16"/>
                <w:szCs w:val="16"/>
              </w:rPr>
            </w:pPr>
            <w:r w:rsidRPr="004D3E65">
              <w:rPr>
                <w:sz w:val="16"/>
                <w:szCs w:val="16"/>
              </w:rPr>
              <w:t>Dispositif local d’accompagnement</w:t>
            </w:r>
          </w:p>
        </w:tc>
      </w:tr>
      <w:tr w:rsidR="007904BC" w14:paraId="3EEB1B3C"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A154D3" w14:textId="77777777" w:rsidR="007904BC" w:rsidRPr="004D3E65" w:rsidRDefault="007904BC" w:rsidP="00E72DF0">
            <w:pPr>
              <w:pStyle w:val="BodyText"/>
              <w:rPr>
                <w:sz w:val="16"/>
                <w:szCs w:val="16"/>
              </w:rPr>
            </w:pPr>
            <w:r w:rsidRPr="004D3E65">
              <w:rPr>
                <w:sz w:val="16"/>
                <w:szCs w:val="16"/>
              </w:rPr>
              <w:t>EEA IF</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401179" w14:textId="77777777" w:rsidR="007904BC" w:rsidRPr="004D3E65" w:rsidRDefault="007904BC" w:rsidP="00E72DF0">
            <w:pPr>
              <w:pStyle w:val="BodyText"/>
              <w:rPr>
                <w:sz w:val="16"/>
                <w:szCs w:val="16"/>
              </w:rPr>
            </w:pPr>
            <w:r w:rsidRPr="004D3E65">
              <w:rPr>
                <w:sz w:val="16"/>
                <w:szCs w:val="16"/>
              </w:rPr>
              <w:t>Évaluation Ex-ante des instruments financiers</w:t>
            </w:r>
          </w:p>
        </w:tc>
      </w:tr>
      <w:tr w:rsidR="007904BC" w14:paraId="23D3B2E3"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80A330" w14:textId="77777777" w:rsidR="007904BC" w:rsidRPr="004D3E65" w:rsidRDefault="007904BC" w:rsidP="00E72DF0">
            <w:pPr>
              <w:pStyle w:val="BodyText"/>
              <w:rPr>
                <w:sz w:val="16"/>
                <w:szCs w:val="16"/>
              </w:rPr>
            </w:pPr>
            <w:r w:rsidRPr="004D3E65">
              <w:rPr>
                <w:sz w:val="16"/>
                <w:szCs w:val="16"/>
              </w:rPr>
              <w:t>ÉLAN (loi)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0152D6" w14:textId="4A860902" w:rsidR="007904BC" w:rsidRPr="004D3E65" w:rsidRDefault="007904BC" w:rsidP="00E72DF0">
            <w:pPr>
              <w:pStyle w:val="BodyText"/>
              <w:rPr>
                <w:sz w:val="16"/>
                <w:szCs w:val="16"/>
              </w:rPr>
            </w:pPr>
            <w:r w:rsidRPr="004D3E65">
              <w:rPr>
                <w:sz w:val="16"/>
                <w:szCs w:val="16"/>
              </w:rPr>
              <w:t>Évolution du logement de l</w:t>
            </w:r>
            <w:r w:rsidR="00F42170" w:rsidRPr="004D3E65">
              <w:rPr>
                <w:sz w:val="16"/>
                <w:szCs w:val="16"/>
              </w:rPr>
              <w:t>’</w:t>
            </w:r>
            <w:r w:rsidRPr="004D3E65">
              <w:rPr>
                <w:sz w:val="16"/>
                <w:szCs w:val="16"/>
              </w:rPr>
              <w:t>aménagement et du numérique</w:t>
            </w:r>
          </w:p>
        </w:tc>
      </w:tr>
      <w:tr w:rsidR="007904BC" w14:paraId="1E3FE837"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826B76" w14:textId="42178FD3" w:rsidR="007904BC" w:rsidRPr="004D3E65" w:rsidRDefault="007904BC" w:rsidP="00E72DF0">
            <w:pPr>
              <w:pStyle w:val="BodyText"/>
              <w:rPr>
                <w:sz w:val="16"/>
                <w:szCs w:val="16"/>
              </w:rPr>
            </w:pPr>
            <w:proofErr w:type="spellStart"/>
            <w:r w:rsidRPr="004D3E65">
              <w:rPr>
                <w:sz w:val="16"/>
                <w:szCs w:val="16"/>
              </w:rPr>
              <w:t>E</w:t>
            </w:r>
            <w:r w:rsidR="004102EE" w:rsidRPr="004D3E65">
              <w:rPr>
                <w:sz w:val="16"/>
                <w:szCs w:val="16"/>
              </w:rPr>
              <w:t>n</w:t>
            </w:r>
            <w:r w:rsidRPr="004D3E65">
              <w:rPr>
                <w:sz w:val="16"/>
                <w:szCs w:val="16"/>
              </w:rPr>
              <w:t>R</w:t>
            </w:r>
            <w:proofErr w:type="spellEnd"/>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613BCD" w14:textId="77777777" w:rsidR="007904BC" w:rsidRPr="004D3E65" w:rsidRDefault="007904BC" w:rsidP="00E72DF0">
            <w:pPr>
              <w:pStyle w:val="BodyText"/>
              <w:rPr>
                <w:sz w:val="16"/>
                <w:szCs w:val="16"/>
              </w:rPr>
            </w:pPr>
            <w:r w:rsidRPr="004D3E65">
              <w:rPr>
                <w:sz w:val="16"/>
                <w:szCs w:val="16"/>
              </w:rPr>
              <w:t xml:space="preserve">Énergies renouvelables </w:t>
            </w:r>
          </w:p>
        </w:tc>
      </w:tr>
      <w:tr w:rsidR="007904BC" w14:paraId="7286CE3C"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BC3710" w14:textId="77777777" w:rsidR="007904BC" w:rsidRPr="004D3E65" w:rsidRDefault="007904BC" w:rsidP="00E72DF0">
            <w:pPr>
              <w:pStyle w:val="BodyText"/>
              <w:rPr>
                <w:sz w:val="16"/>
                <w:szCs w:val="16"/>
              </w:rPr>
            </w:pPr>
            <w:r w:rsidRPr="004D3E65">
              <w:rPr>
                <w:sz w:val="16"/>
                <w:szCs w:val="16"/>
              </w:rPr>
              <w:t>EPCI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991351" w14:textId="77777777" w:rsidR="007904BC" w:rsidRPr="004D3E65" w:rsidRDefault="007904BC" w:rsidP="00E72DF0">
            <w:pPr>
              <w:pStyle w:val="BodyText"/>
              <w:rPr>
                <w:sz w:val="16"/>
                <w:szCs w:val="16"/>
              </w:rPr>
            </w:pPr>
            <w:r w:rsidRPr="004D3E65">
              <w:rPr>
                <w:sz w:val="16"/>
                <w:szCs w:val="16"/>
              </w:rPr>
              <w:t>Établissements Publics de Coopération Intercommunale</w:t>
            </w:r>
          </w:p>
        </w:tc>
      </w:tr>
      <w:tr w:rsidR="00570848" w:rsidRPr="004D3E65" w14:paraId="4D87EA2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38165C" w14:textId="1AF8AAE9" w:rsidR="00570848" w:rsidRPr="004D3E65" w:rsidRDefault="00570848" w:rsidP="00E72DF0">
            <w:pPr>
              <w:pStyle w:val="BodyText"/>
              <w:rPr>
                <w:sz w:val="16"/>
                <w:szCs w:val="16"/>
              </w:rPr>
            </w:pPr>
            <w:r w:rsidRPr="004D3E65">
              <w:rPr>
                <w:sz w:val="16"/>
                <w:szCs w:val="16"/>
              </w:rPr>
              <w:t>EPF</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BEA9E1" w14:textId="4D56FD5D" w:rsidR="00570848" w:rsidRPr="004D3E65" w:rsidRDefault="00570848" w:rsidP="00E72DF0">
            <w:pPr>
              <w:pStyle w:val="BodyText"/>
              <w:rPr>
                <w:sz w:val="16"/>
                <w:szCs w:val="16"/>
              </w:rPr>
            </w:pPr>
            <w:r w:rsidRPr="004D3E65">
              <w:rPr>
                <w:sz w:val="16"/>
                <w:szCs w:val="16"/>
              </w:rPr>
              <w:t>Établissement Public Foncier</w:t>
            </w:r>
          </w:p>
        </w:tc>
      </w:tr>
      <w:tr w:rsidR="007904BC" w14:paraId="7F8CB550"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A2BC66" w14:textId="77777777" w:rsidR="007904BC" w:rsidRPr="004D3E65" w:rsidRDefault="007904BC" w:rsidP="00E72DF0">
            <w:pPr>
              <w:pStyle w:val="BodyText"/>
              <w:rPr>
                <w:sz w:val="16"/>
                <w:szCs w:val="16"/>
              </w:rPr>
            </w:pPr>
            <w:r w:rsidRPr="004D3E65">
              <w:rPr>
                <w:sz w:val="16"/>
                <w:szCs w:val="16"/>
              </w:rPr>
              <w:t>ESS</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25E69" w14:textId="77777777" w:rsidR="007904BC" w:rsidRPr="004D3E65" w:rsidRDefault="007904BC" w:rsidP="00E72DF0">
            <w:pPr>
              <w:pStyle w:val="BodyText"/>
              <w:rPr>
                <w:sz w:val="16"/>
                <w:szCs w:val="16"/>
              </w:rPr>
            </w:pPr>
            <w:r w:rsidRPr="004D3E65">
              <w:rPr>
                <w:sz w:val="16"/>
                <w:szCs w:val="16"/>
              </w:rPr>
              <w:t xml:space="preserve">Économie sociale et solidaire </w:t>
            </w:r>
          </w:p>
        </w:tc>
      </w:tr>
      <w:tr w:rsidR="007904BC" w14:paraId="61F8C558"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4AFBA" w14:textId="77777777" w:rsidR="007904BC" w:rsidRPr="004D3E65" w:rsidRDefault="007904BC" w:rsidP="00E72DF0">
            <w:pPr>
              <w:pStyle w:val="BodyText"/>
              <w:rPr>
                <w:sz w:val="16"/>
                <w:szCs w:val="16"/>
              </w:rPr>
            </w:pPr>
            <w:r w:rsidRPr="004D3E65">
              <w:rPr>
                <w:sz w:val="16"/>
                <w:szCs w:val="16"/>
              </w:rPr>
              <w:t>ETP</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A6618A" w14:textId="77777777" w:rsidR="007904BC" w:rsidRPr="004D3E65" w:rsidRDefault="007904BC" w:rsidP="00E72DF0">
            <w:pPr>
              <w:pStyle w:val="BodyText"/>
              <w:rPr>
                <w:sz w:val="16"/>
                <w:szCs w:val="16"/>
              </w:rPr>
            </w:pPr>
            <w:r w:rsidRPr="004D3E65">
              <w:rPr>
                <w:sz w:val="16"/>
                <w:szCs w:val="16"/>
              </w:rPr>
              <w:t>Équivalent temps plein</w:t>
            </w:r>
          </w:p>
        </w:tc>
      </w:tr>
      <w:tr w:rsidR="007904BC" w14:paraId="2FA42D7B"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B7B57C" w14:textId="77777777" w:rsidR="007904BC" w:rsidRPr="004D3E65" w:rsidRDefault="007904BC" w:rsidP="00E72DF0">
            <w:pPr>
              <w:pStyle w:val="BodyText"/>
              <w:rPr>
                <w:sz w:val="16"/>
                <w:szCs w:val="16"/>
              </w:rPr>
            </w:pPr>
            <w:r w:rsidRPr="004D3E65">
              <w:rPr>
                <w:sz w:val="16"/>
                <w:szCs w:val="16"/>
              </w:rPr>
              <w:t>FEADER</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BA1AD4" w14:textId="77777777" w:rsidR="007904BC" w:rsidRPr="004D3E65" w:rsidRDefault="007904BC" w:rsidP="00E72DF0">
            <w:pPr>
              <w:pStyle w:val="BodyText"/>
              <w:rPr>
                <w:sz w:val="16"/>
                <w:szCs w:val="16"/>
              </w:rPr>
            </w:pPr>
            <w:r w:rsidRPr="004D3E65">
              <w:rPr>
                <w:sz w:val="16"/>
                <w:szCs w:val="16"/>
              </w:rPr>
              <w:t>Fonds européen agricole pour le développement rural</w:t>
            </w:r>
          </w:p>
        </w:tc>
      </w:tr>
      <w:tr w:rsidR="007904BC" w14:paraId="05ED5557"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7181D4" w14:textId="77777777" w:rsidR="007904BC" w:rsidRPr="004D3E65" w:rsidRDefault="007904BC" w:rsidP="00E72DF0">
            <w:pPr>
              <w:pStyle w:val="BodyText"/>
              <w:rPr>
                <w:sz w:val="16"/>
                <w:szCs w:val="16"/>
              </w:rPr>
            </w:pPr>
            <w:r w:rsidRPr="004D3E65">
              <w:rPr>
                <w:sz w:val="16"/>
                <w:szCs w:val="16"/>
              </w:rPr>
              <w:t>FEDER</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8E7A0E" w14:textId="77777777" w:rsidR="007904BC" w:rsidRPr="004D3E65" w:rsidRDefault="007904BC" w:rsidP="00E72DF0">
            <w:pPr>
              <w:pStyle w:val="BodyText"/>
              <w:rPr>
                <w:sz w:val="16"/>
                <w:szCs w:val="16"/>
              </w:rPr>
            </w:pPr>
            <w:r w:rsidRPr="004D3E65">
              <w:rPr>
                <w:sz w:val="16"/>
                <w:szCs w:val="16"/>
              </w:rPr>
              <w:t>Fonds européen de développement régional (FEDER)</w:t>
            </w:r>
          </w:p>
        </w:tc>
      </w:tr>
      <w:tr w:rsidR="007904BC" w14:paraId="7DE0B536"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7D2CFF" w14:textId="77777777" w:rsidR="007904BC" w:rsidRPr="004D3E65" w:rsidRDefault="007904BC" w:rsidP="00E72DF0">
            <w:pPr>
              <w:pStyle w:val="BodyText"/>
              <w:rPr>
                <w:sz w:val="16"/>
                <w:szCs w:val="16"/>
              </w:rPr>
            </w:pPr>
            <w:r w:rsidRPr="004D3E65">
              <w:rPr>
                <w:sz w:val="16"/>
                <w:szCs w:val="16"/>
              </w:rPr>
              <w:t>FESI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340CEE" w14:textId="10C2F31C" w:rsidR="007904BC" w:rsidRPr="004D3E65" w:rsidRDefault="007904BC" w:rsidP="00E72DF0">
            <w:pPr>
              <w:pStyle w:val="BodyText"/>
              <w:rPr>
                <w:sz w:val="16"/>
                <w:szCs w:val="16"/>
              </w:rPr>
            </w:pPr>
            <w:r w:rsidRPr="004D3E65">
              <w:rPr>
                <w:sz w:val="16"/>
                <w:szCs w:val="16"/>
              </w:rPr>
              <w:t>Fonds Européens Structurels et d</w:t>
            </w:r>
            <w:r w:rsidR="00F42170" w:rsidRPr="004D3E65">
              <w:rPr>
                <w:sz w:val="16"/>
                <w:szCs w:val="16"/>
              </w:rPr>
              <w:t>’</w:t>
            </w:r>
            <w:r w:rsidRPr="004D3E65">
              <w:rPr>
                <w:sz w:val="16"/>
                <w:szCs w:val="16"/>
              </w:rPr>
              <w:t>Investissement</w:t>
            </w:r>
          </w:p>
        </w:tc>
      </w:tr>
      <w:tr w:rsidR="007904BC" w14:paraId="0DDF8063"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94E602" w14:textId="77777777" w:rsidR="007904BC" w:rsidRPr="004D3E65" w:rsidRDefault="007904BC" w:rsidP="00E72DF0">
            <w:pPr>
              <w:pStyle w:val="BodyText"/>
              <w:rPr>
                <w:sz w:val="16"/>
                <w:szCs w:val="16"/>
              </w:rPr>
            </w:pPr>
            <w:r w:rsidRPr="004D3E65">
              <w:rPr>
                <w:sz w:val="16"/>
                <w:szCs w:val="16"/>
              </w:rPr>
              <w:t>FIEE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48AB46" w14:textId="77777777" w:rsidR="007904BC" w:rsidRPr="004D3E65" w:rsidRDefault="007904BC" w:rsidP="00E72DF0">
            <w:pPr>
              <w:pStyle w:val="BodyText"/>
              <w:rPr>
                <w:sz w:val="16"/>
                <w:szCs w:val="16"/>
              </w:rPr>
            </w:pPr>
            <w:r w:rsidRPr="004D3E65">
              <w:rPr>
                <w:sz w:val="16"/>
                <w:szCs w:val="16"/>
              </w:rPr>
              <w:t>France Investissement Énergie Environnement</w:t>
            </w:r>
          </w:p>
        </w:tc>
      </w:tr>
      <w:tr w:rsidR="007904BC" w14:paraId="5ACE63BA"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4B32EB" w14:textId="77777777" w:rsidR="007904BC" w:rsidRPr="004D3E65" w:rsidRDefault="007904BC" w:rsidP="00E72DF0">
            <w:pPr>
              <w:pStyle w:val="BodyText"/>
              <w:rPr>
                <w:sz w:val="16"/>
                <w:szCs w:val="16"/>
              </w:rPr>
            </w:pPr>
            <w:r w:rsidRPr="004D3E65">
              <w:rPr>
                <w:sz w:val="16"/>
                <w:szCs w:val="16"/>
              </w:rPr>
              <w:t>FPCI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ED471F" w14:textId="77777777" w:rsidR="007904BC" w:rsidRPr="004D3E65" w:rsidRDefault="007904BC" w:rsidP="00E72DF0">
            <w:pPr>
              <w:pStyle w:val="BodyText"/>
              <w:rPr>
                <w:sz w:val="16"/>
                <w:szCs w:val="16"/>
              </w:rPr>
            </w:pPr>
            <w:r w:rsidRPr="004D3E65">
              <w:rPr>
                <w:sz w:val="16"/>
                <w:szCs w:val="16"/>
              </w:rPr>
              <w:t>Fonds Professionnel de Capital Investissement</w:t>
            </w:r>
          </w:p>
        </w:tc>
      </w:tr>
      <w:tr w:rsidR="007904BC" w14:paraId="797A2373"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D4ACE3" w14:textId="77777777" w:rsidR="007904BC" w:rsidRPr="004D3E65" w:rsidRDefault="007904BC" w:rsidP="00E72DF0">
            <w:pPr>
              <w:pStyle w:val="BodyText"/>
              <w:rPr>
                <w:sz w:val="16"/>
                <w:szCs w:val="16"/>
              </w:rPr>
            </w:pPr>
            <w:r w:rsidRPr="004D3E65">
              <w:rPr>
                <w:sz w:val="16"/>
                <w:szCs w:val="16"/>
              </w:rPr>
              <w:t>FRG</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963E6" w14:textId="77777777" w:rsidR="007904BC" w:rsidRPr="004D3E65" w:rsidRDefault="007904BC" w:rsidP="00E72DF0">
            <w:pPr>
              <w:pStyle w:val="BodyText"/>
              <w:rPr>
                <w:sz w:val="16"/>
                <w:szCs w:val="16"/>
              </w:rPr>
            </w:pPr>
            <w:r w:rsidRPr="004D3E65">
              <w:rPr>
                <w:sz w:val="16"/>
                <w:szCs w:val="16"/>
              </w:rPr>
              <w:t xml:space="preserve">Fonds régional de Garantie </w:t>
            </w:r>
          </w:p>
        </w:tc>
      </w:tr>
      <w:tr w:rsidR="007904BC" w14:paraId="4B6AF97B"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EFC1F" w14:textId="77777777" w:rsidR="007904BC" w:rsidRPr="004D3E65" w:rsidRDefault="007904BC" w:rsidP="00E72DF0">
            <w:pPr>
              <w:pStyle w:val="BodyText"/>
              <w:rPr>
                <w:sz w:val="16"/>
                <w:szCs w:val="16"/>
              </w:rPr>
            </w:pPr>
            <w:r w:rsidRPr="004D3E65">
              <w:rPr>
                <w:sz w:val="16"/>
                <w:szCs w:val="16"/>
              </w:rPr>
              <w:t>FRI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0B0928" w14:textId="77777777" w:rsidR="007904BC" w:rsidRPr="004D3E65" w:rsidRDefault="007904BC" w:rsidP="00E72DF0">
            <w:pPr>
              <w:pStyle w:val="BodyText"/>
              <w:rPr>
                <w:sz w:val="16"/>
                <w:szCs w:val="16"/>
              </w:rPr>
            </w:pPr>
            <w:r w:rsidRPr="004D3E65">
              <w:rPr>
                <w:sz w:val="16"/>
                <w:szCs w:val="16"/>
              </w:rPr>
              <w:t xml:space="preserve">Fonds Régional d’Innovation </w:t>
            </w:r>
          </w:p>
        </w:tc>
      </w:tr>
      <w:tr w:rsidR="007904BC" w14:paraId="7BB9F55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F1B521" w14:textId="77777777" w:rsidR="007904BC" w:rsidRPr="004D3E65" w:rsidRDefault="007904BC" w:rsidP="00E72DF0">
            <w:pPr>
              <w:pStyle w:val="BodyText"/>
              <w:rPr>
                <w:sz w:val="16"/>
                <w:szCs w:val="16"/>
              </w:rPr>
            </w:pPr>
            <w:r w:rsidRPr="004D3E65">
              <w:rPr>
                <w:sz w:val="16"/>
                <w:szCs w:val="16"/>
              </w:rPr>
              <w:t>FSI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BE9DD7" w14:textId="77777777" w:rsidR="007904BC" w:rsidRPr="004D3E65" w:rsidRDefault="007904BC" w:rsidP="00E72DF0">
            <w:pPr>
              <w:pStyle w:val="BodyText"/>
              <w:rPr>
                <w:sz w:val="16"/>
                <w:szCs w:val="16"/>
              </w:rPr>
            </w:pPr>
            <w:r w:rsidRPr="004D3E65">
              <w:rPr>
                <w:sz w:val="16"/>
                <w:szCs w:val="16"/>
              </w:rPr>
              <w:t xml:space="preserve">Fonds Social d’Investissement </w:t>
            </w:r>
          </w:p>
        </w:tc>
      </w:tr>
      <w:tr w:rsidR="007904BC" w14:paraId="3BAD8C8A"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058882" w14:textId="77777777" w:rsidR="007904BC" w:rsidRPr="004D3E65" w:rsidRDefault="007904BC" w:rsidP="00E72DF0">
            <w:pPr>
              <w:pStyle w:val="BodyText"/>
              <w:rPr>
                <w:sz w:val="16"/>
                <w:szCs w:val="16"/>
              </w:rPr>
            </w:pPr>
            <w:r w:rsidRPr="004D3E65">
              <w:rPr>
                <w:sz w:val="16"/>
                <w:szCs w:val="16"/>
              </w:rPr>
              <w:t>FUI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52B9C4" w14:textId="77777777" w:rsidR="007904BC" w:rsidRPr="004D3E65" w:rsidRDefault="007904BC" w:rsidP="00E72DF0">
            <w:pPr>
              <w:pStyle w:val="BodyText"/>
              <w:rPr>
                <w:sz w:val="16"/>
                <w:szCs w:val="16"/>
              </w:rPr>
            </w:pPr>
            <w:r w:rsidRPr="004D3E65">
              <w:rPr>
                <w:sz w:val="16"/>
                <w:szCs w:val="16"/>
              </w:rPr>
              <w:t xml:space="preserve">Fonds unique interministériel </w:t>
            </w:r>
          </w:p>
        </w:tc>
      </w:tr>
      <w:tr w:rsidR="007904BC" w14:paraId="17ACBC13"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609A43" w14:textId="77777777" w:rsidR="007904BC" w:rsidRPr="004D3E65" w:rsidRDefault="007904BC" w:rsidP="00E72DF0">
            <w:pPr>
              <w:pStyle w:val="BodyText"/>
              <w:rPr>
                <w:sz w:val="16"/>
                <w:szCs w:val="16"/>
              </w:rPr>
            </w:pPr>
            <w:r w:rsidRPr="004D3E65">
              <w:rPr>
                <w:sz w:val="16"/>
                <w:szCs w:val="16"/>
              </w:rPr>
              <w:t>IAA</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0AF6D9" w14:textId="77777777" w:rsidR="007904BC" w:rsidRPr="004D3E65" w:rsidRDefault="007904BC" w:rsidP="00E72DF0">
            <w:pPr>
              <w:pStyle w:val="BodyText"/>
              <w:rPr>
                <w:sz w:val="16"/>
                <w:szCs w:val="16"/>
              </w:rPr>
            </w:pPr>
            <w:r w:rsidRPr="004D3E65">
              <w:rPr>
                <w:sz w:val="16"/>
                <w:szCs w:val="16"/>
              </w:rPr>
              <w:t xml:space="preserve">Industries agro-alimentaires </w:t>
            </w:r>
          </w:p>
        </w:tc>
      </w:tr>
      <w:tr w:rsidR="007904BC" w14:paraId="11B333CF"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CD02B" w14:textId="77777777" w:rsidR="007904BC" w:rsidRPr="004D3E65" w:rsidRDefault="007904BC" w:rsidP="00E72DF0">
            <w:pPr>
              <w:pStyle w:val="BodyText"/>
              <w:rPr>
                <w:sz w:val="16"/>
                <w:szCs w:val="16"/>
              </w:rPr>
            </w:pPr>
            <w:r w:rsidRPr="004D3E65">
              <w:rPr>
                <w:sz w:val="16"/>
                <w:szCs w:val="16"/>
              </w:rPr>
              <w:t>LTECV</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8AD8FD" w14:textId="77777777" w:rsidR="007904BC" w:rsidRPr="004D3E65" w:rsidRDefault="007904BC" w:rsidP="00E72DF0">
            <w:pPr>
              <w:pStyle w:val="BodyText"/>
              <w:rPr>
                <w:sz w:val="16"/>
                <w:szCs w:val="16"/>
              </w:rPr>
            </w:pPr>
            <w:r w:rsidRPr="004D3E65">
              <w:rPr>
                <w:sz w:val="16"/>
                <w:szCs w:val="16"/>
              </w:rPr>
              <w:t>Loi de Transition Énergétique pour la Croissance Verte</w:t>
            </w:r>
          </w:p>
        </w:tc>
      </w:tr>
      <w:tr w:rsidR="007904BC" w14:paraId="170230DC"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D75422" w14:textId="77777777" w:rsidR="007904BC" w:rsidRPr="004D3E65" w:rsidRDefault="007904BC" w:rsidP="00E72DF0">
            <w:pPr>
              <w:pStyle w:val="BodyText"/>
              <w:rPr>
                <w:sz w:val="16"/>
                <w:szCs w:val="16"/>
              </w:rPr>
            </w:pPr>
            <w:r w:rsidRPr="004D3E65">
              <w:rPr>
                <w:sz w:val="16"/>
                <w:szCs w:val="16"/>
              </w:rPr>
              <w:t>NACRE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C35E37" w14:textId="583CD144" w:rsidR="007904BC" w:rsidRPr="004D3E65" w:rsidRDefault="007904BC" w:rsidP="00E72DF0">
            <w:pPr>
              <w:pStyle w:val="BodyText"/>
              <w:rPr>
                <w:sz w:val="16"/>
                <w:szCs w:val="16"/>
              </w:rPr>
            </w:pPr>
            <w:r w:rsidRPr="004D3E65">
              <w:rPr>
                <w:sz w:val="16"/>
                <w:szCs w:val="16"/>
              </w:rPr>
              <w:t>Nouvel accompagnement à la création ou la reprise d</w:t>
            </w:r>
            <w:r w:rsidR="00F42170" w:rsidRPr="004D3E65">
              <w:rPr>
                <w:sz w:val="16"/>
                <w:szCs w:val="16"/>
              </w:rPr>
              <w:t>’</w:t>
            </w:r>
            <w:r w:rsidRPr="004D3E65">
              <w:rPr>
                <w:sz w:val="16"/>
                <w:szCs w:val="16"/>
              </w:rPr>
              <w:t>entreprise</w:t>
            </w:r>
          </w:p>
        </w:tc>
      </w:tr>
      <w:tr w:rsidR="007904BC" w14:paraId="1B084DA0"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192956" w14:textId="77777777" w:rsidR="007904BC" w:rsidRPr="004D3E65" w:rsidRDefault="007904BC" w:rsidP="00E72DF0">
            <w:pPr>
              <w:pStyle w:val="BodyText"/>
              <w:rPr>
                <w:sz w:val="16"/>
                <w:szCs w:val="16"/>
              </w:rPr>
            </w:pPr>
            <w:r w:rsidRPr="004D3E65">
              <w:rPr>
                <w:sz w:val="16"/>
                <w:szCs w:val="16"/>
              </w:rPr>
              <w:t>PIA</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5391AC" w14:textId="77777777" w:rsidR="007904BC" w:rsidRPr="004D3E65" w:rsidRDefault="007904BC" w:rsidP="00E72DF0">
            <w:pPr>
              <w:pStyle w:val="BodyText"/>
              <w:rPr>
                <w:sz w:val="16"/>
                <w:szCs w:val="16"/>
              </w:rPr>
            </w:pPr>
            <w:r w:rsidRPr="004D3E65">
              <w:rPr>
                <w:sz w:val="16"/>
                <w:szCs w:val="16"/>
              </w:rPr>
              <w:t xml:space="preserve">Programme innovation d’avenir </w:t>
            </w:r>
          </w:p>
        </w:tc>
      </w:tr>
      <w:tr w:rsidR="007904BC" w14:paraId="371D2FF2"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E0B4F" w14:textId="77777777" w:rsidR="007904BC" w:rsidRPr="004D3E65" w:rsidRDefault="007904BC" w:rsidP="00E72DF0">
            <w:pPr>
              <w:pStyle w:val="BodyText"/>
              <w:rPr>
                <w:sz w:val="16"/>
                <w:szCs w:val="16"/>
              </w:rPr>
            </w:pPr>
            <w:r w:rsidRPr="004D3E65">
              <w:rPr>
                <w:sz w:val="16"/>
                <w:szCs w:val="16"/>
              </w:rPr>
              <w:t>SEM</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84D647" w14:textId="77777777" w:rsidR="007904BC" w:rsidRPr="004D3E65" w:rsidRDefault="007904BC" w:rsidP="00E72DF0">
            <w:pPr>
              <w:pStyle w:val="BodyText"/>
              <w:rPr>
                <w:sz w:val="16"/>
                <w:szCs w:val="16"/>
              </w:rPr>
            </w:pPr>
            <w:r w:rsidRPr="004D3E65">
              <w:rPr>
                <w:sz w:val="16"/>
                <w:szCs w:val="16"/>
              </w:rPr>
              <w:t>Sociétés d’Économie Mixte</w:t>
            </w:r>
          </w:p>
        </w:tc>
      </w:tr>
      <w:tr w:rsidR="007904BC" w14:paraId="7C5B163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C51BB2" w14:textId="77777777" w:rsidR="007904BC" w:rsidRPr="004D3E65" w:rsidRDefault="007904BC" w:rsidP="00E72DF0">
            <w:pPr>
              <w:pStyle w:val="BodyText"/>
              <w:rPr>
                <w:sz w:val="16"/>
                <w:szCs w:val="16"/>
              </w:rPr>
            </w:pPr>
            <w:r w:rsidRPr="004D3E65">
              <w:rPr>
                <w:sz w:val="16"/>
                <w:szCs w:val="16"/>
              </w:rPr>
              <w:t>SIAGI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C47221" w14:textId="77777777" w:rsidR="007904BC" w:rsidRPr="004D3E65" w:rsidRDefault="007904BC" w:rsidP="00E72DF0">
            <w:pPr>
              <w:pStyle w:val="BodyText"/>
              <w:rPr>
                <w:sz w:val="16"/>
                <w:szCs w:val="16"/>
              </w:rPr>
            </w:pPr>
            <w:r w:rsidRPr="004D3E65">
              <w:rPr>
                <w:sz w:val="16"/>
                <w:szCs w:val="16"/>
              </w:rPr>
              <w:t>Société de caution mutuelle pour les petites entreprises</w:t>
            </w:r>
          </w:p>
        </w:tc>
      </w:tr>
      <w:tr w:rsidR="007904BC" w14:paraId="63F2B32C"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6FCE43" w14:textId="77777777" w:rsidR="007904BC" w:rsidRPr="004D3E65" w:rsidRDefault="007904BC" w:rsidP="00E72DF0">
            <w:pPr>
              <w:pStyle w:val="BodyText"/>
              <w:rPr>
                <w:sz w:val="16"/>
                <w:szCs w:val="16"/>
              </w:rPr>
            </w:pPr>
            <w:r w:rsidRPr="004D3E65">
              <w:rPr>
                <w:sz w:val="16"/>
                <w:szCs w:val="16"/>
              </w:rPr>
              <w:t>SLIME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48C677" w14:textId="77777777" w:rsidR="007904BC" w:rsidRPr="004D3E65" w:rsidRDefault="007904BC" w:rsidP="00E72DF0">
            <w:pPr>
              <w:pStyle w:val="BodyText"/>
              <w:rPr>
                <w:sz w:val="16"/>
                <w:szCs w:val="16"/>
              </w:rPr>
            </w:pPr>
            <w:r w:rsidRPr="004D3E65">
              <w:rPr>
                <w:sz w:val="16"/>
                <w:szCs w:val="16"/>
              </w:rPr>
              <w:t>Service Local d’Intervention pour la Maîtrise de l’Énergie</w:t>
            </w:r>
          </w:p>
        </w:tc>
      </w:tr>
      <w:tr w:rsidR="001E15FB" w:rsidRPr="004D3E65" w14:paraId="37B1467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0CFED2" w14:textId="097D7F62" w:rsidR="001E15FB" w:rsidRPr="004D3E65" w:rsidRDefault="001E15FB" w:rsidP="00E72DF0">
            <w:pPr>
              <w:pStyle w:val="BodyText"/>
              <w:rPr>
                <w:sz w:val="16"/>
                <w:szCs w:val="16"/>
              </w:rPr>
            </w:pPr>
            <w:r w:rsidRPr="004D3E65">
              <w:rPr>
                <w:sz w:val="16"/>
                <w:szCs w:val="16"/>
              </w:rPr>
              <w:t>SRADDET</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98B701" w14:textId="185340C6" w:rsidR="001E15FB" w:rsidRPr="004D3E65" w:rsidRDefault="001E15FB" w:rsidP="00E72DF0">
            <w:pPr>
              <w:pStyle w:val="BodyText"/>
              <w:rPr>
                <w:sz w:val="16"/>
                <w:szCs w:val="16"/>
              </w:rPr>
            </w:pPr>
            <w:r w:rsidRPr="004D3E65">
              <w:rPr>
                <w:sz w:val="16"/>
                <w:szCs w:val="16"/>
              </w:rPr>
              <w:t>Schéma Régional d’Aménagement</w:t>
            </w:r>
            <w:r w:rsidR="008051D6" w:rsidRPr="004D3E65">
              <w:rPr>
                <w:sz w:val="16"/>
                <w:szCs w:val="16"/>
              </w:rPr>
              <w:t>, de Développement Durable et d’Egalité des Territoires</w:t>
            </w:r>
          </w:p>
        </w:tc>
      </w:tr>
      <w:tr w:rsidR="007904BC" w14:paraId="556C2C4F"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30F63F" w14:textId="77777777" w:rsidR="007904BC" w:rsidRPr="004D3E65" w:rsidRDefault="007904BC" w:rsidP="00E72DF0">
            <w:pPr>
              <w:pStyle w:val="BodyText"/>
              <w:rPr>
                <w:sz w:val="16"/>
                <w:szCs w:val="16"/>
              </w:rPr>
            </w:pPr>
            <w:r w:rsidRPr="004D3E65">
              <w:rPr>
                <w:sz w:val="16"/>
                <w:szCs w:val="16"/>
              </w:rPr>
              <w:t>SRCAE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63B038" w14:textId="5235DAA4" w:rsidR="007904BC" w:rsidRPr="004D3E65" w:rsidRDefault="007904BC" w:rsidP="00E72DF0">
            <w:pPr>
              <w:pStyle w:val="BodyText"/>
              <w:rPr>
                <w:sz w:val="16"/>
                <w:szCs w:val="16"/>
              </w:rPr>
            </w:pPr>
            <w:r w:rsidRPr="004D3E65">
              <w:rPr>
                <w:sz w:val="16"/>
                <w:szCs w:val="16"/>
              </w:rPr>
              <w:t>Schéma régional du climat, de l</w:t>
            </w:r>
            <w:r w:rsidR="00F42170" w:rsidRPr="004D3E65">
              <w:rPr>
                <w:sz w:val="16"/>
                <w:szCs w:val="16"/>
              </w:rPr>
              <w:t>’</w:t>
            </w:r>
            <w:r w:rsidRPr="004D3E65">
              <w:rPr>
                <w:sz w:val="16"/>
                <w:szCs w:val="16"/>
              </w:rPr>
              <w:t>air et de l</w:t>
            </w:r>
            <w:r w:rsidR="00F42170" w:rsidRPr="004D3E65">
              <w:rPr>
                <w:sz w:val="16"/>
                <w:szCs w:val="16"/>
              </w:rPr>
              <w:t>’</w:t>
            </w:r>
            <w:r w:rsidRPr="004D3E65">
              <w:rPr>
                <w:sz w:val="16"/>
                <w:szCs w:val="16"/>
              </w:rPr>
              <w:t>énergie</w:t>
            </w:r>
          </w:p>
        </w:tc>
      </w:tr>
      <w:tr w:rsidR="007904BC" w14:paraId="77A80572"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ECB5FB" w14:textId="77777777" w:rsidR="007904BC" w:rsidRPr="004D3E65" w:rsidRDefault="007904BC" w:rsidP="00E72DF0">
            <w:pPr>
              <w:pStyle w:val="BodyText"/>
              <w:rPr>
                <w:sz w:val="16"/>
                <w:szCs w:val="16"/>
              </w:rPr>
            </w:pPr>
            <w:r w:rsidRPr="004D3E65">
              <w:rPr>
                <w:sz w:val="16"/>
                <w:szCs w:val="16"/>
              </w:rPr>
              <w:t>SRDEII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0E2B82" w14:textId="77777777" w:rsidR="007904BC" w:rsidRPr="004D3E65" w:rsidRDefault="007904BC" w:rsidP="00E72DF0">
            <w:pPr>
              <w:pStyle w:val="BodyText"/>
              <w:rPr>
                <w:sz w:val="16"/>
                <w:szCs w:val="16"/>
              </w:rPr>
            </w:pPr>
            <w:r w:rsidRPr="004D3E65">
              <w:rPr>
                <w:sz w:val="16"/>
                <w:szCs w:val="16"/>
              </w:rPr>
              <w:t>Schéma Régional de Développement Économique, d’Innovation et d’Internationalisation</w:t>
            </w:r>
          </w:p>
        </w:tc>
      </w:tr>
      <w:tr w:rsidR="007904BC" w14:paraId="5653B6B7"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E5E3D9" w14:textId="77777777" w:rsidR="007904BC" w:rsidRPr="004D3E65" w:rsidRDefault="007904BC" w:rsidP="00E72DF0">
            <w:pPr>
              <w:pStyle w:val="BodyText"/>
              <w:rPr>
                <w:sz w:val="16"/>
                <w:szCs w:val="16"/>
              </w:rPr>
            </w:pPr>
            <w:r w:rsidRPr="004D3E65">
              <w:rPr>
                <w:sz w:val="16"/>
                <w:szCs w:val="16"/>
              </w:rPr>
              <w:t>SRDTL</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62B202" w14:textId="77777777" w:rsidR="007904BC" w:rsidRPr="004D3E65" w:rsidRDefault="007904BC" w:rsidP="00E72DF0">
            <w:pPr>
              <w:pStyle w:val="BodyText"/>
              <w:rPr>
                <w:sz w:val="16"/>
                <w:szCs w:val="16"/>
              </w:rPr>
            </w:pPr>
            <w:r w:rsidRPr="004D3E65">
              <w:rPr>
                <w:sz w:val="16"/>
                <w:szCs w:val="16"/>
              </w:rPr>
              <w:t>Schéma Régional de Développement du Tourisme et des Loisirs</w:t>
            </w:r>
          </w:p>
        </w:tc>
      </w:tr>
      <w:tr w:rsidR="007904BC" w14:paraId="426C807A"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9568F7" w14:textId="77777777" w:rsidR="007904BC" w:rsidRPr="004D3E65" w:rsidRDefault="007904BC" w:rsidP="00E72DF0">
            <w:pPr>
              <w:pStyle w:val="BodyText"/>
              <w:rPr>
                <w:sz w:val="16"/>
                <w:szCs w:val="16"/>
              </w:rPr>
            </w:pPr>
            <w:r w:rsidRPr="004D3E65">
              <w:rPr>
                <w:sz w:val="16"/>
                <w:szCs w:val="16"/>
              </w:rPr>
              <w:t>S3</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E8A771" w14:textId="77777777" w:rsidR="007904BC" w:rsidRPr="004D3E65" w:rsidRDefault="007904BC" w:rsidP="00E72DF0">
            <w:pPr>
              <w:pStyle w:val="BodyText"/>
              <w:rPr>
                <w:sz w:val="16"/>
                <w:szCs w:val="16"/>
              </w:rPr>
            </w:pPr>
            <w:r w:rsidRPr="004D3E65">
              <w:rPr>
                <w:sz w:val="16"/>
                <w:szCs w:val="16"/>
              </w:rPr>
              <w:t>Stratégie de spécialisation intelligente</w:t>
            </w:r>
          </w:p>
        </w:tc>
      </w:tr>
    </w:tbl>
    <w:p w14:paraId="050FFE9E" w14:textId="77777777" w:rsidR="00001A7D" w:rsidRDefault="00001A7D">
      <w:pPr>
        <w:rPr>
          <w:rFonts w:asciiTheme="majorHAnsi" w:eastAsiaTheme="majorEastAsia" w:hAnsiTheme="majorHAnsi" w:cstheme="majorBidi"/>
          <w:sz w:val="28"/>
          <w:szCs w:val="32"/>
        </w:rPr>
      </w:pPr>
      <w:bookmarkStart w:id="23" w:name="_Toc46322900"/>
      <w:bookmarkStart w:id="24" w:name="_Toc52499431"/>
      <w:r>
        <w:br w:type="page"/>
      </w:r>
    </w:p>
    <w:p w14:paraId="5AB9CE7D" w14:textId="0B79DA7B" w:rsidR="00FC250F" w:rsidRDefault="00FC250F" w:rsidP="00A3569D">
      <w:pPr>
        <w:pStyle w:val="Heading1"/>
        <w:numPr>
          <w:ilvl w:val="0"/>
          <w:numId w:val="0"/>
        </w:numPr>
        <w:ind w:left="432" w:hanging="432"/>
      </w:pPr>
      <w:bookmarkStart w:id="25" w:name="_Toc93390264"/>
      <w:r>
        <w:t>Résumé exécutif</w:t>
      </w:r>
      <w:bookmarkEnd w:id="25"/>
    </w:p>
    <w:p w14:paraId="34206E27" w14:textId="69A307D3" w:rsidR="00FC250F" w:rsidRDefault="00FC250F" w:rsidP="00FC250F">
      <w:pPr>
        <w:pStyle w:val="BodyText"/>
      </w:pPr>
      <w:r>
        <w:t xml:space="preserve">A compléter </w:t>
      </w:r>
      <w:r w:rsidR="003878A7">
        <w:t>après validation du scénario par la Région</w:t>
      </w:r>
    </w:p>
    <w:p w14:paraId="12AFECB2" w14:textId="77777777" w:rsidR="00FC250F" w:rsidRDefault="00FC250F">
      <w:pPr>
        <w:rPr>
          <w:sz w:val="20"/>
        </w:rPr>
      </w:pPr>
      <w:r>
        <w:br w:type="page"/>
      </w:r>
    </w:p>
    <w:p w14:paraId="64CCF5DE" w14:textId="7C68C77C" w:rsidR="00D22970" w:rsidRDefault="00D22970" w:rsidP="00A3569D">
      <w:pPr>
        <w:pStyle w:val="Heading1"/>
        <w:numPr>
          <w:ilvl w:val="0"/>
          <w:numId w:val="0"/>
        </w:numPr>
        <w:ind w:left="432" w:hanging="432"/>
      </w:pPr>
      <w:bookmarkStart w:id="26" w:name="_Toc93390265"/>
      <w:r>
        <w:t>Introduction</w:t>
      </w:r>
      <w:bookmarkEnd w:id="23"/>
      <w:bookmarkEnd w:id="24"/>
      <w:bookmarkEnd w:id="26"/>
    </w:p>
    <w:p w14:paraId="771E8F49" w14:textId="37B43512" w:rsidR="00320060" w:rsidRPr="007E6BA4" w:rsidRDefault="00D22970" w:rsidP="00D22970">
      <w:pPr>
        <w:pStyle w:val="BodyText"/>
        <w:rPr>
          <w:b/>
        </w:rPr>
      </w:pPr>
      <w:r w:rsidRPr="0059485A">
        <w:t xml:space="preserve">Le présent document est le rapport </w:t>
      </w:r>
      <w:r w:rsidR="00910493">
        <w:t>final</w:t>
      </w:r>
      <w:r w:rsidRPr="0059485A">
        <w:t xml:space="preserve"> de </w:t>
      </w:r>
      <w:r w:rsidR="00320060">
        <w:t xml:space="preserve">de l’évaluation </w:t>
      </w:r>
      <w:r w:rsidR="00320060" w:rsidRPr="00B03472">
        <w:rPr>
          <w:i/>
        </w:rPr>
        <w:t>ex-ante</w:t>
      </w:r>
      <w:r w:rsidR="00320060">
        <w:t xml:space="preserve"> des instruments financiers du Programme Opérationnel FEDER-FSE+ de la Région Hauts-de-France pour la période 2021-2027, s’attachant spécifiquement au </w:t>
      </w:r>
      <w:r w:rsidR="00320060" w:rsidRPr="007E6BA4">
        <w:rPr>
          <w:b/>
        </w:rPr>
        <w:t xml:space="preserve">Volet transition énergétique et écologique des territoires. </w:t>
      </w:r>
    </w:p>
    <w:p w14:paraId="193AD55F" w14:textId="28379367" w:rsidR="00D22970" w:rsidRDefault="00D22970" w:rsidP="00D22970">
      <w:pPr>
        <w:pStyle w:val="BodyText"/>
      </w:pPr>
      <w:r w:rsidRPr="0059485A">
        <w:t xml:space="preserve">L’évaluation </w:t>
      </w:r>
      <w:r w:rsidRPr="005D2C43">
        <w:rPr>
          <w:i/>
        </w:rPr>
        <w:t>ex-ante</w:t>
      </w:r>
      <w:r w:rsidRPr="0059485A">
        <w:t xml:space="preserve"> d</w:t>
      </w:r>
      <w:r>
        <w:t>es instruments financiers sollicitant un cofinancement des FESI est une obligation préalable à leur programmation par les autorités de gestion.</w:t>
      </w:r>
    </w:p>
    <w:p w14:paraId="01185962" w14:textId="3456D47D" w:rsidR="00D22970" w:rsidRPr="008F7814" w:rsidRDefault="00D22970" w:rsidP="00D22970">
      <w:pPr>
        <w:pStyle w:val="BodyText"/>
      </w:pPr>
      <w:r w:rsidRPr="00F42170">
        <w:rPr>
          <w:b/>
        </w:rPr>
        <w:t xml:space="preserve">La présente étude vise à </w:t>
      </w:r>
      <w:r>
        <w:rPr>
          <w:b/>
        </w:rPr>
        <w:t xml:space="preserve">définir la stratégie d’ingénierie financière qui sera conduite par la Région </w:t>
      </w:r>
      <w:r w:rsidR="00ED7A0F">
        <w:rPr>
          <w:b/>
        </w:rPr>
        <w:t>Hauts-de-France</w:t>
      </w:r>
      <w:r>
        <w:rPr>
          <w:b/>
        </w:rPr>
        <w:t xml:space="preserve"> sur la période 2021-2027 en tenant compte des priorités politiques nouvelles, des spécificités du territoire</w:t>
      </w:r>
      <w:r w:rsidRPr="00F42170">
        <w:rPr>
          <w:b/>
        </w:rPr>
        <w:t xml:space="preserve"> </w:t>
      </w:r>
      <w:r>
        <w:rPr>
          <w:b/>
        </w:rPr>
        <w:t xml:space="preserve">et des possibilités ouvertes par les nouveaux PO. </w:t>
      </w:r>
      <w:r w:rsidR="00E549F0">
        <w:rPr>
          <w:bCs/>
        </w:rPr>
        <w:t xml:space="preserve">Elle est complémentaire </w:t>
      </w:r>
      <w:r w:rsidR="00FB0B92">
        <w:rPr>
          <w:bCs/>
        </w:rPr>
        <w:t>de l’évaluation ex-ante des instruments financiers du Programme Opérationnel FEDER-FS</w:t>
      </w:r>
      <w:r w:rsidR="00394BB6">
        <w:rPr>
          <w:bCs/>
        </w:rPr>
        <w:t xml:space="preserve">E+ de la Région Hauts-de-France pour la période 2021-2027 s’attachant spécifiquement au </w:t>
      </w:r>
      <w:r w:rsidR="00394BB6" w:rsidRPr="004649EE">
        <w:rPr>
          <w:b/>
        </w:rPr>
        <w:t>Volet soutien aux Entreprises</w:t>
      </w:r>
      <w:r w:rsidR="008F7814">
        <w:rPr>
          <w:b/>
        </w:rPr>
        <w:t xml:space="preserve">, </w:t>
      </w:r>
      <w:r w:rsidR="008F7814">
        <w:rPr>
          <w:bCs/>
        </w:rPr>
        <w:t>ayant étudié les problématique</w:t>
      </w:r>
      <w:r w:rsidR="001F4CC4">
        <w:rPr>
          <w:bCs/>
        </w:rPr>
        <w:t>s</w:t>
      </w:r>
      <w:r w:rsidR="008F7814">
        <w:rPr>
          <w:bCs/>
        </w:rPr>
        <w:t xml:space="preserve"> de Transition écologique portée</w:t>
      </w:r>
      <w:r w:rsidR="00345933">
        <w:rPr>
          <w:bCs/>
        </w:rPr>
        <w:t>s</w:t>
      </w:r>
      <w:r w:rsidR="008F7814">
        <w:rPr>
          <w:bCs/>
        </w:rPr>
        <w:t xml:space="preserve"> par les entreprises.</w:t>
      </w:r>
    </w:p>
    <w:p w14:paraId="1E29BD1A" w14:textId="4245ECD6" w:rsidR="00D22970" w:rsidRDefault="00D22970" w:rsidP="00D22970">
      <w:pPr>
        <w:pStyle w:val="BodyText"/>
      </w:pPr>
      <w:r w:rsidRPr="0059485A">
        <w:t xml:space="preserve">Elle permet donc non seulement de remplir la condition </w:t>
      </w:r>
      <w:r w:rsidRPr="00701227">
        <w:rPr>
          <w:i/>
        </w:rPr>
        <w:t>ex-ante</w:t>
      </w:r>
      <w:r w:rsidRPr="0059485A">
        <w:t xml:space="preserve"> de mobilisation des instrument</w:t>
      </w:r>
      <w:r>
        <w:t xml:space="preserve">s financiers dans la programmation européenne, mais aussi d’étayer les conditions d’une mobilisation efficiente et performante des programmes (FEDER, FSE) dont la Région est Autorité de Gestion en totalité ou en partie, en fléchant la part réservée à l’ingénierie financière sur des outils précis et en décrivant le fonctionnement attendu de ces outils. </w:t>
      </w:r>
      <w:r w:rsidR="004660AD">
        <w:t xml:space="preserve">La question de la mobilisation d’autres ressources (France Relance, FTJ) </w:t>
      </w:r>
      <w:r w:rsidR="000B1092">
        <w:t xml:space="preserve">a  </w:t>
      </w:r>
      <w:r w:rsidR="004660AD">
        <w:t xml:space="preserve">également </w:t>
      </w:r>
      <w:r w:rsidR="000B1092">
        <w:t>été</w:t>
      </w:r>
      <w:r w:rsidR="004660AD">
        <w:t xml:space="preserve"> envisagée au cours des phases de construction de la stratégie régionale.</w:t>
      </w:r>
    </w:p>
    <w:p w14:paraId="68D69AC0" w14:textId="77777777" w:rsidR="00D22970" w:rsidRDefault="00D22970" w:rsidP="00D22970">
      <w:pPr>
        <w:pStyle w:val="BodyText"/>
      </w:pPr>
      <w:r w:rsidRPr="0059485A">
        <w:t xml:space="preserve">Dans ce contexte, la Région, en tant qu’Autorité de Gestion du PO envisage d’utiliser </w:t>
      </w:r>
      <w:r>
        <w:rPr>
          <w:b/>
        </w:rPr>
        <w:t>plus largement les FESI sous forme d’instruments financiers</w:t>
      </w:r>
      <w:r>
        <w:t xml:space="preserve"> tant pour le financement des entreprises (création/reprise, croissance tant pour l’innovation, la compétitivité des entreprises incluant la digitalisation des entreprises</w:t>
      </w:r>
      <w:r>
        <w:rPr>
          <w:rStyle w:val="FootnoteReference"/>
        </w:rPr>
        <w:footnoteReference w:id="2"/>
      </w:r>
      <w:r>
        <w:t xml:space="preserve">) que pour le financement de la transition énergétique. </w:t>
      </w:r>
    </w:p>
    <w:p w14:paraId="0BFBADB1" w14:textId="4034F70B" w:rsidR="00D22970" w:rsidRDefault="00D22970" w:rsidP="00D22970">
      <w:pPr>
        <w:pStyle w:val="BodyText"/>
      </w:pPr>
      <w:r w:rsidRPr="0059485A">
        <w:t>Les objectifs de ce document sont multiples</w:t>
      </w:r>
      <w:r w:rsidR="005117E0">
        <w:t> :</w:t>
      </w:r>
    </w:p>
    <w:p w14:paraId="51430F08" w14:textId="286440E3" w:rsidR="00D22970" w:rsidRPr="0059485A" w:rsidRDefault="00D22970" w:rsidP="00AD4EAC">
      <w:pPr>
        <w:pStyle w:val="Bullet1"/>
        <w:numPr>
          <w:ilvl w:val="0"/>
          <w:numId w:val="2"/>
        </w:numPr>
      </w:pPr>
      <w:r w:rsidRPr="0059485A">
        <w:rPr>
          <w:b/>
        </w:rPr>
        <w:t>La mise à jour de l’offre de financement</w:t>
      </w:r>
      <w:r w:rsidRPr="0059485A">
        <w:t xml:space="preserve"> sur le territoire de </w:t>
      </w:r>
      <w:r w:rsidR="002E077D">
        <w:t xml:space="preserve">la région </w:t>
      </w:r>
      <w:r w:rsidR="00A67D58">
        <w:t>Hauts-de-France</w:t>
      </w:r>
      <w:r w:rsidRPr="0059485A">
        <w:t>. Ainsi, il reprend les éléments de présentation des outils sur le territoire ainsi que compilés et analysés lors de des études conduites en 2014</w:t>
      </w:r>
      <w:r w:rsidR="00F16344">
        <w:t xml:space="preserve"> et 2017</w:t>
      </w:r>
      <w:r w:rsidRPr="0059485A">
        <w:t>, et cependant intègre les données les plus récentes sur l’activité des outils.</w:t>
      </w:r>
    </w:p>
    <w:p w14:paraId="14A4746F" w14:textId="0EB7817C" w:rsidR="00D22970" w:rsidRPr="0059485A" w:rsidRDefault="00D22970" w:rsidP="00AD4EAC">
      <w:pPr>
        <w:pStyle w:val="Bullet1"/>
        <w:numPr>
          <w:ilvl w:val="0"/>
          <w:numId w:val="2"/>
        </w:numPr>
      </w:pPr>
      <w:r w:rsidRPr="0059485A">
        <w:rPr>
          <w:b/>
        </w:rPr>
        <w:t>La quantification des besoins de court et moyen terme</w:t>
      </w:r>
      <w:r w:rsidRPr="0059485A">
        <w:t xml:space="preserve"> en lien avec la crise économique générée par le COVID-19, ainsi que de </w:t>
      </w:r>
      <w:r w:rsidRPr="0059485A">
        <w:rPr>
          <w:b/>
        </w:rPr>
        <w:t>moyen et long terme</w:t>
      </w:r>
      <w:r w:rsidRPr="0059485A">
        <w:t xml:space="preserve"> en lien avec les stratégies régionales et </w:t>
      </w:r>
      <w:r w:rsidR="007375EC">
        <w:t>le</w:t>
      </w:r>
      <w:r w:rsidR="007375EC" w:rsidRPr="0059485A">
        <w:t xml:space="preserve"> </w:t>
      </w:r>
      <w:r w:rsidRPr="0059485A">
        <w:t xml:space="preserve">Programme Opérationnel en cours d’écriture. </w:t>
      </w:r>
    </w:p>
    <w:p w14:paraId="04138797" w14:textId="77777777" w:rsidR="00D22970" w:rsidRPr="0059485A" w:rsidRDefault="00D22970" w:rsidP="00AD4EAC">
      <w:pPr>
        <w:pStyle w:val="Bullet1"/>
        <w:numPr>
          <w:ilvl w:val="0"/>
          <w:numId w:val="2"/>
        </w:numPr>
      </w:pPr>
      <w:r w:rsidRPr="0059485A">
        <w:rPr>
          <w:b/>
        </w:rPr>
        <w:t>La mise à jour des défaillances de marché ou situations sous optimales</w:t>
      </w:r>
      <w:r w:rsidRPr="0059485A">
        <w:t xml:space="preserve"> à date et anticipées sur la période de programmation des FESI, à savoir 2021-2027. </w:t>
      </w:r>
    </w:p>
    <w:p w14:paraId="7C456758" w14:textId="77777777" w:rsidR="00D22970" w:rsidRPr="00813515" w:rsidRDefault="00D22970" w:rsidP="00AD4EAC">
      <w:pPr>
        <w:pStyle w:val="Bullet1"/>
        <w:numPr>
          <w:ilvl w:val="0"/>
          <w:numId w:val="2"/>
        </w:numPr>
      </w:pPr>
      <w:r w:rsidRPr="0059485A">
        <w:rPr>
          <w:b/>
        </w:rPr>
        <w:t>La définition de nouvelles pistes d’investissements de la Région</w:t>
      </w:r>
      <w:r w:rsidRPr="0059485A">
        <w:t>. Ces pistes sont hiérarchisées au regard de leur valeur ajoutée et effet de levier, de leur capacité à répondre aux objectifs du PO et des moyens nécessaires à leur mise en œuvre ; elles incluent un cadrage juridique des interventions au regard de la règlementation des FESI et des aides d’État.</w:t>
      </w:r>
    </w:p>
    <w:p w14:paraId="0C5FC459" w14:textId="63E5B4DD" w:rsidR="0066166D" w:rsidRDefault="0066166D" w:rsidP="0066166D">
      <w:pPr>
        <w:pStyle w:val="BodyText0"/>
      </w:pPr>
      <w:r>
        <w:t xml:space="preserve">Pour rappel, le champ de l’étude concerne les thématiques identifiées dans les programmes opérationnels régionaux pour lesquelles est ouverte la possibilité de financement sous la forme d’instruments financiers à destination des </w:t>
      </w:r>
      <w:r w:rsidR="000B1092">
        <w:t>porteurs de projets territoriaux</w:t>
      </w:r>
      <w:r>
        <w:t>. La phase de cadrage de l’étude en a précisé les périmètres et nous avons conduit des investigations différenciées en fonction des enjeux énoncés par la Région. Les thématiques couvertes par l’étude sont donc les suivantes :</w:t>
      </w:r>
    </w:p>
    <w:p w14:paraId="325A85A7" w14:textId="6616A683" w:rsidR="0066166D" w:rsidRDefault="00737E5C" w:rsidP="0066166D">
      <w:pPr>
        <w:pStyle w:val="Bullet1"/>
        <w:tabs>
          <w:tab w:val="clear" w:pos="643"/>
        </w:tabs>
      </w:pPr>
      <w:r>
        <w:t>Energies renouvelables</w:t>
      </w:r>
    </w:p>
    <w:p w14:paraId="0595EF34" w14:textId="13E8F534" w:rsidR="00737E5C" w:rsidRDefault="00737E5C" w:rsidP="0066166D">
      <w:pPr>
        <w:pStyle w:val="Bullet1"/>
        <w:tabs>
          <w:tab w:val="clear" w:pos="643"/>
        </w:tabs>
      </w:pPr>
      <w:r>
        <w:t>Rénovation énergétique des bâtiments</w:t>
      </w:r>
    </w:p>
    <w:p w14:paraId="68F84910" w14:textId="220DE353" w:rsidR="00737E5C" w:rsidRDefault="00737E5C" w:rsidP="0066166D">
      <w:pPr>
        <w:pStyle w:val="Bullet1"/>
        <w:tabs>
          <w:tab w:val="clear" w:pos="643"/>
        </w:tabs>
      </w:pPr>
      <w:r>
        <w:t>Recyclage foncier</w:t>
      </w:r>
    </w:p>
    <w:p w14:paraId="045B7368" w14:textId="4BAACA0C" w:rsidR="004B3413" w:rsidRPr="0084736E" w:rsidRDefault="00D22970" w:rsidP="00E72DF0">
      <w:pPr>
        <w:pStyle w:val="BodyText"/>
      </w:pPr>
      <w:r>
        <w:t xml:space="preserve">Nous avons conduit </w:t>
      </w:r>
      <w:r w:rsidR="009A4013">
        <w:t>3</w:t>
      </w:r>
      <w:r w:rsidR="00D21C2C">
        <w:t>5</w:t>
      </w:r>
      <w:r>
        <w:t xml:space="preserve"> entretiens sur </w:t>
      </w:r>
      <w:r w:rsidR="00B02C46">
        <w:t>5</w:t>
      </w:r>
      <w:r w:rsidR="00A53086">
        <w:t>5</w:t>
      </w:r>
      <w:r w:rsidR="00F94DD3">
        <w:t xml:space="preserve"> </w:t>
      </w:r>
      <w:r>
        <w:t xml:space="preserve">sollicitations de l’écosystème de l’offre et la demande de financement en </w:t>
      </w:r>
      <w:r w:rsidR="00F94DD3">
        <w:t xml:space="preserve">Région </w:t>
      </w:r>
      <w:r w:rsidR="003E2745">
        <w:t>Hauts-de-France</w:t>
      </w:r>
      <w:r>
        <w:t xml:space="preserve">, qui nous ont permis d’objectiver et préciser les carences de marché et pistes d’intervention régionale. </w:t>
      </w:r>
      <w:r w:rsidR="009A4013">
        <w:t>Nous avons par ailleurs conduit deux ateliers thématiques spécifiques avec les acteurs de l’écosystème afin de valider les diagnostics et les pistes d’intervention régionale à poursuivre (énergies renouvelables, efficacité énergétique dans le bâti)</w:t>
      </w:r>
      <w:r w:rsidR="000B1092">
        <w:rPr>
          <w:rStyle w:val="FootnoteReference"/>
        </w:rPr>
        <w:footnoteReference w:id="3"/>
      </w:r>
      <w:r w:rsidR="009524D4">
        <w:t xml:space="preserve"> ainsi qu’un travail de benchmark </w:t>
      </w:r>
      <w:r w:rsidR="009C5B0C">
        <w:t>autour de trois instruments français et européens.</w:t>
      </w:r>
    </w:p>
    <w:p w14:paraId="436705B1" w14:textId="7215F9BC" w:rsidR="00D22970" w:rsidRDefault="00D22970" w:rsidP="00E72DF0">
      <w:pPr>
        <w:pStyle w:val="BodyText"/>
      </w:pPr>
      <w:r>
        <w:t xml:space="preserve">Ce </w:t>
      </w:r>
      <w:r w:rsidR="00362225">
        <w:t xml:space="preserve">présent </w:t>
      </w:r>
      <w:r w:rsidR="00901695">
        <w:t xml:space="preserve">rapport </w:t>
      </w:r>
      <w:r w:rsidR="00A35797">
        <w:t xml:space="preserve">final </w:t>
      </w:r>
      <w:r w:rsidR="00901695">
        <w:t>est</w:t>
      </w:r>
      <w:r>
        <w:t xml:space="preserve"> structuré en quatre grands chapitres, </w:t>
      </w:r>
      <w:r w:rsidR="007614D3">
        <w:t xml:space="preserve">traitant </w:t>
      </w:r>
      <w:r>
        <w:t>chacun l’ensemble des thématiques</w:t>
      </w:r>
      <w:r w:rsidR="007B3E8C">
        <w:t xml:space="preserve"> étudiées</w:t>
      </w:r>
      <w:r>
        <w:t xml:space="preserve"> :</w:t>
      </w:r>
      <w:r w:rsidRPr="001F42C4">
        <w:t xml:space="preserve"> </w:t>
      </w:r>
    </w:p>
    <w:p w14:paraId="625237E2" w14:textId="75A5F3CD" w:rsidR="00D22970" w:rsidRDefault="00D22970" w:rsidP="00AD4EAC">
      <w:pPr>
        <w:pStyle w:val="Bullet1"/>
        <w:numPr>
          <w:ilvl w:val="0"/>
          <w:numId w:val="2"/>
        </w:numPr>
      </w:pPr>
      <w:r>
        <w:t>Un premier chapitre présentant l’offre de financement et le bilan des outils soutenus par la Région (Chapitre 1)</w:t>
      </w:r>
      <w:r w:rsidR="0065024E">
        <w:t> ;</w:t>
      </w:r>
    </w:p>
    <w:p w14:paraId="0736B81D" w14:textId="3C2DB6FC" w:rsidR="00D22970" w:rsidRDefault="00D22970" w:rsidP="00AD4EAC">
      <w:pPr>
        <w:pStyle w:val="Bullet1"/>
        <w:numPr>
          <w:ilvl w:val="0"/>
          <w:numId w:val="2"/>
        </w:numPr>
      </w:pPr>
      <w:r>
        <w:t xml:space="preserve">Un chapitre analysant les besoins en financement au </w:t>
      </w:r>
      <w:r w:rsidR="00B60306">
        <w:t>regard des atouts du territoire</w:t>
      </w:r>
      <w:r>
        <w:t xml:space="preserve"> et de ses stratégies régionales et identifiant les défaillances de marché et/ou situations de financement sous optimales (Chapitre 2)</w:t>
      </w:r>
      <w:r w:rsidR="0065024E">
        <w:t> ;</w:t>
      </w:r>
    </w:p>
    <w:p w14:paraId="5941F04C" w14:textId="79B01B8E" w:rsidR="00D22970" w:rsidRPr="0059485A" w:rsidRDefault="00D22970" w:rsidP="00AD4EAC">
      <w:pPr>
        <w:pStyle w:val="Bullet1"/>
        <w:numPr>
          <w:ilvl w:val="0"/>
          <w:numId w:val="2"/>
        </w:numPr>
      </w:pPr>
      <w:r>
        <w:t>Un chapitre de synthèse de l’ensemble des défaillances de marché ou situations de financement sous optimales (Chapitre 3)</w:t>
      </w:r>
      <w:r w:rsidR="0065024E">
        <w:t> ;</w:t>
      </w:r>
    </w:p>
    <w:p w14:paraId="51AC838D" w14:textId="78819102" w:rsidR="00D22970" w:rsidRPr="0059485A" w:rsidRDefault="00D22970" w:rsidP="00AD4EAC">
      <w:pPr>
        <w:pStyle w:val="Bullet1"/>
        <w:numPr>
          <w:ilvl w:val="0"/>
          <w:numId w:val="2"/>
        </w:numPr>
      </w:pPr>
      <w:r>
        <w:t xml:space="preserve">Un dernier chapitre présentant les </w:t>
      </w:r>
      <w:r w:rsidR="00A35797">
        <w:t>possibilités d’intervention</w:t>
      </w:r>
      <w:r>
        <w:t xml:space="preserve"> de la Région </w:t>
      </w:r>
      <w:r w:rsidR="00A35797">
        <w:t xml:space="preserve">en instruments financiers </w:t>
      </w:r>
      <w:r>
        <w:t>pour la programmation des FESI sur 2021-2027 (Chapitre 4)</w:t>
      </w:r>
      <w:r w:rsidR="0065024E">
        <w:t>.</w:t>
      </w:r>
    </w:p>
    <w:p w14:paraId="7428D454" w14:textId="2D0747FA" w:rsidR="00D22970" w:rsidRDefault="00D22970" w:rsidP="00E72DF0">
      <w:pPr>
        <w:pStyle w:val="BodyText"/>
      </w:pPr>
      <w:r>
        <w:t xml:space="preserve">Les annexes </w:t>
      </w:r>
      <w:r w:rsidR="000C67B6">
        <w:t>incluent</w:t>
      </w:r>
      <w:r>
        <w:t xml:space="preserve"> </w:t>
      </w:r>
      <w:r w:rsidR="009D0013">
        <w:t xml:space="preserve">une liste </w:t>
      </w:r>
      <w:r>
        <w:t xml:space="preserve">des </w:t>
      </w:r>
      <w:r w:rsidR="009D0013">
        <w:t>interlocuteurs interrogés en phase</w:t>
      </w:r>
      <w:r>
        <w:t xml:space="preserve"> de </w:t>
      </w:r>
      <w:r w:rsidR="009D0013">
        <w:t>diagnostic</w:t>
      </w:r>
      <w:r>
        <w:t xml:space="preserve"> </w:t>
      </w:r>
      <w:r w:rsidR="000C67B6">
        <w:t xml:space="preserve">ainsi que </w:t>
      </w:r>
      <w:r>
        <w:t xml:space="preserve">les </w:t>
      </w:r>
      <w:r w:rsidR="00AB61B8">
        <w:t xml:space="preserve">benchmarks approfondis et les </w:t>
      </w:r>
      <w:r>
        <w:t>fiches descriptives des outils soutenus par la Région</w:t>
      </w:r>
      <w:r w:rsidR="00AB61B8">
        <w:t xml:space="preserve">. </w:t>
      </w:r>
    </w:p>
    <w:p w14:paraId="48BDE87E" w14:textId="1DA4DF8E" w:rsidR="00E96D04" w:rsidRDefault="00AB61B8" w:rsidP="00881C53">
      <w:pPr>
        <w:pStyle w:val="BodyText"/>
      </w:pPr>
      <w:r>
        <w:t>Un second document présente les outils pour lesquels sont ouvertes la possibilité d’intervention régionale via des FESI pour la programmation 2021-2027</w:t>
      </w:r>
      <w:r w:rsidR="00AC67E8">
        <w:t xml:space="preserve"> sur la volet « Projets de Territoires</w:t>
      </w:r>
      <w:r w:rsidR="00881C53">
        <w:t>.</w:t>
      </w:r>
    </w:p>
    <w:p w14:paraId="1B816D9C" w14:textId="152067B9" w:rsidR="00881C53" w:rsidRDefault="00881C53" w:rsidP="00DD3EE3">
      <w:pPr>
        <w:pStyle w:val="Caption"/>
      </w:pPr>
      <w:r>
        <w:t xml:space="preserve">Encadré </w:t>
      </w:r>
      <w:r>
        <w:fldChar w:fldCharType="begin"/>
      </w:r>
      <w:r>
        <w:instrText xml:space="preserve"> SEQ Encadré \* ARABIC </w:instrText>
      </w:r>
      <w:r>
        <w:fldChar w:fldCharType="separate"/>
      </w:r>
      <w:r w:rsidR="009F0282">
        <w:rPr>
          <w:noProof/>
        </w:rPr>
        <w:t>1</w:t>
      </w:r>
      <w:r>
        <w:fldChar w:fldCharType="end"/>
      </w:r>
      <w:r>
        <w:t xml:space="preserve"> </w:t>
      </w:r>
      <w:proofErr w:type="spellStart"/>
      <w:r w:rsidRPr="00B82CEB">
        <w:t>Elements</w:t>
      </w:r>
      <w:proofErr w:type="spellEnd"/>
      <w:r w:rsidRPr="00B82CEB">
        <w:t xml:space="preserve"> de contexte sur le Fonds pour la transition juste (FTJ)</w:t>
      </w:r>
    </w:p>
    <w:tbl>
      <w:tblPr>
        <w:tblStyle w:val="TechnopolisTable"/>
        <w:tblW w:w="0" w:type="auto"/>
        <w:tblLook w:val="0480" w:firstRow="0" w:lastRow="0" w:firstColumn="1" w:lastColumn="0" w:noHBand="0" w:noVBand="1"/>
      </w:tblPr>
      <w:tblGrid>
        <w:gridCol w:w="9062"/>
      </w:tblGrid>
      <w:tr w:rsidR="00E96D04" w14:paraId="4D6FF12C" w14:textId="77777777" w:rsidTr="003667DD">
        <w:trPr>
          <w:cnfStyle w:val="000000100000" w:firstRow="0" w:lastRow="0" w:firstColumn="0" w:lastColumn="0" w:oddVBand="0" w:evenVBand="0" w:oddHBand="1" w:evenHBand="0" w:firstRowFirstColumn="0" w:firstRowLastColumn="0" w:lastRowFirstColumn="0" w:lastRowLastColumn="0"/>
        </w:trPr>
        <w:tc>
          <w:tcPr>
            <w:tcW w:w="9062" w:type="dxa"/>
          </w:tcPr>
          <w:p w14:paraId="4A85D4E8" w14:textId="032063EF" w:rsidR="00E96D04" w:rsidRDefault="003667DD" w:rsidP="003667DD">
            <w:pPr>
              <w:pStyle w:val="Tabletext"/>
            </w:pPr>
            <w:r>
              <w:t xml:space="preserve">En sus des FESI, </w:t>
            </w:r>
            <w:r w:rsidR="002947AB">
              <w:t xml:space="preserve">un nouveau dispositif européen concerne les thématiques de la présente évaluation. </w:t>
            </w:r>
            <w:r w:rsidR="00E96D04">
              <w:t xml:space="preserve">En janvier 2020, la Commission a présenté le </w:t>
            </w:r>
            <w:r w:rsidR="00E96D04" w:rsidRPr="00E138E3">
              <w:rPr>
                <w:b/>
                <w:bCs/>
              </w:rPr>
              <w:t>Mécanisme pour une transition juste (JTM</w:t>
            </w:r>
            <w:r w:rsidR="00E96D04" w:rsidRPr="00814676">
              <w:t xml:space="preserve">) </w:t>
            </w:r>
            <w:r w:rsidR="00E96D04">
              <w:t xml:space="preserve">qui a pour objectif </w:t>
            </w:r>
            <w:r w:rsidR="00E96D04" w:rsidRPr="00814676">
              <w:t xml:space="preserve">d’investir dans la restructuration des économies régionales pour atténuer les impacts sociaux et soutenir la transition verte. Le but est de traiter les conséquences sociales et économiques de la transition vers la neutralité pour les territoires les plus touchés y compris la reconversion et l’inclusion active de leurs travailleurs et des demandeurs d’emploi.  </w:t>
            </w:r>
          </w:p>
          <w:p w14:paraId="0B459BAE" w14:textId="77777777" w:rsidR="00E96D04" w:rsidRDefault="00E96D04" w:rsidP="003667DD">
            <w:pPr>
              <w:pStyle w:val="Tabletext"/>
            </w:pPr>
            <w:r>
              <w:t>Ce dispositif est composé de 3 piliers</w:t>
            </w:r>
            <w:r>
              <w:rPr>
                <w:rFonts w:ascii="Arial" w:hAnsi="Arial" w:cs="Arial"/>
              </w:rPr>
              <w:t> </w:t>
            </w:r>
            <w:r>
              <w:t xml:space="preserve">: </w:t>
            </w:r>
          </w:p>
          <w:p w14:paraId="08721C0F" w14:textId="77777777" w:rsidR="00E96D04" w:rsidRDefault="00E96D04" w:rsidP="003667DD">
            <w:pPr>
              <w:pStyle w:val="Tablebullet1"/>
            </w:pPr>
            <w:r w:rsidRPr="00E138E3">
              <w:rPr>
                <w:b/>
                <w:bCs/>
              </w:rPr>
              <w:t>Le fonds pour la transition juste (FTJ),</w:t>
            </w:r>
            <w:r>
              <w:t xml:space="preserve"> nouveau fonds en gestion partagée qui s’intègrera dans la politique de cohésion 2021-2027. Il a pour objectif d’atténuer les effets négatifs de la transition en soutenant les territoires et les travailleurs les plus touchés, en finançant la diversification économique locale et la reconversion des travailleurs. </w:t>
            </w:r>
          </w:p>
          <w:p w14:paraId="1CAB279E" w14:textId="77777777" w:rsidR="00E96D04" w:rsidRDefault="00E96D04" w:rsidP="003667DD">
            <w:pPr>
              <w:pStyle w:val="Tablebullet1"/>
            </w:pPr>
            <w:r>
              <w:t xml:space="preserve">Un </w:t>
            </w:r>
            <w:r w:rsidRPr="00BA0E10">
              <w:rPr>
                <w:b/>
              </w:rPr>
              <w:t>dispositif spécifique dans le cadre d’</w:t>
            </w:r>
            <w:proofErr w:type="spellStart"/>
            <w:r w:rsidRPr="00BA0E10">
              <w:rPr>
                <w:b/>
              </w:rPr>
              <w:t>InvestEU</w:t>
            </w:r>
            <w:proofErr w:type="spellEnd"/>
            <w:r>
              <w:t xml:space="preserve"> (dispositif de prêts garantis par le budget de l’Union), qui couvrira des projets relatifs aux infrastructures d’énergie et de transport (dont infrastructures gazières et chauffage urbain) ainsi que des projets de décarbonation. </w:t>
            </w:r>
          </w:p>
          <w:p w14:paraId="6D1BACC4" w14:textId="77777777" w:rsidR="00E96D04" w:rsidRDefault="00E96D04" w:rsidP="003667DD">
            <w:pPr>
              <w:pStyle w:val="Tablebullet1"/>
            </w:pPr>
            <w:r>
              <w:t xml:space="preserve">Une </w:t>
            </w:r>
            <w:r w:rsidRPr="00153DAD">
              <w:rPr>
                <w:b/>
              </w:rPr>
              <w:t>facilité de prêt</w:t>
            </w:r>
            <w:r>
              <w:t xml:space="preserve"> au secteur public via la Banque européenne d’investissement (BEI), pour des projets relatifs aussi aux infrastructures d’énergie et de transport, aux réseaux de chauffage urbain et aux mesures d’efficacité énergétique (dont la rénovation des bâtiments).</w:t>
            </w:r>
          </w:p>
          <w:p w14:paraId="59BFC946" w14:textId="77777777" w:rsidR="00E96D04" w:rsidRPr="00E92F3F" w:rsidRDefault="00E96D04" w:rsidP="003667DD">
            <w:pPr>
              <w:pStyle w:val="Tabletext"/>
              <w:rPr>
                <w:rFonts w:ascii="Times New Roman" w:hAnsi="Times New Roman"/>
                <w:sz w:val="24"/>
                <w:lang w:eastAsia="fr-FR"/>
              </w:rPr>
            </w:pPr>
            <w:r>
              <w:rPr>
                <w:lang w:eastAsia="fr-FR"/>
              </w:rPr>
              <w:t>L’</w:t>
            </w:r>
            <w:r w:rsidRPr="00ED07D2">
              <w:rPr>
                <w:lang w:eastAsia="fr-FR"/>
              </w:rPr>
              <w:t xml:space="preserve">objectif du FTJ est « d’atténuer l’impact de la transition en finançant la diversification et la </w:t>
            </w:r>
            <w:r w:rsidRPr="00E92F3F">
              <w:rPr>
                <w:lang w:eastAsia="fr-FR"/>
              </w:rPr>
              <w:t>modernisation de l’économie locale et en atténuant les répercussions négatives sur l’emploi ». Le fond servira principalement à fournir des subventions pour les programmes soutenus également par le FEDER et le FSE+ ou le Fonds de cohésion, soit dans un programme spécifique du FTJ, sur la base des plans territoriaux de transition juste.  </w:t>
            </w:r>
          </w:p>
          <w:p w14:paraId="2D9955D4" w14:textId="77777777" w:rsidR="00E96D04" w:rsidRPr="00E92F3F" w:rsidRDefault="00E96D04" w:rsidP="003667DD">
            <w:pPr>
              <w:pStyle w:val="Tabletext"/>
            </w:pPr>
            <w:r w:rsidRPr="00E92F3F">
              <w:t xml:space="preserve">Dans le cadre du Green Deal Européen, les montants alloués aux FTJ ont été augmenté et atteint désormais </w:t>
            </w:r>
            <w:r>
              <w:rPr>
                <w:b/>
                <w:bCs/>
              </w:rPr>
              <w:t>1</w:t>
            </w:r>
            <w:r w:rsidRPr="00E92F3F">
              <w:rPr>
                <w:b/>
                <w:bCs/>
              </w:rPr>
              <w:t>,</w:t>
            </w:r>
            <w:r>
              <w:rPr>
                <w:b/>
                <w:bCs/>
              </w:rPr>
              <w:t>03</w:t>
            </w:r>
            <w:r w:rsidRPr="00E92F3F">
              <w:rPr>
                <w:b/>
                <w:bCs/>
              </w:rPr>
              <w:t xml:space="preserve"> Md€ pour la France</w:t>
            </w:r>
            <w:r w:rsidRPr="00E92F3F">
              <w:t xml:space="preserve">. La Commission souhaite toujours concentrer les ressources du FTJ sur un nombre limité de territoires. Ainsi en France, deux départements ont été sélectionnés par la Commission : Les Bouches du Rhône et </w:t>
            </w:r>
            <w:r w:rsidRPr="00E92F3F">
              <w:rPr>
                <w:b/>
                <w:bCs/>
              </w:rPr>
              <w:t>le Nord.</w:t>
            </w:r>
            <w:r w:rsidRPr="00E92F3F">
              <w:t xml:space="preserve"> La France a demandé un élargissement des critères de sélection qui pourrait bénéficier à de nouveaux départements dont le Pas-de-Calais. Les projets éligibles devront pouvoir démontrer leur contribution à la réduction des émissions de CO2 du territoire ciblé par le plan de transition juste.</w:t>
            </w:r>
            <w:r>
              <w:t xml:space="preserve"> </w:t>
            </w:r>
            <w:r w:rsidRPr="00E92F3F">
              <w:t>Le projet de règlement prévoit un axe d’intervention concernant la désindustrialisation avec le soutien aux investissements dans la réhabilitation et la décontamination de sites</w:t>
            </w:r>
            <w:r w:rsidRPr="00E92F3F">
              <w:rPr>
                <w:rFonts w:ascii="Arial" w:hAnsi="Arial" w:cs="Arial"/>
              </w:rPr>
              <w:t> </w:t>
            </w:r>
            <w:r w:rsidRPr="00E92F3F">
              <w:t>; projets d’assainissement et de réaffectation de terrains. Les projets de réhabilitation de friches du département du Nord devraient pouvoir bénéficier de subventions dans le cadre du FTJ</w:t>
            </w:r>
            <w:r>
              <w:t xml:space="preserve">, mais une incertitude demeure à ce jour quant à leur </w:t>
            </w:r>
            <w:proofErr w:type="spellStart"/>
            <w:r>
              <w:t>égilibilité</w:t>
            </w:r>
            <w:proofErr w:type="spellEnd"/>
            <w:r>
              <w:t>.</w:t>
            </w:r>
          </w:p>
          <w:p w14:paraId="681D7720" w14:textId="2052B92D" w:rsidR="00E96D04" w:rsidRDefault="00633C0C" w:rsidP="003667DD">
            <w:pPr>
              <w:pStyle w:val="Tabletext"/>
            </w:pPr>
            <w:r>
              <w:t>Le d</w:t>
            </w:r>
            <w:r w:rsidR="00DE0E0F">
              <w:t>e</w:t>
            </w:r>
            <w:r>
              <w:t xml:space="preserve">uxième et troisième </w:t>
            </w:r>
            <w:proofErr w:type="spellStart"/>
            <w:r>
              <w:t>pilliers</w:t>
            </w:r>
            <w:proofErr w:type="spellEnd"/>
            <w:r>
              <w:t xml:space="preserve"> devraient permettre de financer notamment les infrastructures d’énergie et de transports, les réseaux de chaleurs urbains, les transports publics, les mesures d’</w:t>
            </w:r>
            <w:proofErr w:type="spellStart"/>
            <w:r>
              <w:t>éffic</w:t>
            </w:r>
            <w:r w:rsidR="00DE0E0F">
              <w:t>ic</w:t>
            </w:r>
            <w:r>
              <w:t>ac</w:t>
            </w:r>
            <w:r w:rsidR="00DE0E0F">
              <w:t>t</w:t>
            </w:r>
            <w:r>
              <w:t>é</w:t>
            </w:r>
            <w:proofErr w:type="spellEnd"/>
            <w:r>
              <w:t xml:space="preserve"> énergétique y compris la rénovation des bâtiments, l’économie circul</w:t>
            </w:r>
            <w:r w:rsidR="00DE0E0F">
              <w:t xml:space="preserve">aire. </w:t>
            </w:r>
          </w:p>
        </w:tc>
      </w:tr>
    </w:tbl>
    <w:p w14:paraId="5B541B4F" w14:textId="77777777" w:rsidR="00FA5A3B" w:rsidRDefault="00FA5A3B" w:rsidP="00E72DF0">
      <w:pPr>
        <w:pStyle w:val="BodyText"/>
      </w:pPr>
    </w:p>
    <w:p w14:paraId="1D54C1D7" w14:textId="77777777" w:rsidR="007614D3" w:rsidRDefault="007614D3">
      <w:pPr>
        <w:rPr>
          <w:rFonts w:asciiTheme="majorHAnsi" w:eastAsiaTheme="majorEastAsia" w:hAnsiTheme="majorHAnsi" w:cstheme="majorBidi"/>
          <w:sz w:val="28"/>
          <w:szCs w:val="32"/>
        </w:rPr>
      </w:pPr>
      <w:r>
        <w:br w:type="page"/>
      </w:r>
    </w:p>
    <w:p w14:paraId="13CFA278" w14:textId="401D4E53" w:rsidR="003168EC" w:rsidRDefault="00554BDF" w:rsidP="00654653">
      <w:pPr>
        <w:pStyle w:val="Heading1"/>
      </w:pPr>
      <w:bookmarkStart w:id="27" w:name="_Toc93390266"/>
      <w:r>
        <w:t>Analyse de l’offre de financement</w:t>
      </w:r>
      <w:r w:rsidR="0064198B">
        <w:t xml:space="preserve"> des projets de territoire</w:t>
      </w:r>
      <w:bookmarkEnd w:id="27"/>
    </w:p>
    <w:p w14:paraId="0BC6C7C5" w14:textId="38302DBC" w:rsidR="004C51D7" w:rsidRDefault="004C51D7" w:rsidP="007445CB">
      <w:pPr>
        <w:pStyle w:val="Heading2"/>
      </w:pPr>
      <w:bookmarkStart w:id="28" w:name="_Ref68189062"/>
      <w:bookmarkStart w:id="29" w:name="_Toc93390267"/>
      <w:r>
        <w:t xml:space="preserve">Financement des </w:t>
      </w:r>
      <w:bookmarkEnd w:id="28"/>
      <w:r w:rsidR="0064198B">
        <w:t>énergies renouvelables</w:t>
      </w:r>
      <w:bookmarkEnd w:id="29"/>
    </w:p>
    <w:tbl>
      <w:tblPr>
        <w:tblStyle w:val="TableGrid"/>
        <w:tblW w:w="0" w:type="auto"/>
        <w:tblBorders>
          <w:top w:val="single" w:sz="4" w:space="0" w:color="C73C3A" w:themeColor="accent1"/>
          <w:left w:val="single" w:sz="4" w:space="0" w:color="C73C3A" w:themeColor="accent1"/>
          <w:bottom w:val="single" w:sz="4" w:space="0" w:color="C73C3A" w:themeColor="accent1"/>
          <w:right w:val="single" w:sz="4" w:space="0" w:color="C73C3A" w:themeColor="accent1"/>
          <w:insideH w:val="single" w:sz="4" w:space="0" w:color="C73C3A" w:themeColor="accent1"/>
          <w:insideV w:val="single" w:sz="4" w:space="0" w:color="C73C3A" w:themeColor="accent1"/>
        </w:tblBorders>
        <w:tblLook w:val="04A0" w:firstRow="1" w:lastRow="0" w:firstColumn="1" w:lastColumn="0" w:noHBand="0" w:noVBand="1"/>
      </w:tblPr>
      <w:tblGrid>
        <w:gridCol w:w="9062"/>
      </w:tblGrid>
      <w:tr w:rsidR="002E71E9" w14:paraId="7E111A37" w14:textId="77777777" w:rsidTr="00BC7A3A">
        <w:trPr>
          <w:trHeight w:val="1035"/>
        </w:trPr>
        <w:tc>
          <w:tcPr>
            <w:tcW w:w="9062"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59BCCCE0" w14:textId="35C1298E" w:rsidR="002E71E9" w:rsidRPr="007E6BA4" w:rsidRDefault="002E71E9" w:rsidP="00761F57">
            <w:pPr>
              <w:pStyle w:val="Tabletext"/>
              <w:rPr>
                <w:b/>
              </w:rPr>
            </w:pPr>
            <w:r w:rsidRPr="007E6BA4">
              <w:rPr>
                <w:b/>
              </w:rPr>
              <w:t>Points clefs à retenir</w:t>
            </w:r>
          </w:p>
          <w:p w14:paraId="7A740669" w14:textId="04B972E7" w:rsidR="003A3CAD" w:rsidRDefault="004B0CA6" w:rsidP="003A3CAD">
            <w:pPr>
              <w:pStyle w:val="Tablebullet1"/>
            </w:pPr>
            <w:r>
              <w:t xml:space="preserve">La </w:t>
            </w:r>
            <w:r w:rsidR="003A3CAD">
              <w:t>3</w:t>
            </w:r>
            <w:r w:rsidRPr="004B0CA6">
              <w:rPr>
                <w:vertAlign w:val="superscript"/>
              </w:rPr>
              <w:t>ème</w:t>
            </w:r>
            <w:r w:rsidR="003A3CAD">
              <w:t xml:space="preserve"> révolution industrielle </w:t>
            </w:r>
            <w:r w:rsidR="00BC21B6">
              <w:t>initiée en 2013</w:t>
            </w:r>
            <w:r w:rsidR="003A3CAD">
              <w:t xml:space="preserve"> </w:t>
            </w:r>
            <w:r>
              <w:t>est</w:t>
            </w:r>
            <w:r w:rsidR="003A3CAD">
              <w:t xml:space="preserve"> </w:t>
            </w:r>
            <w:r>
              <w:t>u</w:t>
            </w:r>
            <w:r w:rsidR="003A3CAD">
              <w:t xml:space="preserve">ne stratégie de développement fondée sur les énergies renouvelables avec des outils régionaux dédiés au financement des ENR tels que </w:t>
            </w:r>
            <w:r w:rsidR="00C65555">
              <w:t>le</w:t>
            </w:r>
            <w:r w:rsidR="003A3CAD">
              <w:t xml:space="preserve"> FRATRI, REV3 Capital</w:t>
            </w:r>
            <w:r w:rsidR="00C65555">
              <w:t xml:space="preserve"> (ex-CAP3RI)</w:t>
            </w:r>
            <w:r w:rsidR="00C50ADE">
              <w:t xml:space="preserve"> et </w:t>
            </w:r>
            <w:r w:rsidR="00C50ADE" w:rsidRPr="00C50ADE">
              <w:t>Livret REV3</w:t>
            </w:r>
            <w:r w:rsidR="003A3CAD">
              <w:t>.</w:t>
            </w:r>
            <w:r w:rsidR="00B42925">
              <w:t xml:space="preserve"> Cette démarche s’inscrit notamment dans les objectifs du SRADDET.</w:t>
            </w:r>
          </w:p>
          <w:p w14:paraId="5026DD15" w14:textId="5A2A2FC4" w:rsidR="003A3CAD" w:rsidRDefault="003A3CAD" w:rsidP="003A3CAD">
            <w:pPr>
              <w:pStyle w:val="Tablebullet1"/>
            </w:pPr>
            <w:r>
              <w:t>Les projets innovants sont principalement financés par des fonds publics</w:t>
            </w:r>
            <w:r w:rsidR="004B0CA6">
              <w:t xml:space="preserve"> (</w:t>
            </w:r>
            <w:r w:rsidRPr="006E6D2D">
              <w:rPr>
                <w:b/>
              </w:rPr>
              <w:t>subventions</w:t>
            </w:r>
            <w:r w:rsidR="004B0CA6">
              <w:t>)</w:t>
            </w:r>
            <w:r>
              <w:t xml:space="preserve"> en phase amont et </w:t>
            </w:r>
            <w:r w:rsidR="004B0CA6">
              <w:t xml:space="preserve">un </w:t>
            </w:r>
            <w:r>
              <w:t xml:space="preserve">mix de subventions, fonds propres et prêts en phase de réalisation. Les principales sources de financement publiques, hormis les instruments régionaux, sont le PIA 4, </w:t>
            </w:r>
            <w:r w:rsidR="002D5995">
              <w:t>les outils de l’</w:t>
            </w:r>
            <w:r>
              <w:t>ADEME,</w:t>
            </w:r>
            <w:r w:rsidR="00C87062">
              <w:t xml:space="preserve"> les appels à projets issus de la s</w:t>
            </w:r>
            <w:r>
              <w:t xml:space="preserve">tratégie nationale pour le développement de l’hydrogène décarboné. Néanmoins quelques </w:t>
            </w:r>
            <w:r w:rsidR="004F5F74">
              <w:t>institutions financières</w:t>
            </w:r>
            <w:r>
              <w:t xml:space="preserve"> participent également au financement des </w:t>
            </w:r>
            <w:r w:rsidRPr="006E6D2D">
              <w:rPr>
                <w:b/>
              </w:rPr>
              <w:t>projets innovants</w:t>
            </w:r>
            <w:r w:rsidR="004B0CA6">
              <w:t>.</w:t>
            </w:r>
            <w:r>
              <w:t xml:space="preserve"> </w:t>
            </w:r>
            <w:r w:rsidR="004B0CA6">
              <w:t>C’est</w:t>
            </w:r>
            <w:r>
              <w:t xml:space="preserve"> le cas de Bpifrance, </w:t>
            </w:r>
            <w:r w:rsidR="000563A2">
              <w:t xml:space="preserve">de la </w:t>
            </w:r>
            <w:r>
              <w:t xml:space="preserve">Banque des Territoires, </w:t>
            </w:r>
            <w:r w:rsidR="000563A2">
              <w:t xml:space="preserve">de </w:t>
            </w:r>
            <w:proofErr w:type="spellStart"/>
            <w:r>
              <w:t>FiveTHydrogen</w:t>
            </w:r>
            <w:proofErr w:type="spellEnd"/>
            <w:r>
              <w:t xml:space="preserve"> et </w:t>
            </w:r>
            <w:r w:rsidR="000563A2">
              <w:t xml:space="preserve">du </w:t>
            </w:r>
            <w:r>
              <w:t>financement participatif</w:t>
            </w:r>
            <w:r w:rsidR="00D53826">
              <w:t>.</w:t>
            </w:r>
          </w:p>
          <w:p w14:paraId="15BC966E" w14:textId="289901E8" w:rsidR="0006026D" w:rsidRPr="0006026D" w:rsidRDefault="002D66B1" w:rsidP="0006026D">
            <w:pPr>
              <w:pStyle w:val="Tablebullet1"/>
            </w:pPr>
            <w:r w:rsidRPr="002D66B1">
              <w:t xml:space="preserve">Bpifrance et la Banque des Territoires ont élaboré ensemble un plan climat commun de </w:t>
            </w:r>
            <w:r w:rsidRPr="002D66B1">
              <w:rPr>
                <w:b/>
                <w:bCs/>
              </w:rPr>
              <w:t>40 Md€</w:t>
            </w:r>
            <w:r w:rsidRPr="002D66B1">
              <w:t xml:space="preserve"> pour la transition écologique et énergétique des entreprises et des territoires. Le plan est structuré en 3 piliers opérationnels et les financements seront déployés sur la période 2020 – 2024</w:t>
            </w:r>
            <w:r>
              <w:t xml:space="preserve">. </w:t>
            </w:r>
            <w:r w:rsidR="008C116D">
              <w:t>Les f</w:t>
            </w:r>
            <w:r w:rsidR="00446D4E">
              <w:t>inancements sont en subventions, fonds propres et prêts</w:t>
            </w:r>
            <w:r w:rsidR="00C50ADE">
              <w:t>.</w:t>
            </w:r>
            <w:r w:rsidR="00446D4E">
              <w:t xml:space="preserve"> </w:t>
            </w:r>
          </w:p>
          <w:p w14:paraId="2249A379" w14:textId="3FDF5CEE" w:rsidR="00635184" w:rsidRPr="0059485A" w:rsidRDefault="003A3CAD" w:rsidP="00EC4D71">
            <w:pPr>
              <w:pStyle w:val="Tablebullet1"/>
            </w:pPr>
            <w:r w:rsidRPr="006E6D2D">
              <w:rPr>
                <w:b/>
              </w:rPr>
              <w:t>L’offre de financement</w:t>
            </w:r>
            <w:r>
              <w:t xml:space="preserve"> pour les projets </w:t>
            </w:r>
            <w:r w:rsidR="004346D1">
              <w:t xml:space="preserve">matures </w:t>
            </w:r>
            <w:r w:rsidR="006E6D2D">
              <w:t>e</w:t>
            </w:r>
            <w:r>
              <w:t xml:space="preserve">st </w:t>
            </w:r>
            <w:r w:rsidRPr="006E6D2D">
              <w:rPr>
                <w:b/>
              </w:rPr>
              <w:t>assez dense</w:t>
            </w:r>
            <w:r>
              <w:t>. En phase aval</w:t>
            </w:r>
            <w:r w:rsidR="006E566A">
              <w:t>,</w:t>
            </w:r>
            <w:r>
              <w:t xml:space="preserve"> les instruments de financement sont en subventions, fonds propres et prêts provenant de la </w:t>
            </w:r>
            <w:r w:rsidR="006E566A">
              <w:t>R</w:t>
            </w:r>
            <w:r>
              <w:t xml:space="preserve">égion, l’Etat (ADEME), Bpifrance et </w:t>
            </w:r>
            <w:r w:rsidR="00F4146F">
              <w:t xml:space="preserve">de la </w:t>
            </w:r>
            <w:r>
              <w:t>Banque des Territoires.  En phase aval, outre les acteurs cités précédemment, plusieurs acteurs privés interviennent. En région, la SEM Energies Hauts-de-France, REV3 Capital et Énergie Partagée Investissement jouent un rôle essentiel dans le financement des projets. Au-delà de ces instruments financements, nous avons également identifiés des fonds thématiques dont les ressources s’orientent précisément vers certaines énergies renouvelables (hydrogène, biogaz) ou certains types de porteurs de projets (collectivités</w:t>
            </w:r>
            <w:r w:rsidR="00D53826">
              <w:t>).</w:t>
            </w:r>
          </w:p>
        </w:tc>
      </w:tr>
    </w:tbl>
    <w:p w14:paraId="28CDB485" w14:textId="2565BD34" w:rsidR="004449BF" w:rsidRDefault="004449BF" w:rsidP="004449BF">
      <w:pPr>
        <w:pStyle w:val="Caption"/>
      </w:pPr>
      <w:bookmarkStart w:id="30" w:name="_Toc88842115"/>
      <w:r>
        <w:t xml:space="preserve">Figure </w:t>
      </w:r>
      <w:r>
        <w:fldChar w:fldCharType="begin"/>
      </w:r>
      <w:r>
        <w:instrText xml:space="preserve"> SEQ Figure \* ARABIC </w:instrText>
      </w:r>
      <w:r>
        <w:fldChar w:fldCharType="separate"/>
      </w:r>
      <w:r w:rsidR="00A77540">
        <w:rPr>
          <w:noProof/>
        </w:rPr>
        <w:t>1</w:t>
      </w:r>
      <w:r>
        <w:fldChar w:fldCharType="end"/>
      </w:r>
      <w:r>
        <w:t xml:space="preserve"> Recensement des outils financiers à destination des </w:t>
      </w:r>
      <w:proofErr w:type="spellStart"/>
      <w:r w:rsidR="0064198B">
        <w:t>EnR</w:t>
      </w:r>
      <w:proofErr w:type="spellEnd"/>
      <w:r>
        <w:t xml:space="preserve"> en région Hauts de France</w:t>
      </w:r>
      <w:bookmarkEnd w:id="30"/>
    </w:p>
    <w:p w14:paraId="492C0BB8" w14:textId="01CA6727" w:rsidR="004449BF" w:rsidRDefault="29FD4ABC" w:rsidP="005172B8">
      <w:pPr>
        <w:ind w:left="-284"/>
      </w:pPr>
      <w:r>
        <w:rPr>
          <w:noProof/>
          <w:lang w:eastAsia="fr-FR"/>
        </w:rPr>
        <w:drawing>
          <wp:inline distT="0" distB="0" distL="0" distR="0" wp14:anchorId="4DD9D23D" wp14:editId="7F779F7E">
            <wp:extent cx="6554689" cy="40767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21">
                      <a:extLst>
                        <a:ext uri="{28A0092B-C50C-407E-A947-70E740481C1C}">
                          <a14:useLocalDpi xmlns:a14="http://schemas.microsoft.com/office/drawing/2010/main" val="0"/>
                        </a:ext>
                      </a:extLst>
                    </a:blip>
                    <a:stretch>
                      <a:fillRect/>
                    </a:stretch>
                  </pic:blipFill>
                  <pic:spPr>
                    <a:xfrm>
                      <a:off x="0" y="0"/>
                      <a:ext cx="6554689" cy="4076700"/>
                    </a:xfrm>
                    <a:prstGeom prst="rect">
                      <a:avLst/>
                    </a:prstGeom>
                  </pic:spPr>
                </pic:pic>
              </a:graphicData>
            </a:graphic>
          </wp:inline>
        </w:drawing>
      </w:r>
    </w:p>
    <w:p w14:paraId="4A3AC5A1" w14:textId="53F47A30" w:rsidR="0064198B" w:rsidRDefault="0064198B" w:rsidP="00536470">
      <w:pPr>
        <w:pStyle w:val="Heading3"/>
      </w:pPr>
      <w:bookmarkStart w:id="31" w:name="_Toc93390268"/>
      <w:r>
        <w:t xml:space="preserve">Description de l’offre de financement des </w:t>
      </w:r>
      <w:proofErr w:type="spellStart"/>
      <w:r>
        <w:t>EnR</w:t>
      </w:r>
      <w:bookmarkEnd w:id="31"/>
      <w:proofErr w:type="spellEnd"/>
    </w:p>
    <w:p w14:paraId="5BA24BF8" w14:textId="77777777" w:rsidR="000B68A2" w:rsidRDefault="000B68A2" w:rsidP="000B68A2">
      <w:pPr>
        <w:pStyle w:val="BodyText"/>
      </w:pPr>
      <w:r>
        <w:t xml:space="preserve">La région Hauts-de-France est </w:t>
      </w:r>
      <w:r w:rsidRPr="001057AE">
        <w:rPr>
          <w:b/>
        </w:rPr>
        <w:t>pionnière dans la démarche de la 3</w:t>
      </w:r>
      <w:r w:rsidRPr="001057AE">
        <w:rPr>
          <w:b/>
          <w:vertAlign w:val="superscript"/>
        </w:rPr>
        <w:t>ème</w:t>
      </w:r>
      <w:r w:rsidRPr="001057AE">
        <w:rPr>
          <w:b/>
        </w:rPr>
        <w:t xml:space="preserve"> révolution industrielle</w:t>
      </w:r>
      <w:r>
        <w:t xml:space="preserve"> (TRI) dont la vision est de fonder sa stratégie de développement sur le développement des énergies renouvelables, leur stockage et leur distribution. Cette approche du développement a donné l’amorce de la transformation des filières d’excellence dans les transports et l’énergie. </w:t>
      </w:r>
    </w:p>
    <w:p w14:paraId="7C495AFB" w14:textId="419F71CF" w:rsidR="000B68A2" w:rsidRDefault="000B68A2" w:rsidP="00E72DF0">
      <w:pPr>
        <w:pStyle w:val="BodyText"/>
        <w:rPr>
          <w:bCs/>
        </w:rPr>
      </w:pPr>
      <w:r w:rsidRPr="00C22E11">
        <w:rPr>
          <w:bCs/>
        </w:rPr>
        <w:t xml:space="preserve">Selon </w:t>
      </w:r>
      <w:r>
        <w:rPr>
          <w:bCs/>
        </w:rPr>
        <w:t>l’é</w:t>
      </w:r>
      <w:r w:rsidRPr="00C22E11">
        <w:rPr>
          <w:bCs/>
        </w:rPr>
        <w:t>valuation d’impact du soutien à la transition vers une économie à faible émission de carbone dans tous les secteurs dans le cadre des PO FEDER Nord-Pas de Calais et Picardie (Axe 3 des PO) – Lot n°4</w:t>
      </w:r>
      <w:r>
        <w:rPr>
          <w:bCs/>
        </w:rPr>
        <w:t xml:space="preserve"> (d</w:t>
      </w:r>
      <w:r w:rsidRPr="00C22E11">
        <w:rPr>
          <w:bCs/>
        </w:rPr>
        <w:t>écembre 2020</w:t>
      </w:r>
      <w:r>
        <w:rPr>
          <w:bCs/>
        </w:rPr>
        <w:t>), l</w:t>
      </w:r>
      <w:r w:rsidRPr="00C22E11">
        <w:rPr>
          <w:bCs/>
        </w:rPr>
        <w:t xml:space="preserve">es deux PO ont permis de soutenir des projets qualitatifs et innovants aux impacts positifs en matière de développement des </w:t>
      </w:r>
      <w:proofErr w:type="spellStart"/>
      <w:r w:rsidRPr="00C22E11">
        <w:rPr>
          <w:bCs/>
        </w:rPr>
        <w:t>EnR</w:t>
      </w:r>
      <w:proofErr w:type="spellEnd"/>
      <w:r w:rsidRPr="00C22E11">
        <w:rPr>
          <w:bCs/>
        </w:rPr>
        <w:t xml:space="preserve">. Le FEDER a permis, en Hauts-de-France, </w:t>
      </w:r>
      <w:r w:rsidRPr="00DD3EE3">
        <w:rPr>
          <w:b/>
        </w:rPr>
        <w:t>d’augme</w:t>
      </w:r>
      <w:r w:rsidRPr="00B548F1">
        <w:rPr>
          <w:b/>
        </w:rPr>
        <w:t>nter</w:t>
      </w:r>
      <w:r w:rsidRPr="00A86C2B">
        <w:rPr>
          <w:b/>
        </w:rPr>
        <w:t xml:space="preserve"> la capacité de production d’énergies renouvelables de 378,63 MW</w:t>
      </w:r>
      <w:r w:rsidRPr="00C22E11">
        <w:rPr>
          <w:bCs/>
        </w:rPr>
        <w:t xml:space="preserve"> notamment </w:t>
      </w:r>
      <w:r>
        <w:rPr>
          <w:bCs/>
        </w:rPr>
        <w:t xml:space="preserve">grâce à </w:t>
      </w:r>
      <w:r w:rsidRPr="00C22E11">
        <w:rPr>
          <w:bCs/>
        </w:rPr>
        <w:t>une opération sur la géothermie (portée en Picardie), et les projets de méthanisation et de réseaux de chaleur.</w:t>
      </w:r>
      <w:r>
        <w:rPr>
          <w:bCs/>
        </w:rPr>
        <w:t xml:space="preserve"> </w:t>
      </w:r>
      <w:r w:rsidR="00A46370">
        <w:rPr>
          <w:bCs/>
        </w:rPr>
        <w:t>Pour rappel les objectifs du SRADDET à horizon 2031</w:t>
      </w:r>
      <w:r w:rsidR="003A4EEB">
        <w:rPr>
          <w:bCs/>
        </w:rPr>
        <w:t xml:space="preserve"> sont d’atteindre des capacités de production de 60 GW</w:t>
      </w:r>
      <w:r w:rsidR="00B8157D">
        <w:rPr>
          <w:bCs/>
        </w:rPr>
        <w:t>h</w:t>
      </w:r>
      <w:r w:rsidR="003A4EEB">
        <w:rPr>
          <w:bCs/>
        </w:rPr>
        <w:t xml:space="preserve"> pour l’h</w:t>
      </w:r>
      <w:r w:rsidR="00B8157D">
        <w:rPr>
          <w:bCs/>
        </w:rPr>
        <w:t>ydraulique, de 9053 GWh pour le biogaz</w:t>
      </w:r>
      <w:r w:rsidR="00732902">
        <w:rPr>
          <w:bCs/>
        </w:rPr>
        <w:t xml:space="preserve"> et 2800 GWh pour les pompes à chaleur. </w:t>
      </w:r>
    </w:p>
    <w:p w14:paraId="253452FC" w14:textId="2C94C625" w:rsidR="000B68A2" w:rsidRDefault="000B68A2" w:rsidP="00E72DF0">
      <w:pPr>
        <w:pStyle w:val="BodyText"/>
        <w:rPr>
          <w:bCs/>
        </w:rPr>
      </w:pPr>
      <w:r>
        <w:rPr>
          <w:bCs/>
        </w:rPr>
        <w:t xml:space="preserve">Comme évoqué plus haut, </w:t>
      </w:r>
      <w:r w:rsidRPr="00EE550E">
        <w:rPr>
          <w:b/>
        </w:rPr>
        <w:t>d’importantes ressources renouvelables</w:t>
      </w:r>
      <w:r>
        <w:rPr>
          <w:bCs/>
        </w:rPr>
        <w:t xml:space="preserve"> sont présentes en Hauts-de-France et </w:t>
      </w:r>
      <w:r w:rsidRPr="00EE550E">
        <w:rPr>
          <w:b/>
        </w:rPr>
        <w:t>peuvent être valorisées.</w:t>
      </w:r>
      <w:r>
        <w:rPr>
          <w:bCs/>
        </w:rPr>
        <w:t xml:space="preserve"> L’importance de la question du financement des projets ayant un ancrage territorial est en plus pressante car les territoires se retrouvent en 1</w:t>
      </w:r>
      <w:r w:rsidRPr="00C25B96">
        <w:rPr>
          <w:bCs/>
          <w:vertAlign w:val="superscript"/>
        </w:rPr>
        <w:t>ère</w:t>
      </w:r>
      <w:r>
        <w:rPr>
          <w:bCs/>
        </w:rPr>
        <w:t xml:space="preserve"> ligne de la transition énergétique</w:t>
      </w:r>
      <w:r w:rsidR="002D4635">
        <w:rPr>
          <w:bCs/>
        </w:rPr>
        <w:t xml:space="preserve">, du fait à la fois de la décentralisation de la production induite par la majorité des sources renouvelables et </w:t>
      </w:r>
      <w:r w:rsidR="00FC4BE8">
        <w:rPr>
          <w:bCs/>
        </w:rPr>
        <w:t>d’enjeux d’autonomie énergétique et de création de richesse territoriale</w:t>
      </w:r>
      <w:r>
        <w:rPr>
          <w:bCs/>
        </w:rPr>
        <w:t xml:space="preserve">. Cette section décrit les différentes sources et divers instruments de financement des projets territoriaux en Hauts-de-France. </w:t>
      </w:r>
    </w:p>
    <w:p w14:paraId="63605481" w14:textId="1F774A52" w:rsidR="000B68A2" w:rsidRPr="00DD3EE3" w:rsidRDefault="000B68A2" w:rsidP="00E72DF0">
      <w:pPr>
        <w:pStyle w:val="BodyText"/>
        <w:rPr>
          <w:bCs/>
        </w:rPr>
      </w:pPr>
      <w:r>
        <w:rPr>
          <w:bCs/>
        </w:rPr>
        <w:t xml:space="preserve">Avant d’aborder ces sources et instruments nous faisons ici des focus spécifiques sur certains dispositifs propres à la région Hauts-de-France. Ces dispositifs constituent de </w:t>
      </w:r>
      <w:r w:rsidRPr="00EE550E">
        <w:rPr>
          <w:b/>
        </w:rPr>
        <w:t>véritables leviers de financement en subventions, fonds propres, etc</w:t>
      </w:r>
      <w:r>
        <w:rPr>
          <w:bCs/>
        </w:rPr>
        <w:t xml:space="preserve">. </w:t>
      </w:r>
      <w:r w:rsidR="000E07A5">
        <w:rPr>
          <w:bCs/>
        </w:rPr>
        <w:t>I</w:t>
      </w:r>
      <w:r>
        <w:rPr>
          <w:bCs/>
        </w:rPr>
        <w:t>l s’agit notamment</w:t>
      </w:r>
      <w:r w:rsidR="000E07A5">
        <w:rPr>
          <w:bCs/>
        </w:rPr>
        <w:t xml:space="preserve"> du dispositif</w:t>
      </w:r>
      <w:r>
        <w:rPr>
          <w:bCs/>
        </w:rPr>
        <w:t xml:space="preserve"> </w:t>
      </w:r>
      <w:r w:rsidRPr="00EE550E">
        <w:rPr>
          <w:b/>
          <w:bCs/>
        </w:rPr>
        <w:t>R</w:t>
      </w:r>
      <w:r w:rsidR="00EE550E" w:rsidRPr="00EE550E">
        <w:rPr>
          <w:b/>
          <w:bCs/>
        </w:rPr>
        <w:t>ev3</w:t>
      </w:r>
      <w:r w:rsidRPr="00EE550E">
        <w:rPr>
          <w:b/>
        </w:rPr>
        <w:t xml:space="preserve"> financement.</w:t>
      </w:r>
      <w:r w:rsidR="008E3968">
        <w:rPr>
          <w:b/>
        </w:rPr>
        <w:t xml:space="preserve"> </w:t>
      </w:r>
      <w:r w:rsidR="008E3968">
        <w:rPr>
          <w:bCs/>
        </w:rPr>
        <w:t>Nous évoquons également le plan Climat de Bpifrance.</w:t>
      </w:r>
    </w:p>
    <w:p w14:paraId="5D292991" w14:textId="3E6AF6A5" w:rsidR="007B2642" w:rsidRDefault="007B2642" w:rsidP="007B2642">
      <w:pPr>
        <w:pStyle w:val="Caption"/>
        <w:keepLines/>
      </w:pPr>
      <w:bookmarkStart w:id="32" w:name="_Ref74299547"/>
      <w:r>
        <w:t xml:space="preserve">Encadré </w:t>
      </w:r>
      <w:r>
        <w:fldChar w:fldCharType="begin"/>
      </w:r>
      <w:r>
        <w:instrText xml:space="preserve"> SEQ Encadré \* ARABIC </w:instrText>
      </w:r>
      <w:r>
        <w:fldChar w:fldCharType="separate"/>
      </w:r>
      <w:r w:rsidR="009F0282">
        <w:rPr>
          <w:noProof/>
        </w:rPr>
        <w:t>2</w:t>
      </w:r>
      <w:r>
        <w:fldChar w:fldCharType="end"/>
      </w:r>
      <w:r>
        <w:t xml:space="preserve"> REV3 Financement</w:t>
      </w:r>
    </w:p>
    <w:tbl>
      <w:tblPr>
        <w:tblStyle w:val="TableGrid"/>
        <w:tblW w:w="9209" w:type="dxa"/>
        <w:tblBorders>
          <w:top w:val="single" w:sz="4" w:space="0" w:color="C73C3A" w:themeColor="accent1"/>
          <w:left w:val="single" w:sz="4" w:space="0" w:color="C73C3A" w:themeColor="accent1"/>
          <w:bottom w:val="single" w:sz="4" w:space="0" w:color="C73C3A" w:themeColor="accent1"/>
          <w:right w:val="single" w:sz="4" w:space="0" w:color="C73C3A" w:themeColor="accent1"/>
          <w:insideH w:val="none" w:sz="0" w:space="0" w:color="auto"/>
          <w:insideV w:val="none" w:sz="0" w:space="0" w:color="auto"/>
        </w:tblBorders>
        <w:tblLook w:val="04A0" w:firstRow="1" w:lastRow="0" w:firstColumn="1" w:lastColumn="0" w:noHBand="0" w:noVBand="1"/>
      </w:tblPr>
      <w:tblGrid>
        <w:gridCol w:w="9209"/>
      </w:tblGrid>
      <w:tr w:rsidR="007B2642" w:rsidRPr="006D322E" w14:paraId="7D806E81" w14:textId="77777777" w:rsidTr="005E13DD">
        <w:tc>
          <w:tcPr>
            <w:tcW w:w="9209" w:type="dxa"/>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0F2C8A74" w14:textId="77777777" w:rsidR="007B2642" w:rsidRPr="006D322E" w:rsidRDefault="007B2642" w:rsidP="005E13DD">
            <w:pPr>
              <w:pStyle w:val="Tabletext"/>
              <w:keepNext/>
              <w:keepLines/>
              <w:jc w:val="both"/>
              <w:rPr>
                <w:rFonts w:asciiTheme="majorHAnsi" w:hAnsiTheme="majorHAnsi"/>
                <w:bCs/>
                <w:szCs w:val="16"/>
              </w:rPr>
            </w:pPr>
            <w:r w:rsidRPr="006D322E">
              <w:rPr>
                <w:rFonts w:asciiTheme="majorHAnsi" w:hAnsiTheme="majorHAnsi"/>
                <w:b/>
                <w:szCs w:val="16"/>
              </w:rPr>
              <w:t xml:space="preserve">REV3 </w:t>
            </w:r>
            <w:r>
              <w:rPr>
                <w:rFonts w:asciiTheme="majorHAnsi" w:hAnsiTheme="majorHAnsi"/>
                <w:b/>
                <w:szCs w:val="16"/>
              </w:rPr>
              <w:t>F</w:t>
            </w:r>
            <w:r w:rsidRPr="006D322E">
              <w:rPr>
                <w:rFonts w:asciiTheme="majorHAnsi" w:hAnsiTheme="majorHAnsi"/>
                <w:b/>
                <w:szCs w:val="16"/>
              </w:rPr>
              <w:t>inancement</w:t>
            </w:r>
            <w:r w:rsidRPr="006D322E">
              <w:rPr>
                <w:rFonts w:asciiTheme="majorHAnsi" w:hAnsiTheme="majorHAnsi"/>
                <w:bCs/>
                <w:szCs w:val="16"/>
              </w:rPr>
              <w:t xml:space="preserve"> </w:t>
            </w:r>
            <w:r>
              <w:rPr>
                <w:rFonts w:asciiTheme="majorHAnsi" w:hAnsiTheme="majorHAnsi"/>
                <w:bCs/>
                <w:szCs w:val="16"/>
              </w:rPr>
              <w:t xml:space="preserve">est un nouvel outil régional </w:t>
            </w:r>
            <w:r w:rsidRPr="000507B9">
              <w:rPr>
                <w:rFonts w:asciiTheme="majorHAnsi" w:hAnsiTheme="majorHAnsi"/>
                <w:b/>
                <w:szCs w:val="16"/>
              </w:rPr>
              <w:t>mobilisant plus de 500 M</w:t>
            </w:r>
            <w:r w:rsidRPr="000507B9">
              <w:rPr>
                <w:rFonts w:ascii="Century Gothic" w:hAnsi="Century Gothic"/>
                <w:b/>
                <w:szCs w:val="16"/>
              </w:rPr>
              <w:t>€</w:t>
            </w:r>
            <w:r>
              <w:rPr>
                <w:rFonts w:asciiTheme="majorHAnsi" w:hAnsiTheme="majorHAnsi"/>
                <w:bCs/>
                <w:szCs w:val="16"/>
              </w:rPr>
              <w:t xml:space="preserve"> pour </w:t>
            </w:r>
            <w:r w:rsidRPr="006D322E">
              <w:rPr>
                <w:rFonts w:asciiTheme="majorHAnsi" w:hAnsiTheme="majorHAnsi"/>
                <w:bCs/>
                <w:szCs w:val="16"/>
              </w:rPr>
              <w:t>amplifier et accélérer la démarche Rev3 engagée depuis plusieurs années et qui a déjà vu aboutir quelque</w:t>
            </w:r>
            <w:r>
              <w:rPr>
                <w:rFonts w:asciiTheme="majorHAnsi" w:hAnsiTheme="majorHAnsi"/>
                <w:bCs/>
                <w:szCs w:val="16"/>
              </w:rPr>
              <w:t>s</w:t>
            </w:r>
            <w:r w:rsidRPr="006D322E">
              <w:rPr>
                <w:rFonts w:asciiTheme="majorHAnsi" w:hAnsiTheme="majorHAnsi"/>
                <w:bCs/>
                <w:szCs w:val="16"/>
              </w:rPr>
              <w:t xml:space="preserve"> 1400 projets.</w:t>
            </w:r>
          </w:p>
          <w:p w14:paraId="3AC83166" w14:textId="77777777" w:rsidR="007B2642" w:rsidRPr="006D322E" w:rsidRDefault="007B2642" w:rsidP="005E13DD">
            <w:pPr>
              <w:pStyle w:val="Tabletext"/>
              <w:keepNext/>
              <w:keepLines/>
              <w:jc w:val="both"/>
              <w:rPr>
                <w:rFonts w:asciiTheme="majorHAnsi" w:hAnsiTheme="majorHAnsi"/>
                <w:bCs/>
                <w:szCs w:val="16"/>
              </w:rPr>
            </w:pPr>
          </w:p>
          <w:p w14:paraId="2D1BE4CE" w14:textId="77777777" w:rsidR="007B2642" w:rsidRPr="006D322E" w:rsidRDefault="007B2642" w:rsidP="005E13DD">
            <w:pPr>
              <w:pStyle w:val="Tabletext"/>
              <w:keepNext/>
              <w:keepLines/>
              <w:jc w:val="both"/>
              <w:rPr>
                <w:rFonts w:asciiTheme="majorHAnsi" w:hAnsiTheme="majorHAnsi"/>
                <w:bCs/>
                <w:szCs w:val="16"/>
                <w:highlight w:val="yellow"/>
              </w:rPr>
            </w:pPr>
            <w:r w:rsidRPr="006D322E">
              <w:rPr>
                <w:rFonts w:asciiTheme="majorHAnsi" w:hAnsiTheme="majorHAnsi"/>
                <w:bCs/>
                <w:szCs w:val="16"/>
              </w:rPr>
              <w:t xml:space="preserve">REV3 Financement </w:t>
            </w:r>
            <w:r w:rsidRPr="00146605">
              <w:rPr>
                <w:rFonts w:asciiTheme="majorHAnsi" w:hAnsiTheme="majorHAnsi"/>
                <w:b/>
                <w:szCs w:val="16"/>
              </w:rPr>
              <w:t>rassemble des fonds publics et privés</w:t>
            </w:r>
            <w:r>
              <w:rPr>
                <w:rFonts w:asciiTheme="majorHAnsi" w:hAnsiTheme="majorHAnsi"/>
                <w:bCs/>
                <w:szCs w:val="16"/>
              </w:rPr>
              <w:t xml:space="preserve"> avec une </w:t>
            </w:r>
            <w:r w:rsidRPr="00146605">
              <w:rPr>
                <w:rFonts w:asciiTheme="majorHAnsi" w:hAnsiTheme="majorHAnsi"/>
                <w:b/>
                <w:szCs w:val="16"/>
              </w:rPr>
              <w:t>participation de 100 M</w:t>
            </w:r>
            <w:r w:rsidRPr="00146605">
              <w:rPr>
                <w:rFonts w:ascii="Century Gothic" w:hAnsi="Century Gothic"/>
                <w:b/>
                <w:szCs w:val="16"/>
              </w:rPr>
              <w:t>€</w:t>
            </w:r>
            <w:r w:rsidRPr="00146605">
              <w:rPr>
                <w:rFonts w:asciiTheme="majorHAnsi" w:hAnsiTheme="majorHAnsi"/>
                <w:b/>
                <w:szCs w:val="16"/>
              </w:rPr>
              <w:t xml:space="preserve"> de la Région</w:t>
            </w:r>
            <w:r>
              <w:rPr>
                <w:rFonts w:asciiTheme="majorHAnsi" w:hAnsiTheme="majorHAnsi"/>
                <w:b/>
                <w:szCs w:val="16"/>
              </w:rPr>
              <w:t>, le cofinancement de l’UE et l’ADEME</w:t>
            </w:r>
            <w:r>
              <w:rPr>
                <w:rFonts w:asciiTheme="majorHAnsi" w:hAnsiTheme="majorHAnsi"/>
                <w:bCs/>
                <w:szCs w:val="16"/>
              </w:rPr>
              <w:t xml:space="preserve">. Il vise </w:t>
            </w:r>
            <w:r w:rsidRPr="006D322E">
              <w:rPr>
                <w:rFonts w:asciiTheme="majorHAnsi" w:hAnsiTheme="majorHAnsi"/>
                <w:bCs/>
                <w:szCs w:val="16"/>
              </w:rPr>
              <w:t>apporter de nouveaux moyens en appui aux projets de territoires, au développement des entreprises et à la structuration des filières d’avenir dans les domaines de la transition énergétique, de l’économie circulaire, des transports et de la mobilité, de la logistique, de la réindustrialisation bas carbone, de la transition digitale, de l’innovation verte, notamment.</w:t>
            </w:r>
          </w:p>
          <w:p w14:paraId="22258901" w14:textId="77777777" w:rsidR="007B2642" w:rsidRDefault="007B2642" w:rsidP="005E13DD">
            <w:pPr>
              <w:pStyle w:val="Tabletext"/>
              <w:keepNext/>
              <w:keepLines/>
              <w:jc w:val="both"/>
              <w:rPr>
                <w:rFonts w:asciiTheme="majorHAnsi" w:hAnsiTheme="majorHAnsi"/>
                <w:bCs/>
                <w:szCs w:val="16"/>
                <w:highlight w:val="yellow"/>
              </w:rPr>
            </w:pPr>
          </w:p>
          <w:p w14:paraId="1505C0DC" w14:textId="77777777" w:rsidR="007B2642" w:rsidRPr="006D322E" w:rsidRDefault="007B264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L’objectif de REV3 Financement est de mobiliser 650 M€ </w:t>
            </w:r>
            <w:r w:rsidRPr="007C4EF8">
              <w:rPr>
                <w:rFonts w:asciiTheme="majorHAnsi" w:hAnsiTheme="majorHAnsi"/>
                <w:b/>
                <w:szCs w:val="16"/>
              </w:rPr>
              <w:t>dans 3 instruments distincts</w:t>
            </w:r>
            <w:r w:rsidRPr="006D322E">
              <w:rPr>
                <w:rFonts w:asciiTheme="majorHAnsi" w:hAnsiTheme="majorHAnsi"/>
                <w:bCs/>
                <w:szCs w:val="16"/>
              </w:rPr>
              <w:t xml:space="preserve"> :</w:t>
            </w:r>
          </w:p>
          <w:p w14:paraId="18C47511"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250 M€ sur le compartiment </w:t>
            </w:r>
            <w:r w:rsidRPr="00DD3EE3">
              <w:rPr>
                <w:rFonts w:asciiTheme="majorHAnsi" w:hAnsiTheme="majorHAnsi"/>
                <w:b/>
              </w:rPr>
              <w:t>REV3 Capital</w:t>
            </w:r>
            <w:r w:rsidRPr="006D322E">
              <w:rPr>
                <w:rFonts w:asciiTheme="majorHAnsi" w:hAnsiTheme="majorHAnsi"/>
                <w:bCs/>
              </w:rPr>
              <w:t xml:space="preserve"> (prises de participation),</w:t>
            </w:r>
          </w:p>
          <w:p w14:paraId="43CBC90B"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150 M€ sur le compartiment </w:t>
            </w:r>
            <w:r w:rsidRPr="00DD3EE3">
              <w:rPr>
                <w:rFonts w:asciiTheme="majorHAnsi" w:hAnsiTheme="majorHAnsi"/>
                <w:b/>
              </w:rPr>
              <w:t>REV3 Prêts</w:t>
            </w:r>
            <w:r>
              <w:rPr>
                <w:rFonts w:asciiTheme="majorHAnsi" w:hAnsiTheme="majorHAnsi"/>
                <w:bCs/>
              </w:rPr>
              <w:t xml:space="preserve"> (</w:t>
            </w:r>
            <w:r w:rsidRPr="008F59F5">
              <w:rPr>
                <w:rFonts w:asciiTheme="majorHAnsi" w:hAnsiTheme="majorHAnsi"/>
                <w:bCs/>
              </w:rPr>
              <w:t>Livret REV3</w:t>
            </w:r>
            <w:r>
              <w:rPr>
                <w:rFonts w:asciiTheme="majorHAnsi" w:hAnsiTheme="majorHAnsi"/>
                <w:bCs/>
              </w:rPr>
              <w:t>)</w:t>
            </w:r>
            <w:r w:rsidRPr="006D322E">
              <w:rPr>
                <w:rFonts w:asciiTheme="majorHAnsi" w:hAnsiTheme="majorHAnsi"/>
                <w:bCs/>
              </w:rPr>
              <w:t>,</w:t>
            </w:r>
          </w:p>
          <w:p w14:paraId="2A6EF381" w14:textId="69EA22F2" w:rsidR="007B2642" w:rsidRPr="007B2642"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250 M€ sur le compartiment </w:t>
            </w:r>
            <w:r w:rsidRPr="00DD3EE3">
              <w:rPr>
                <w:rFonts w:asciiTheme="majorHAnsi" w:hAnsiTheme="majorHAnsi"/>
                <w:b/>
              </w:rPr>
              <w:t>REV3 Subventions</w:t>
            </w:r>
            <w:r>
              <w:rPr>
                <w:rFonts w:asciiTheme="majorHAnsi" w:hAnsiTheme="majorHAnsi"/>
                <w:bCs/>
              </w:rPr>
              <w:t xml:space="preserve"> (</w:t>
            </w:r>
            <w:r w:rsidRPr="008F59F5">
              <w:rPr>
                <w:rFonts w:asciiTheme="majorHAnsi" w:hAnsiTheme="majorHAnsi"/>
                <w:bCs/>
              </w:rPr>
              <w:t>FRATRI</w:t>
            </w:r>
            <w:r>
              <w:rPr>
                <w:rFonts w:asciiTheme="majorHAnsi" w:hAnsiTheme="majorHAnsi"/>
                <w:bCs/>
              </w:rPr>
              <w:t>)</w:t>
            </w:r>
            <w:r w:rsidRPr="006D322E">
              <w:rPr>
                <w:rFonts w:asciiTheme="majorHAnsi" w:hAnsiTheme="majorHAnsi"/>
                <w:bCs/>
              </w:rPr>
              <w:t xml:space="preserve">. </w:t>
            </w:r>
            <w:r w:rsidRPr="007B2642">
              <w:rPr>
                <w:rFonts w:asciiTheme="majorHAnsi" w:hAnsiTheme="majorHAnsi"/>
                <w:bCs/>
              </w:rPr>
              <w:t xml:space="preserve"> </w:t>
            </w:r>
          </w:p>
        </w:tc>
      </w:tr>
    </w:tbl>
    <w:p w14:paraId="0196B33B" w14:textId="2884DD07" w:rsidR="000B68A2" w:rsidRDefault="000B68A2" w:rsidP="000B68A2">
      <w:pPr>
        <w:pStyle w:val="Caption"/>
        <w:keepLines/>
        <w:ind w:left="0" w:firstLine="0"/>
      </w:pPr>
      <w:bookmarkStart w:id="33" w:name="_Ref76063948"/>
      <w:r>
        <w:t xml:space="preserve">Encadré </w:t>
      </w:r>
      <w:r>
        <w:fldChar w:fldCharType="begin"/>
      </w:r>
      <w:r>
        <w:instrText xml:space="preserve"> SEQ Encadré \* ARABIC </w:instrText>
      </w:r>
      <w:r>
        <w:fldChar w:fldCharType="separate"/>
      </w:r>
      <w:r w:rsidR="009F0282">
        <w:rPr>
          <w:noProof/>
        </w:rPr>
        <w:t>3</w:t>
      </w:r>
      <w:r>
        <w:fldChar w:fldCharType="end"/>
      </w:r>
      <w:bookmarkEnd w:id="32"/>
      <w:bookmarkEnd w:id="33"/>
      <w:r>
        <w:t xml:space="preserve"> Focus F</w:t>
      </w:r>
      <w:r w:rsidRPr="006D3D16">
        <w:t xml:space="preserve">onds Régional d’Amplification de la Troisième Révolution Industrielle </w:t>
      </w:r>
    </w:p>
    <w:tbl>
      <w:tblPr>
        <w:tblStyle w:val="TechnopolisTable4"/>
        <w:tblW w:w="0" w:type="auto"/>
        <w:tblLook w:val="0480" w:firstRow="0" w:lastRow="0" w:firstColumn="1" w:lastColumn="0" w:noHBand="0" w:noVBand="1"/>
      </w:tblPr>
      <w:tblGrid>
        <w:gridCol w:w="9062"/>
      </w:tblGrid>
      <w:tr w:rsidR="000B68A2" w:rsidRPr="005744B6" w14:paraId="4E7432DB" w14:textId="77777777" w:rsidTr="000B68A2">
        <w:trPr>
          <w:cnfStyle w:val="000000100000" w:firstRow="0" w:lastRow="0" w:firstColumn="0" w:lastColumn="0" w:oddVBand="0" w:evenVBand="0" w:oddHBand="1" w:evenHBand="0" w:firstRowFirstColumn="0" w:firstRowLastColumn="0" w:lastRowFirstColumn="0" w:lastRowLastColumn="0"/>
        </w:trPr>
        <w:tc>
          <w:tcPr>
            <w:tcW w:w="9062" w:type="dxa"/>
          </w:tcPr>
          <w:p w14:paraId="0D669429" w14:textId="194C9DA4" w:rsidR="000B68A2" w:rsidRPr="00281D94" w:rsidRDefault="00102312" w:rsidP="00DD3EE3">
            <w:pPr>
              <w:pStyle w:val="Tabletext"/>
            </w:pPr>
            <w:r>
              <w:t>E</w:t>
            </w:r>
            <w:r w:rsidR="000B68A2" w:rsidRPr="00281D94">
              <w:t xml:space="preserve">n partenariat avec l’ADEME, la </w:t>
            </w:r>
            <w:r w:rsidR="00490C97">
              <w:t>R</w:t>
            </w:r>
            <w:r w:rsidR="00490C97" w:rsidRPr="00281D94">
              <w:t xml:space="preserve">égion </w:t>
            </w:r>
            <w:r w:rsidR="000B68A2" w:rsidRPr="00281D94">
              <w:t xml:space="preserve">Hauts-de-France a mis en place le </w:t>
            </w:r>
            <w:r w:rsidRPr="008B3F5D">
              <w:rPr>
                <w:b/>
              </w:rPr>
              <w:t>Fonds Régional d’Amplification de la Troisième Révolution Industrielle</w:t>
            </w:r>
            <w:r w:rsidRPr="00281D94">
              <w:t> </w:t>
            </w:r>
            <w:r>
              <w:t>(</w:t>
            </w:r>
            <w:r w:rsidR="000B68A2" w:rsidRPr="00281D94">
              <w:t>FRATRI</w:t>
            </w:r>
            <w:r>
              <w:t>)</w:t>
            </w:r>
            <w:r w:rsidR="000B68A2" w:rsidRPr="00281D94">
              <w:t xml:space="preserve"> comme dispositif de déclinaison de sa politique climat-énergie. Il vise à amplifier/accélérer les résultats de la Troisième Révolution Industrielle (TRI) et de la Transition Energétique et Ecologique (TEE). Spécifiquement sur la question des énergies renouvelables, elle cible 9 actions structurantes parmi lesquelles :</w:t>
            </w:r>
          </w:p>
          <w:p w14:paraId="334EA570" w14:textId="2B48529A" w:rsidR="000B68A2" w:rsidRDefault="000B68A2" w:rsidP="008B3F5D">
            <w:pPr>
              <w:pStyle w:val="Tablebullet1"/>
              <w:keepNext/>
              <w:keepLines/>
            </w:pPr>
            <w:r w:rsidRPr="00F57C2C">
              <w:t xml:space="preserve">accélérer le développement des </w:t>
            </w:r>
            <w:proofErr w:type="spellStart"/>
            <w:r w:rsidRPr="00F57C2C">
              <w:t>EnR</w:t>
            </w:r>
            <w:proofErr w:type="spellEnd"/>
            <w:r w:rsidRPr="00F57C2C">
              <w:t xml:space="preserve"> au travers des «contrats cadre</w:t>
            </w:r>
            <w:r w:rsidR="00CE07CF">
              <w:t> »</w:t>
            </w:r>
            <w:r w:rsidRPr="00F57C2C">
              <w:t xml:space="preserve"> avec les collectivités locales et EPCI, syndicats d’énergie, </w:t>
            </w:r>
            <w:r>
              <w:t>é</w:t>
            </w:r>
            <w:r w:rsidRPr="00F57C2C">
              <w:t xml:space="preserve">tablissements publics, </w:t>
            </w:r>
            <w:r>
              <w:t>e</w:t>
            </w:r>
            <w:r w:rsidRPr="00F57C2C">
              <w:t>ntreprises.</w:t>
            </w:r>
          </w:p>
          <w:p w14:paraId="6B2D9609" w14:textId="264CE3ED" w:rsidR="000B68A2" w:rsidRDefault="000B68A2" w:rsidP="008B3F5D">
            <w:pPr>
              <w:pStyle w:val="Tablebullet1"/>
              <w:keepNext/>
              <w:keepLines/>
            </w:pPr>
            <w:r w:rsidRPr="00F57C2C">
              <w:t>intensifier l’accompagnement de la filière bois énergie</w:t>
            </w:r>
            <w:r>
              <w:t xml:space="preserve"> à travers l’accompagnement des études et les aides à l’investissement</w:t>
            </w:r>
          </w:p>
          <w:p w14:paraId="4EE1BF62" w14:textId="77777777" w:rsidR="000B68A2" w:rsidRDefault="000B68A2" w:rsidP="008B3F5D">
            <w:pPr>
              <w:pStyle w:val="Tablebullet1"/>
              <w:keepNext/>
              <w:keepLines/>
            </w:pPr>
            <w:r w:rsidRPr="003065F2">
              <w:t>généraliser les dynamiques de territoires afin de développer une animation adaptée et des équipements permettant de répondre aux enjeux territoriaux de maintien et de diversification d’activités pour le milieu agricole et de trouver une filière adaptée de traitement des déchets organiques provenant de collectivités ou d’industries (méthanisation) : par le biais d’accompagnement des études portées par des collectivités et associations d’acteurs, accompagnement des investissements à caractère démonstratif et/ou présentant de forts enjeux</w:t>
            </w:r>
            <w:r>
              <w:t xml:space="preserve"> </w:t>
            </w:r>
            <w:r w:rsidRPr="003065F2">
              <w:t>territoriaux</w:t>
            </w:r>
            <w:r>
              <w:t>, soutien à des projets d’innovation et d’expérimentation, etc.</w:t>
            </w:r>
          </w:p>
          <w:p w14:paraId="4577E83F" w14:textId="77777777" w:rsidR="000B68A2" w:rsidRDefault="000B68A2" w:rsidP="008B3F5D">
            <w:pPr>
              <w:pStyle w:val="Tablebullet1"/>
              <w:keepNext/>
              <w:keepLines/>
            </w:pPr>
            <w:r w:rsidRPr="003065F2">
              <w:t>favoriser l’appropriation et l’accès des territoires à la géothermie de manière</w:t>
            </w:r>
            <w:r>
              <w:t xml:space="preserve"> </w:t>
            </w:r>
            <w:r w:rsidRPr="003065F2">
              <w:t>à intensifier la réalisation d’opérations</w:t>
            </w:r>
            <w:r>
              <w:t xml:space="preserve"> en accompagnant les études de potentiel, </w:t>
            </w:r>
            <w:r w:rsidRPr="003065F2">
              <w:t>d’amélioration des connaissances, d’expertise et de projets</w:t>
            </w:r>
          </w:p>
          <w:p w14:paraId="241583F8" w14:textId="61A635EE" w:rsidR="000B68A2" w:rsidRDefault="000B68A2" w:rsidP="008B3F5D">
            <w:pPr>
              <w:pStyle w:val="Tablebullet1"/>
              <w:keepNext/>
              <w:keepLines/>
            </w:pPr>
            <w:r w:rsidRPr="003065F2">
              <w:t>accélérer la diffusion et accompagner de nouveaux usages des énergies solaires (thermique et PV)</w:t>
            </w:r>
            <w:r w:rsidR="00345933">
              <w:t xml:space="preserve"> </w:t>
            </w:r>
            <w:r w:rsidRPr="003065F2">
              <w:t xml:space="preserve">à travers </w:t>
            </w:r>
            <w:r w:rsidR="00C36F49">
              <w:t xml:space="preserve">des </w:t>
            </w:r>
            <w:r w:rsidRPr="003065F2">
              <w:t>aide</w:t>
            </w:r>
            <w:r w:rsidR="00C36F49">
              <w:t>s</w:t>
            </w:r>
            <w:r w:rsidRPr="003065F2">
              <w:t xml:space="preserve"> aux études et à la démonstration de nouveaux usages, aide aux études de faisabilité et aux investissements pour les technologies</w:t>
            </w:r>
            <w:r>
              <w:t xml:space="preserve"> </w:t>
            </w:r>
            <w:r w:rsidRPr="003065F2">
              <w:t>éprouvées</w:t>
            </w:r>
          </w:p>
          <w:p w14:paraId="687474B8" w14:textId="77777777" w:rsidR="000B68A2" w:rsidRDefault="000B68A2" w:rsidP="008B3F5D">
            <w:pPr>
              <w:pStyle w:val="Tablebullet1"/>
              <w:keepNext/>
              <w:keepLines/>
            </w:pPr>
            <w:r w:rsidRPr="003065F2">
              <w:t>appuyer la mise en œuvre des énergies marines renouvelables  dans une perspective de développement économique pour la filière à tous les niveaux de la chaîne (R&amp;D, développement industriel, start-ups,</w:t>
            </w:r>
            <w:r>
              <w:t xml:space="preserve"> </w:t>
            </w:r>
            <w:r w:rsidRPr="003065F2">
              <w:t>accompagnement-qualification des projets et maîtres d’ouvrages)</w:t>
            </w:r>
          </w:p>
          <w:p w14:paraId="56AE9674" w14:textId="272EA87B" w:rsidR="000B68A2" w:rsidRPr="000B68A2" w:rsidRDefault="000B68A2" w:rsidP="008B3F5D">
            <w:pPr>
              <w:pStyle w:val="Tablebullet1"/>
              <w:keepNext/>
              <w:keepLines/>
            </w:pPr>
            <w:r w:rsidRPr="003065F2">
              <w:t>intensifier l’exploitation des gisements issus de la récupération d’énergies fatales et en</w:t>
            </w:r>
            <w:r>
              <w:t xml:space="preserve"> </w:t>
            </w:r>
            <w:r w:rsidRPr="003065F2">
              <w:t>faire une véritable opportunité de développement et de compétitivité économique à l’échelle régionale</w:t>
            </w:r>
            <w:r>
              <w:t xml:space="preserve"> en accompagnant les études préalables, les expérimentations et projets innovants ainsi que les investissements</w:t>
            </w:r>
            <w:r w:rsidRPr="006D3D16">
              <w:rPr>
                <w:bCs/>
              </w:rPr>
              <w:t xml:space="preserve"> </w:t>
            </w:r>
          </w:p>
          <w:p w14:paraId="44023E17" w14:textId="77777777" w:rsidR="000B68A2" w:rsidRPr="006B506B" w:rsidRDefault="000B68A2" w:rsidP="000B68A2">
            <w:pPr>
              <w:pStyle w:val="Tablebullet1"/>
              <w:keepNext/>
              <w:keepLines/>
              <w:numPr>
                <w:ilvl w:val="0"/>
                <w:numId w:val="0"/>
              </w:numPr>
              <w:ind w:left="340"/>
            </w:pPr>
          </w:p>
          <w:p w14:paraId="02CEB14B" w14:textId="58031EEC" w:rsidR="000B68A2" w:rsidRPr="00281D94" w:rsidRDefault="000B68A2" w:rsidP="008B3F5D">
            <w:pPr>
              <w:pStyle w:val="BodyText"/>
              <w:keepNext/>
              <w:keepLines/>
              <w:rPr>
                <w:sz w:val="16"/>
              </w:rPr>
            </w:pPr>
            <w:r w:rsidRPr="00281D94">
              <w:rPr>
                <w:sz w:val="16"/>
              </w:rPr>
              <w:t xml:space="preserve">En </w:t>
            </w:r>
            <w:r w:rsidRPr="00281D94">
              <w:rPr>
                <w:b/>
                <w:sz w:val="16"/>
              </w:rPr>
              <w:t>2019</w:t>
            </w:r>
            <w:r w:rsidRPr="00281D94">
              <w:rPr>
                <w:sz w:val="16"/>
              </w:rPr>
              <w:t>,</w:t>
            </w:r>
            <w:r w:rsidR="00EE5D34" w:rsidRPr="00281D94">
              <w:rPr>
                <w:sz w:val="16"/>
              </w:rPr>
              <w:t xml:space="preserve"> </w:t>
            </w:r>
            <w:r w:rsidRPr="00281D94">
              <w:rPr>
                <w:sz w:val="16"/>
              </w:rPr>
              <w:t xml:space="preserve">le FRATTRI a permis de soutenir </w:t>
            </w:r>
            <w:r w:rsidRPr="002A6591">
              <w:rPr>
                <w:b/>
                <w:sz w:val="16"/>
              </w:rPr>
              <w:t>227 opérations en 3 ans</w:t>
            </w:r>
            <w:r w:rsidRPr="00281D94">
              <w:rPr>
                <w:sz w:val="16"/>
              </w:rPr>
              <w:t>.  L’ADEME et la Région Hauts-de-France ont mobilisé respectivement 11,9 M€ et 10,7 M€ soit u</w:t>
            </w:r>
            <w:r w:rsidR="00AF3443">
              <w:rPr>
                <w:sz w:val="16"/>
              </w:rPr>
              <w:t>n</w:t>
            </w:r>
            <w:r w:rsidRPr="00281D94">
              <w:rPr>
                <w:sz w:val="16"/>
              </w:rPr>
              <w:t xml:space="preserve"> total </w:t>
            </w:r>
            <w:r w:rsidR="002A6591">
              <w:rPr>
                <w:sz w:val="16"/>
              </w:rPr>
              <w:t xml:space="preserve">de </w:t>
            </w:r>
            <w:r w:rsidRPr="002A6591">
              <w:rPr>
                <w:b/>
                <w:sz w:val="16"/>
              </w:rPr>
              <w:t>22,6 M€.</w:t>
            </w:r>
            <w:r w:rsidRPr="00281D94">
              <w:rPr>
                <w:sz w:val="16"/>
              </w:rPr>
              <w:t xml:space="preserve"> Le projet cadre portant sur les énergies renouvelables et fatales a concentré 9 M€ des fonds, le stockage de l’énergie renouvelable et de récupération (80 K€), les réseaux intelligents (40 K€), les innovations dans le domaine des mobilités (460 K€).</w:t>
            </w:r>
            <w:r w:rsidR="00924692">
              <w:rPr>
                <w:sz w:val="16"/>
              </w:rPr>
              <w:t xml:space="preserve"> </w:t>
            </w:r>
            <w:r w:rsidR="000B2C21">
              <w:rPr>
                <w:sz w:val="16"/>
              </w:rPr>
              <w:t xml:space="preserve">Au total les projets portant sur l’énergie </w:t>
            </w:r>
            <w:r w:rsidR="00257FEC">
              <w:rPr>
                <w:sz w:val="16"/>
              </w:rPr>
              <w:t xml:space="preserve">ont mobilisé 42,4% des </w:t>
            </w:r>
            <w:r w:rsidR="00924692">
              <w:rPr>
                <w:sz w:val="16"/>
              </w:rPr>
              <w:t xml:space="preserve">fonts du FRATRI. </w:t>
            </w:r>
          </w:p>
        </w:tc>
      </w:tr>
    </w:tbl>
    <w:p w14:paraId="5ACFE6A2" w14:textId="77777777" w:rsidR="000B68A2" w:rsidRDefault="000B68A2" w:rsidP="00E72DF0">
      <w:pPr>
        <w:pStyle w:val="BodyText"/>
        <w:rPr>
          <w:bCs/>
        </w:rPr>
      </w:pPr>
    </w:p>
    <w:p w14:paraId="260AC58C" w14:textId="1095B65D" w:rsidR="007B2642" w:rsidRDefault="000B68A2" w:rsidP="007B2642">
      <w:pPr>
        <w:pStyle w:val="Caption"/>
        <w:keepLines/>
      </w:pPr>
      <w:bookmarkStart w:id="34" w:name="_Ref68258041"/>
      <w:r>
        <w:t xml:space="preserve">Encadré </w:t>
      </w:r>
      <w:r>
        <w:fldChar w:fldCharType="begin"/>
      </w:r>
      <w:r>
        <w:instrText xml:space="preserve"> SEQ Encadré \* ARABIC </w:instrText>
      </w:r>
      <w:r>
        <w:fldChar w:fldCharType="separate"/>
      </w:r>
      <w:r w:rsidR="009F0282">
        <w:rPr>
          <w:noProof/>
        </w:rPr>
        <w:t>4</w:t>
      </w:r>
      <w:r>
        <w:fldChar w:fldCharType="end"/>
      </w:r>
      <w:r w:rsidR="007B2642">
        <w:t xml:space="preserve"> REV3 </w:t>
      </w:r>
      <w:r w:rsidR="00066A23">
        <w:t>Capital</w:t>
      </w:r>
    </w:p>
    <w:tbl>
      <w:tblPr>
        <w:tblStyle w:val="TableGrid"/>
        <w:tblW w:w="9209" w:type="dxa"/>
        <w:tblBorders>
          <w:top w:val="single" w:sz="4" w:space="0" w:color="C73C3A" w:themeColor="accent1"/>
          <w:left w:val="single" w:sz="4" w:space="0" w:color="C73C3A" w:themeColor="accent1"/>
          <w:bottom w:val="single" w:sz="4" w:space="0" w:color="C73C3A" w:themeColor="accent1"/>
          <w:right w:val="single" w:sz="4" w:space="0" w:color="C73C3A" w:themeColor="accent1"/>
          <w:insideH w:val="none" w:sz="0" w:space="0" w:color="auto"/>
          <w:insideV w:val="none" w:sz="0" w:space="0" w:color="auto"/>
        </w:tblBorders>
        <w:tblLook w:val="04A0" w:firstRow="1" w:lastRow="0" w:firstColumn="1" w:lastColumn="0" w:noHBand="0" w:noVBand="1"/>
      </w:tblPr>
      <w:tblGrid>
        <w:gridCol w:w="9209"/>
      </w:tblGrid>
      <w:tr w:rsidR="007B2642" w:rsidRPr="006D322E" w14:paraId="7F40B35F" w14:textId="77777777" w:rsidTr="005E13DD">
        <w:tc>
          <w:tcPr>
            <w:tcW w:w="9209" w:type="dxa"/>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2D1E1EA3" w14:textId="5A81CE26" w:rsidR="007B2642" w:rsidRPr="006D322E" w:rsidRDefault="007B2642" w:rsidP="005E13DD">
            <w:pPr>
              <w:pStyle w:val="Tabletext"/>
              <w:keepNext/>
              <w:keepLines/>
              <w:jc w:val="both"/>
              <w:rPr>
                <w:rFonts w:asciiTheme="majorHAnsi" w:hAnsiTheme="majorHAnsi"/>
                <w:bCs/>
                <w:szCs w:val="16"/>
              </w:rPr>
            </w:pPr>
            <w:r w:rsidRPr="00066A23">
              <w:rPr>
                <w:rFonts w:asciiTheme="majorHAnsi" w:hAnsiTheme="majorHAnsi"/>
                <w:b/>
                <w:szCs w:val="16"/>
              </w:rPr>
              <w:t>REV3 Capital</w:t>
            </w:r>
            <w:r w:rsidRPr="006D322E">
              <w:rPr>
                <w:rFonts w:asciiTheme="majorHAnsi" w:hAnsiTheme="majorHAnsi"/>
                <w:bCs/>
                <w:szCs w:val="16"/>
              </w:rPr>
              <w:t xml:space="preserve"> (anciennement CAP3RI)</w:t>
            </w:r>
            <w:r>
              <w:rPr>
                <w:rFonts w:asciiTheme="majorHAnsi" w:hAnsiTheme="majorHAnsi"/>
                <w:bCs/>
                <w:szCs w:val="16"/>
              </w:rPr>
              <w:t xml:space="preserve">, chapeauté par </w:t>
            </w:r>
            <w:r w:rsidRPr="006D322E">
              <w:rPr>
                <w:rFonts w:asciiTheme="majorHAnsi" w:hAnsiTheme="majorHAnsi"/>
                <w:bCs/>
                <w:szCs w:val="16"/>
              </w:rPr>
              <w:t>REV3 Financement</w:t>
            </w:r>
            <w:r>
              <w:rPr>
                <w:rFonts w:asciiTheme="majorHAnsi" w:hAnsiTheme="majorHAnsi"/>
                <w:bCs/>
                <w:szCs w:val="16"/>
              </w:rPr>
              <w:t xml:space="preserve">, </w:t>
            </w:r>
            <w:r w:rsidRPr="006D322E">
              <w:rPr>
                <w:rFonts w:asciiTheme="majorHAnsi" w:hAnsiTheme="majorHAnsi"/>
                <w:bCs/>
                <w:szCs w:val="16"/>
              </w:rPr>
              <w:t xml:space="preserve">est l’outil principal de la Région pour financer la Troisième Révolution Industrielle. </w:t>
            </w:r>
            <w:r>
              <w:rPr>
                <w:rFonts w:asciiTheme="majorHAnsi" w:hAnsiTheme="majorHAnsi"/>
                <w:bCs/>
                <w:szCs w:val="16"/>
              </w:rPr>
              <w:t>Il s’agit d’</w:t>
            </w:r>
            <w:r w:rsidRPr="006D322E">
              <w:rPr>
                <w:rFonts w:asciiTheme="majorHAnsi" w:hAnsiTheme="majorHAnsi"/>
                <w:bCs/>
                <w:szCs w:val="16"/>
              </w:rPr>
              <w:t>un fonds d’investissement en fonds propres dans les entreprises régionales porteuses de projets s’inscrivant dans la dynamique la 3</w:t>
            </w:r>
            <w:r w:rsidRPr="006D322E">
              <w:rPr>
                <w:rFonts w:asciiTheme="majorHAnsi" w:hAnsiTheme="majorHAnsi"/>
                <w:bCs/>
                <w:szCs w:val="16"/>
                <w:vertAlign w:val="superscript"/>
              </w:rPr>
              <w:t>ème</w:t>
            </w:r>
            <w:r w:rsidRPr="006D322E">
              <w:rPr>
                <w:rFonts w:asciiTheme="majorHAnsi" w:hAnsiTheme="majorHAnsi"/>
                <w:bCs/>
                <w:szCs w:val="16"/>
              </w:rPr>
              <w:t xml:space="preserve"> révolution Industrielle.</w:t>
            </w:r>
            <w:r w:rsidR="00540D53">
              <w:rPr>
                <w:rFonts w:asciiTheme="majorHAnsi" w:hAnsiTheme="majorHAnsi"/>
                <w:bCs/>
                <w:szCs w:val="16"/>
              </w:rPr>
              <w:t xml:space="preserve"> Ce fonds</w:t>
            </w:r>
            <w:r w:rsidR="001D1832">
              <w:rPr>
                <w:rFonts w:asciiTheme="majorHAnsi" w:hAnsiTheme="majorHAnsi"/>
                <w:bCs/>
                <w:szCs w:val="16"/>
              </w:rPr>
              <w:t xml:space="preserve"> </w:t>
            </w:r>
            <w:proofErr w:type="spellStart"/>
            <w:r w:rsidR="001D1832">
              <w:rPr>
                <w:rFonts w:asciiTheme="majorHAnsi" w:hAnsiTheme="majorHAnsi"/>
                <w:bCs/>
                <w:szCs w:val="16"/>
              </w:rPr>
              <w:t>profondémment</w:t>
            </w:r>
            <w:proofErr w:type="spellEnd"/>
            <w:r w:rsidR="001D1832">
              <w:rPr>
                <w:rFonts w:asciiTheme="majorHAnsi" w:hAnsiTheme="majorHAnsi"/>
                <w:bCs/>
                <w:szCs w:val="16"/>
              </w:rPr>
              <w:t xml:space="preserve"> ancré</w:t>
            </w:r>
            <w:r w:rsidR="00FB4098">
              <w:rPr>
                <w:rFonts w:asciiTheme="majorHAnsi" w:hAnsiTheme="majorHAnsi"/>
                <w:bCs/>
                <w:szCs w:val="16"/>
              </w:rPr>
              <w:t xml:space="preserve"> dans le développement économique local</w:t>
            </w:r>
            <w:r w:rsidR="001D1832">
              <w:rPr>
                <w:rFonts w:asciiTheme="majorHAnsi" w:hAnsiTheme="majorHAnsi"/>
                <w:bCs/>
                <w:szCs w:val="16"/>
              </w:rPr>
              <w:t xml:space="preserve"> accompagne ainsi des projets </w:t>
            </w:r>
            <w:proofErr w:type="spellStart"/>
            <w:r w:rsidR="001D1832">
              <w:rPr>
                <w:rFonts w:asciiTheme="majorHAnsi" w:hAnsiTheme="majorHAnsi"/>
                <w:bCs/>
                <w:szCs w:val="16"/>
              </w:rPr>
              <w:t>strcturants</w:t>
            </w:r>
            <w:proofErr w:type="spellEnd"/>
            <w:r w:rsidR="001D1832">
              <w:rPr>
                <w:rFonts w:asciiTheme="majorHAnsi" w:hAnsiTheme="majorHAnsi"/>
                <w:bCs/>
                <w:szCs w:val="16"/>
              </w:rPr>
              <w:t xml:space="preserve"> pour le territoire.</w:t>
            </w:r>
            <w:r w:rsidR="00FB4098">
              <w:rPr>
                <w:rFonts w:asciiTheme="majorHAnsi" w:hAnsiTheme="majorHAnsi"/>
                <w:bCs/>
                <w:szCs w:val="16"/>
              </w:rPr>
              <w:t xml:space="preserve"> </w:t>
            </w:r>
            <w:r w:rsidRPr="006D322E">
              <w:rPr>
                <w:rFonts w:asciiTheme="majorHAnsi" w:hAnsiTheme="majorHAnsi"/>
                <w:bCs/>
                <w:szCs w:val="16"/>
              </w:rPr>
              <w:t xml:space="preserve">Le fonds poursuit 5 objectifs à savoir : i) accompagner les entreprises dans leur transition vers une économie verte et mettre en place de nouveaux modèles de développement durable ; ii) accélérer la croissance des entreprises en finançant leur développement par un apport en fonds propres ; iii) aider en amont au développement de nouveaux projets et de R&amp;D grâce à une enveloppe d’assistance technique ; iv) être un actionnaire minoritaire créateur de valeur s’engageant sur le long terme ; v) mettre en place un dialogue constant avec les dirigeants grâce à une équipe dédiée implantée en Région Hauts-de-France. </w:t>
            </w:r>
          </w:p>
          <w:p w14:paraId="778A29D4" w14:textId="77777777" w:rsidR="007B2642" w:rsidRPr="006D322E" w:rsidRDefault="007B2642" w:rsidP="005E13DD">
            <w:pPr>
              <w:pStyle w:val="Tabletext"/>
              <w:keepNext/>
              <w:keepLines/>
              <w:jc w:val="both"/>
              <w:rPr>
                <w:rFonts w:asciiTheme="majorHAnsi" w:hAnsiTheme="majorHAnsi"/>
                <w:bCs/>
                <w:szCs w:val="16"/>
              </w:rPr>
            </w:pPr>
          </w:p>
          <w:p w14:paraId="0A73A953" w14:textId="77777777" w:rsidR="007B2642" w:rsidRPr="006D322E" w:rsidRDefault="007B264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a vocation à investir sur plusieurs thématiques en lien avec la transition énergétique dont les énergies renouvelables, la gestion de l’énergie, les réseaux intelligents, la mobilité durable. </w:t>
            </w:r>
          </w:p>
          <w:p w14:paraId="123379A5" w14:textId="77777777" w:rsidR="007B2642" w:rsidRPr="006D322E" w:rsidRDefault="007B2642" w:rsidP="005E13DD">
            <w:pPr>
              <w:pStyle w:val="Tabletext"/>
              <w:keepNext/>
              <w:keepLines/>
              <w:jc w:val="both"/>
              <w:rPr>
                <w:rFonts w:asciiTheme="majorHAnsi" w:hAnsiTheme="majorHAnsi"/>
                <w:bCs/>
                <w:szCs w:val="16"/>
              </w:rPr>
            </w:pPr>
          </w:p>
          <w:p w14:paraId="5BCE7406" w14:textId="77777777" w:rsidR="007B2642" w:rsidRPr="006D322E" w:rsidRDefault="007B2642" w:rsidP="005E13DD">
            <w:pPr>
              <w:keepNext/>
              <w:keepLines/>
              <w:spacing w:afterLines="60" w:after="144"/>
              <w:jc w:val="both"/>
              <w:rPr>
                <w:rFonts w:asciiTheme="majorHAnsi" w:hAnsiTheme="majorHAnsi"/>
                <w:bCs/>
              </w:rPr>
            </w:pPr>
            <w:r w:rsidRPr="00B52629">
              <w:rPr>
                <w:rFonts w:asciiTheme="majorHAnsi" w:hAnsiTheme="majorHAnsi"/>
                <w:bCs/>
              </w:rPr>
              <w:t xml:space="preserve">L’engagement global est de 45 M€ dont </w:t>
            </w:r>
            <w:r w:rsidRPr="00B52629">
              <w:rPr>
                <w:rFonts w:asciiTheme="majorHAnsi" w:hAnsiTheme="majorHAnsi"/>
                <w:b/>
              </w:rPr>
              <w:t>16,5 M€ de contribution FEDER apportée par la Région Hauts-de-France</w:t>
            </w:r>
            <w:r w:rsidRPr="00B52629">
              <w:rPr>
                <w:rFonts w:asciiTheme="majorHAnsi" w:hAnsiTheme="majorHAnsi"/>
                <w:bCs/>
              </w:rPr>
              <w:t xml:space="preserve"> et 20 M€ par la Banque Européenne d’Investissement sous la forme d’un Prêt Participatif.</w:t>
            </w:r>
            <w:r w:rsidRPr="006D322E">
              <w:rPr>
                <w:rFonts w:asciiTheme="majorHAnsi" w:hAnsiTheme="majorHAnsi"/>
                <w:bCs/>
              </w:rPr>
              <w:t xml:space="preserve"> </w:t>
            </w:r>
          </w:p>
          <w:p w14:paraId="1A45F627" w14:textId="77777777" w:rsidR="007B2642" w:rsidRPr="006D322E" w:rsidRDefault="007B2642" w:rsidP="005E13DD">
            <w:pPr>
              <w:pStyle w:val="Tabletext"/>
              <w:keepNext/>
              <w:keepLines/>
              <w:jc w:val="both"/>
              <w:rPr>
                <w:rFonts w:asciiTheme="majorHAnsi" w:hAnsiTheme="majorHAnsi"/>
                <w:bCs/>
                <w:szCs w:val="16"/>
              </w:rPr>
            </w:pPr>
            <w:r>
              <w:rPr>
                <w:rFonts w:asciiTheme="majorHAnsi" w:hAnsiTheme="majorHAnsi"/>
                <w:bCs/>
                <w:szCs w:val="16"/>
              </w:rPr>
              <w:t xml:space="preserve">Depuis 2016, REV3 Capital a investi dans 12 entreprises dont 4 dédiées à la production d’EnR (pour un montant de 18,5M€ dont 5M€ vers la production d’EnR). </w:t>
            </w:r>
            <w:r w:rsidRPr="006D322E">
              <w:rPr>
                <w:rFonts w:asciiTheme="majorHAnsi" w:hAnsiTheme="majorHAnsi"/>
                <w:bCs/>
                <w:szCs w:val="16"/>
              </w:rPr>
              <w:t>Si le rythme historique d’investissement était compris entre 4 et 5 M€ / an, une possible accélération est anticipée dans le cadre du plan de relance et des objectifs ambitieux en termes d’économie bas carbone. Les objectifs d’investissement à partir de 2021 sont donc de 8 à 10 M€ / an. Les objectifs de REV3 Capital sont d’effectuer 5 investissements sur l’année 2021 pour un montant global de l’ordre de 10 M</w:t>
            </w:r>
            <w:r w:rsidRPr="006D322E">
              <w:rPr>
                <w:rFonts w:ascii="Century Gothic" w:hAnsi="Century Gothic"/>
                <w:bCs/>
                <w:szCs w:val="16"/>
              </w:rPr>
              <w:t>€</w:t>
            </w:r>
            <w:r w:rsidRPr="006D322E">
              <w:rPr>
                <w:rFonts w:asciiTheme="majorHAnsi" w:hAnsiTheme="majorHAnsi"/>
                <w:bCs/>
                <w:szCs w:val="16"/>
              </w:rPr>
              <w:t xml:space="preserve">, portant les capitaux investis à 30 M€. Ces perspectives positionneront </w:t>
            </w:r>
            <w:r w:rsidRPr="00A31BE5">
              <w:rPr>
                <w:rFonts w:asciiTheme="majorHAnsi" w:hAnsiTheme="majorHAnsi"/>
                <w:bCs/>
                <w:szCs w:val="16"/>
              </w:rPr>
              <w:t>REV3 Financement</w:t>
            </w:r>
            <w:r w:rsidRPr="006D322E">
              <w:rPr>
                <w:rFonts w:asciiTheme="majorHAnsi" w:hAnsiTheme="majorHAnsi"/>
                <w:bCs/>
                <w:szCs w:val="16"/>
              </w:rPr>
              <w:t xml:space="preserve"> dans une nouvelle dynamique de levée de fonds au cours de l’exercice 2021 afin d’activer le levier complémentaire de prêt de la Banque Européenne d’Investissement et poursuivre son rythme d’investissement annuel.</w:t>
            </w:r>
          </w:p>
          <w:p w14:paraId="09010632" w14:textId="77777777" w:rsidR="007B2642" w:rsidRPr="006D322E" w:rsidRDefault="007B2642" w:rsidP="005E13DD">
            <w:pPr>
              <w:keepNext/>
              <w:keepLines/>
              <w:spacing w:afterLines="60" w:after="144"/>
              <w:jc w:val="both"/>
              <w:rPr>
                <w:rFonts w:asciiTheme="majorHAnsi" w:hAnsiTheme="majorHAnsi"/>
                <w:bCs/>
              </w:rPr>
            </w:pPr>
          </w:p>
          <w:p w14:paraId="07575F58" w14:textId="77777777" w:rsidR="007B2642" w:rsidRPr="006D322E" w:rsidRDefault="007B264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REV3 Capital permet de financer des </w:t>
            </w:r>
            <w:r w:rsidRPr="0028077E">
              <w:rPr>
                <w:rFonts w:asciiTheme="majorHAnsi" w:hAnsiTheme="majorHAnsi"/>
                <w:b/>
                <w:szCs w:val="16"/>
              </w:rPr>
              <w:t>entreprises qui trouveraient des financements difficilement sur le marché privé</w:t>
            </w:r>
            <w:r w:rsidRPr="006D322E">
              <w:rPr>
                <w:rFonts w:asciiTheme="majorHAnsi" w:hAnsiTheme="majorHAnsi"/>
                <w:bCs/>
                <w:szCs w:val="16"/>
              </w:rPr>
              <w:t xml:space="preserve"> aux caractéristiques suivantes : </w:t>
            </w:r>
          </w:p>
          <w:p w14:paraId="3DF168C5"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28077E">
              <w:rPr>
                <w:rFonts w:asciiTheme="majorHAnsi" w:hAnsiTheme="majorHAnsi"/>
                <w:b/>
              </w:rPr>
              <w:t>projets d’infrastructure</w:t>
            </w:r>
            <w:r w:rsidRPr="006D322E">
              <w:rPr>
                <w:rFonts w:asciiTheme="majorHAnsi" w:hAnsiTheme="majorHAnsi"/>
                <w:bCs/>
              </w:rPr>
              <w:t xml:space="preserve"> qui ont un chiffre d’affaires important et un </w:t>
            </w:r>
            <w:r w:rsidRPr="0028077E">
              <w:rPr>
                <w:rFonts w:asciiTheme="majorHAnsi" w:hAnsiTheme="majorHAnsi"/>
                <w:b/>
              </w:rPr>
              <w:t>plan de CAPEX important</w:t>
            </w:r>
            <w:r w:rsidRPr="006D322E">
              <w:rPr>
                <w:rFonts w:asciiTheme="majorHAnsi" w:hAnsiTheme="majorHAnsi"/>
                <w:bCs/>
              </w:rPr>
              <w:t xml:space="preserve">. Par exemple, l’entreprise </w:t>
            </w:r>
            <w:proofErr w:type="spellStart"/>
            <w:r w:rsidRPr="006D322E">
              <w:rPr>
                <w:rFonts w:asciiTheme="majorHAnsi" w:hAnsiTheme="majorHAnsi"/>
                <w:bCs/>
              </w:rPr>
              <w:t>Gazonor</w:t>
            </w:r>
            <w:proofErr w:type="spellEnd"/>
            <w:r w:rsidRPr="006D322E">
              <w:rPr>
                <w:rFonts w:asciiTheme="majorHAnsi" w:hAnsiTheme="majorHAnsi"/>
                <w:bCs/>
              </w:rPr>
              <w:t xml:space="preserve"> a sollicité </w:t>
            </w:r>
            <w:r w:rsidRPr="0012328C">
              <w:rPr>
                <w:rFonts w:asciiTheme="majorHAnsi" w:hAnsiTheme="majorHAnsi"/>
              </w:rPr>
              <w:t>REV3 Capital</w:t>
            </w:r>
            <w:r w:rsidRPr="006D322E">
              <w:rPr>
                <w:rFonts w:asciiTheme="majorHAnsi" w:hAnsiTheme="majorHAnsi"/>
                <w:bCs/>
              </w:rPr>
              <w:t xml:space="preserve"> à hauteur de </w:t>
            </w:r>
            <w:r w:rsidRPr="00292291">
              <w:rPr>
                <w:rFonts w:asciiTheme="majorHAnsi" w:hAnsiTheme="majorHAnsi"/>
              </w:rPr>
              <w:t>3</w:t>
            </w:r>
            <w:r>
              <w:rPr>
                <w:rFonts w:asciiTheme="majorHAnsi" w:hAnsiTheme="majorHAnsi"/>
              </w:rPr>
              <w:t> </w:t>
            </w:r>
            <w:r w:rsidRPr="00292291">
              <w:rPr>
                <w:rFonts w:asciiTheme="majorHAnsi" w:hAnsiTheme="majorHAnsi"/>
              </w:rPr>
              <w:t>M</w:t>
            </w:r>
            <w:r>
              <w:rPr>
                <w:rFonts w:asciiTheme="majorHAnsi" w:hAnsiTheme="majorHAnsi"/>
              </w:rPr>
              <w:t>€</w:t>
            </w:r>
            <w:r w:rsidRPr="006D322E">
              <w:rPr>
                <w:rFonts w:asciiTheme="majorHAnsi" w:hAnsiTheme="majorHAnsi"/>
                <w:bCs/>
              </w:rPr>
              <w:t xml:space="preserve"> pour développer sur d’anciens sites miniers des installations d’unités de conversion de gaz de mine en électricité.</w:t>
            </w:r>
          </w:p>
          <w:p w14:paraId="714D1113"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28077E">
              <w:rPr>
                <w:rFonts w:asciiTheme="majorHAnsi" w:hAnsiTheme="majorHAnsi"/>
                <w:b/>
              </w:rPr>
              <w:t>entreprises innovantes en phase de développement</w:t>
            </w:r>
            <w:r w:rsidRPr="006D322E">
              <w:rPr>
                <w:rFonts w:asciiTheme="majorHAnsi" w:hAnsiTheme="majorHAnsi"/>
                <w:bCs/>
              </w:rPr>
              <w:t xml:space="preserve"> qui </w:t>
            </w:r>
            <w:r w:rsidRPr="00292291">
              <w:rPr>
                <w:rFonts w:asciiTheme="majorHAnsi" w:hAnsiTheme="majorHAnsi"/>
              </w:rPr>
              <w:t>amène</w:t>
            </w:r>
            <w:r>
              <w:rPr>
                <w:rFonts w:asciiTheme="majorHAnsi" w:hAnsiTheme="majorHAnsi"/>
              </w:rPr>
              <w:t>nt</w:t>
            </w:r>
            <w:r w:rsidRPr="006D322E">
              <w:rPr>
                <w:rFonts w:asciiTheme="majorHAnsi" w:hAnsiTheme="majorHAnsi"/>
                <w:bCs/>
              </w:rPr>
              <w:t xml:space="preserve"> une rupture technologique importante. Par exemple, </w:t>
            </w:r>
            <w:r w:rsidRPr="0084153F">
              <w:rPr>
                <w:rFonts w:asciiTheme="majorHAnsi" w:hAnsiTheme="majorHAnsi"/>
              </w:rPr>
              <w:t>REV3 Capital</w:t>
            </w:r>
            <w:r w:rsidRPr="006D322E">
              <w:rPr>
                <w:rFonts w:asciiTheme="majorHAnsi" w:hAnsiTheme="majorHAnsi"/>
                <w:bCs/>
              </w:rPr>
              <w:t xml:space="preserve"> a financé TIAMAT, une start-up pionnière dans le développement de batteries sodium-ion à hauteur de 0,5 M</w:t>
            </w:r>
            <w:r>
              <w:rPr>
                <w:rFonts w:asciiTheme="majorHAnsi" w:hAnsiTheme="majorHAnsi"/>
              </w:rPr>
              <w:t>€</w:t>
            </w:r>
            <w:r w:rsidRPr="006D322E">
              <w:rPr>
                <w:rFonts w:asciiTheme="majorHAnsi" w:hAnsiTheme="majorHAnsi"/>
                <w:bCs/>
              </w:rPr>
              <w:t xml:space="preserve"> dans la cadre d’un tour de table de 3,5 M</w:t>
            </w:r>
            <w:r>
              <w:rPr>
                <w:rFonts w:asciiTheme="majorHAnsi" w:hAnsiTheme="majorHAnsi"/>
              </w:rPr>
              <w:t>€</w:t>
            </w:r>
            <w:r w:rsidRPr="00292291">
              <w:rPr>
                <w:rFonts w:asciiTheme="majorHAnsi" w:hAnsiTheme="majorHAnsi"/>
              </w:rPr>
              <w:t xml:space="preserve">. </w:t>
            </w:r>
            <w:r w:rsidRPr="006D322E">
              <w:rPr>
                <w:rFonts w:asciiTheme="majorHAnsi" w:hAnsiTheme="majorHAnsi"/>
                <w:bCs/>
              </w:rPr>
              <w:t xml:space="preserve"> </w:t>
            </w:r>
          </w:p>
          <w:p w14:paraId="3494F8FE"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F459C0">
              <w:rPr>
                <w:rFonts w:asciiTheme="majorHAnsi" w:hAnsiTheme="majorHAnsi"/>
                <w:b/>
              </w:rPr>
              <w:t>PME de tailles importantes</w:t>
            </w:r>
            <w:r w:rsidRPr="006D322E">
              <w:rPr>
                <w:rFonts w:asciiTheme="majorHAnsi" w:hAnsiTheme="majorHAnsi"/>
                <w:bCs/>
              </w:rPr>
              <w:t xml:space="preserve"> avec un </w:t>
            </w:r>
            <w:r w:rsidRPr="00F459C0">
              <w:rPr>
                <w:rFonts w:asciiTheme="majorHAnsi" w:hAnsiTheme="majorHAnsi"/>
                <w:b/>
              </w:rPr>
              <w:t>besoin en capital développement</w:t>
            </w:r>
            <w:r w:rsidRPr="006D322E">
              <w:rPr>
                <w:rFonts w:asciiTheme="majorHAnsi" w:hAnsiTheme="majorHAnsi"/>
                <w:bCs/>
              </w:rPr>
              <w:t xml:space="preserve">. Par exemple, </w:t>
            </w:r>
            <w:r w:rsidRPr="0012328C">
              <w:rPr>
                <w:rFonts w:asciiTheme="majorHAnsi" w:hAnsiTheme="majorHAnsi"/>
              </w:rPr>
              <w:t>REV3 Capital</w:t>
            </w:r>
            <w:r w:rsidRPr="006D322E">
              <w:rPr>
                <w:rFonts w:asciiTheme="majorHAnsi" w:hAnsiTheme="majorHAnsi"/>
                <w:bCs/>
              </w:rPr>
              <w:t xml:space="preserve"> a financé le groupe Be Paper, acteur régional de l’industrie papetière et de l’emballage carton à hauteur de 3M</w:t>
            </w:r>
            <w:r>
              <w:rPr>
                <w:rFonts w:asciiTheme="majorHAnsi" w:hAnsiTheme="majorHAnsi"/>
              </w:rPr>
              <w:t>€</w:t>
            </w:r>
            <w:r w:rsidRPr="006D322E">
              <w:rPr>
                <w:rFonts w:asciiTheme="majorHAnsi" w:hAnsiTheme="majorHAnsi"/>
                <w:bCs/>
              </w:rPr>
              <w:t xml:space="preserve"> en novembre 2019 et de 0,8 M</w:t>
            </w:r>
            <w:r>
              <w:rPr>
                <w:rFonts w:asciiTheme="majorHAnsi" w:hAnsiTheme="majorHAnsi"/>
              </w:rPr>
              <w:t>€</w:t>
            </w:r>
            <w:r w:rsidRPr="006D322E">
              <w:rPr>
                <w:rFonts w:asciiTheme="majorHAnsi" w:hAnsiTheme="majorHAnsi"/>
                <w:bCs/>
              </w:rPr>
              <w:t xml:space="preserve"> en décembre 2020.</w:t>
            </w:r>
            <w:r>
              <w:rPr>
                <w:rFonts w:asciiTheme="majorHAnsi" w:hAnsiTheme="majorHAnsi"/>
              </w:rPr>
              <w:t xml:space="preserve"> </w:t>
            </w:r>
          </w:p>
          <w:p w14:paraId="5221021D"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F459C0">
              <w:rPr>
                <w:rFonts w:asciiTheme="majorHAnsi" w:hAnsiTheme="majorHAnsi"/>
                <w:b/>
              </w:rPr>
              <w:t>entreprises industrielles</w:t>
            </w:r>
            <w:r w:rsidRPr="006D322E">
              <w:rPr>
                <w:rFonts w:asciiTheme="majorHAnsi" w:hAnsiTheme="majorHAnsi"/>
                <w:bCs/>
              </w:rPr>
              <w:t xml:space="preserve"> en </w:t>
            </w:r>
            <w:r w:rsidRPr="00F459C0">
              <w:rPr>
                <w:rFonts w:asciiTheme="majorHAnsi" w:hAnsiTheme="majorHAnsi"/>
                <w:b/>
              </w:rPr>
              <w:t>phase de changement d’échelle</w:t>
            </w:r>
            <w:r w:rsidRPr="006D322E">
              <w:rPr>
                <w:rFonts w:asciiTheme="majorHAnsi" w:hAnsiTheme="majorHAnsi"/>
                <w:bCs/>
              </w:rPr>
              <w:t xml:space="preserve">. Par exemple </w:t>
            </w:r>
            <w:r w:rsidRPr="0012328C">
              <w:rPr>
                <w:rFonts w:asciiTheme="majorHAnsi" w:hAnsiTheme="majorHAnsi"/>
              </w:rPr>
              <w:t>REV3 Capital</w:t>
            </w:r>
            <w:r w:rsidRPr="006D322E">
              <w:rPr>
                <w:rFonts w:asciiTheme="majorHAnsi" w:hAnsiTheme="majorHAnsi"/>
                <w:bCs/>
              </w:rPr>
              <w:t xml:space="preserve"> a investi 1,2 M</w:t>
            </w:r>
            <w:r>
              <w:rPr>
                <w:rFonts w:asciiTheme="majorHAnsi" w:hAnsiTheme="majorHAnsi"/>
              </w:rPr>
              <w:t>€</w:t>
            </w:r>
            <w:r w:rsidRPr="00292291">
              <w:rPr>
                <w:rFonts w:asciiTheme="majorHAnsi" w:hAnsiTheme="majorHAnsi"/>
              </w:rPr>
              <w:t>,</w:t>
            </w:r>
            <w:r w:rsidRPr="006D322E">
              <w:rPr>
                <w:rFonts w:asciiTheme="majorHAnsi" w:hAnsiTheme="majorHAnsi"/>
                <w:bCs/>
              </w:rPr>
              <w:t xml:space="preserve"> dans LMK Energy, entreprise qui produit et commercialise de la biomasse torréfiée.</w:t>
            </w:r>
          </w:p>
          <w:p w14:paraId="575AE435" w14:textId="77777777" w:rsidR="007B2642" w:rsidRPr="00E96358" w:rsidRDefault="007B2642" w:rsidP="005E13DD">
            <w:pPr>
              <w:pStyle w:val="Tabletext"/>
              <w:keepNext/>
              <w:keepLines/>
              <w:jc w:val="both"/>
              <w:rPr>
                <w:rFonts w:asciiTheme="majorHAnsi" w:hAnsiTheme="majorHAnsi"/>
                <w:b/>
                <w:szCs w:val="16"/>
              </w:rPr>
            </w:pPr>
            <w:r w:rsidRPr="00E96358">
              <w:rPr>
                <w:rFonts w:asciiTheme="majorHAnsi" w:hAnsiTheme="majorHAnsi"/>
                <w:b/>
                <w:szCs w:val="16"/>
              </w:rPr>
              <w:t xml:space="preserve">Les tickets d’investissements sont compris entre 0,5 et 4 M€. </w:t>
            </w:r>
          </w:p>
          <w:p w14:paraId="54F19EA4" w14:textId="77777777" w:rsidR="007B2642" w:rsidRPr="006D322E" w:rsidRDefault="007B2642" w:rsidP="005E13DD">
            <w:pPr>
              <w:pStyle w:val="Tabletext"/>
              <w:keepNext/>
              <w:keepLines/>
              <w:jc w:val="both"/>
              <w:rPr>
                <w:rFonts w:asciiTheme="majorHAnsi" w:hAnsiTheme="majorHAnsi"/>
                <w:bCs/>
                <w:szCs w:val="16"/>
              </w:rPr>
            </w:pPr>
          </w:p>
          <w:p w14:paraId="545FEE2A" w14:textId="348790DC" w:rsidR="007B2642" w:rsidRPr="006D322E" w:rsidRDefault="007B264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dispose par ailleurs d’un budget de 2,5 M€ pour </w:t>
            </w:r>
            <w:r w:rsidRPr="00E96358">
              <w:rPr>
                <w:rFonts w:asciiTheme="majorHAnsi" w:hAnsiTheme="majorHAnsi"/>
                <w:b/>
                <w:szCs w:val="16"/>
              </w:rPr>
              <w:t>l’assistance technique</w:t>
            </w:r>
            <w:r w:rsidRPr="006D322E">
              <w:rPr>
                <w:rFonts w:asciiTheme="majorHAnsi" w:hAnsiTheme="majorHAnsi"/>
                <w:bCs/>
                <w:szCs w:val="16"/>
              </w:rPr>
              <w:t xml:space="preserve"> aux projets avant l’investissement, dans une logique d’expertise technique avec un tiers-indépendant. L’enveloppe prévue a été </w:t>
            </w:r>
            <w:r w:rsidRPr="00E96358">
              <w:rPr>
                <w:rFonts w:asciiTheme="majorHAnsi" w:hAnsiTheme="majorHAnsi"/>
                <w:b/>
                <w:szCs w:val="16"/>
              </w:rPr>
              <w:t>peu déployée</w:t>
            </w:r>
            <w:r w:rsidRPr="006D322E">
              <w:rPr>
                <w:rFonts w:asciiTheme="majorHAnsi" w:hAnsiTheme="majorHAnsi"/>
                <w:bCs/>
                <w:szCs w:val="16"/>
              </w:rPr>
              <w:t>, environ 150</w:t>
            </w:r>
            <w:r>
              <w:rPr>
                <w:rFonts w:asciiTheme="majorHAnsi" w:hAnsiTheme="majorHAnsi"/>
                <w:bCs/>
                <w:szCs w:val="16"/>
              </w:rPr>
              <w:t> </w:t>
            </w:r>
            <w:r w:rsidRPr="006D322E">
              <w:rPr>
                <w:rFonts w:asciiTheme="majorHAnsi" w:hAnsiTheme="majorHAnsi"/>
                <w:bCs/>
                <w:szCs w:val="16"/>
              </w:rPr>
              <w:t xml:space="preserve">K€ ont été utilisés. </w:t>
            </w:r>
            <w:r w:rsidRPr="00E96358">
              <w:rPr>
                <w:rFonts w:asciiTheme="majorHAnsi" w:hAnsiTheme="majorHAnsi"/>
                <w:b/>
                <w:szCs w:val="16"/>
              </w:rPr>
              <w:t>Le besoin des entreprises semble plus porté sur la phase après l’investissement</w:t>
            </w:r>
            <w:r w:rsidRPr="006D322E">
              <w:rPr>
                <w:rFonts w:asciiTheme="majorHAnsi" w:hAnsiTheme="majorHAnsi"/>
                <w:bCs/>
                <w:szCs w:val="16"/>
              </w:rPr>
              <w:t>. Le dimensionnement et les modalités de mobilisation de l’enveloppe semble</w:t>
            </w:r>
            <w:r w:rsidR="00D20535">
              <w:rPr>
                <w:rFonts w:asciiTheme="majorHAnsi" w:hAnsiTheme="majorHAnsi"/>
                <w:bCs/>
                <w:szCs w:val="16"/>
              </w:rPr>
              <w:t>nt</w:t>
            </w:r>
            <w:r w:rsidRPr="006D322E">
              <w:rPr>
                <w:rFonts w:asciiTheme="majorHAnsi" w:hAnsiTheme="majorHAnsi"/>
                <w:bCs/>
                <w:szCs w:val="16"/>
              </w:rPr>
              <w:t xml:space="preserve"> en décalage avec les besoins des entreprises. </w:t>
            </w:r>
          </w:p>
        </w:tc>
      </w:tr>
    </w:tbl>
    <w:p w14:paraId="724953DD" w14:textId="40CE62C5" w:rsidR="000B68A2" w:rsidRDefault="000B68A2" w:rsidP="000B68A2">
      <w:pPr>
        <w:pStyle w:val="Caption"/>
        <w:keepLines/>
      </w:pPr>
      <w:bookmarkStart w:id="35" w:name="_Ref74306146"/>
      <w:bookmarkEnd w:id="34"/>
      <w:r>
        <w:t xml:space="preserve">Encadré </w:t>
      </w:r>
      <w:r>
        <w:fldChar w:fldCharType="begin"/>
      </w:r>
      <w:r>
        <w:instrText xml:space="preserve"> SEQ Encadré \* ARABIC </w:instrText>
      </w:r>
      <w:r>
        <w:fldChar w:fldCharType="separate"/>
      </w:r>
      <w:r w:rsidR="009F0282">
        <w:rPr>
          <w:noProof/>
        </w:rPr>
        <w:t>5</w:t>
      </w:r>
      <w:r>
        <w:fldChar w:fldCharType="end"/>
      </w:r>
      <w:bookmarkEnd w:id="35"/>
      <w:r>
        <w:t xml:space="preserve"> Livret REV3</w:t>
      </w:r>
    </w:p>
    <w:tbl>
      <w:tblPr>
        <w:tblStyle w:val="TechnopolisTable"/>
        <w:tblW w:w="0" w:type="auto"/>
        <w:tblLook w:val="0480" w:firstRow="0" w:lastRow="0" w:firstColumn="1" w:lastColumn="0" w:noHBand="0" w:noVBand="1"/>
      </w:tblPr>
      <w:tblGrid>
        <w:gridCol w:w="9062"/>
      </w:tblGrid>
      <w:tr w:rsidR="000B68A2" w14:paraId="47203C2D" w14:textId="77777777" w:rsidTr="00E65839">
        <w:trPr>
          <w:cnfStyle w:val="000000100000" w:firstRow="0" w:lastRow="0" w:firstColumn="0" w:lastColumn="0" w:oddVBand="0" w:evenVBand="0" w:oddHBand="1" w:evenHBand="0" w:firstRowFirstColumn="0" w:firstRowLastColumn="0" w:lastRowFirstColumn="0" w:lastRowLastColumn="0"/>
        </w:trPr>
        <w:tc>
          <w:tcPr>
            <w:tcW w:w="9062" w:type="dxa"/>
          </w:tcPr>
          <w:p w14:paraId="02232738" w14:textId="0840FA5E" w:rsidR="000B68A2" w:rsidRPr="00ED6B03" w:rsidRDefault="000B68A2" w:rsidP="00E72DF0">
            <w:pPr>
              <w:pStyle w:val="BodyText"/>
              <w:rPr>
                <w:sz w:val="16"/>
              </w:rPr>
            </w:pPr>
            <w:r w:rsidRPr="00292291">
              <w:rPr>
                <w:sz w:val="16"/>
              </w:rPr>
              <w:t xml:space="preserve">La Région a souhaité développer le financement citoyen à travers la création du </w:t>
            </w:r>
            <w:r w:rsidRPr="00E96358">
              <w:rPr>
                <w:b/>
                <w:sz w:val="16"/>
              </w:rPr>
              <w:t>livre</w:t>
            </w:r>
            <w:r w:rsidR="008B3F5D" w:rsidRPr="00E96358">
              <w:rPr>
                <w:b/>
                <w:sz w:val="16"/>
              </w:rPr>
              <w:t>t</w:t>
            </w:r>
            <w:r w:rsidRPr="00E96358">
              <w:rPr>
                <w:b/>
                <w:sz w:val="16"/>
              </w:rPr>
              <w:t xml:space="preserve"> d’épargne Rev3</w:t>
            </w:r>
            <w:r w:rsidRPr="008B3F5D">
              <w:rPr>
                <w:sz w:val="16"/>
              </w:rPr>
              <w:t>.</w:t>
            </w:r>
            <w:r w:rsidRPr="00292291">
              <w:rPr>
                <w:sz w:val="16"/>
              </w:rPr>
              <w:t xml:space="preserve"> Ce livret a été créé en janvier 2015 par le Crédit Coopératif, en partenariat avec la CCI Nord de France. Il permet d</w:t>
            </w:r>
            <w:r w:rsidR="005B1EF7">
              <w:rPr>
                <w:sz w:val="16"/>
              </w:rPr>
              <w:t>’orienter l’</w:t>
            </w:r>
            <w:r w:rsidRPr="00292291">
              <w:rPr>
                <w:sz w:val="16"/>
              </w:rPr>
              <w:t>épargne afin de financer, par le prêt, des entreprises locales</w:t>
            </w:r>
            <w:r w:rsidR="009150FA">
              <w:rPr>
                <w:sz w:val="16"/>
              </w:rPr>
              <w:t xml:space="preserve"> </w:t>
            </w:r>
            <w:r w:rsidR="00E0637E">
              <w:rPr>
                <w:sz w:val="16"/>
              </w:rPr>
              <w:t>impactant le développement économique local</w:t>
            </w:r>
            <w:r w:rsidRPr="00292291">
              <w:rPr>
                <w:sz w:val="16"/>
              </w:rPr>
              <w:t xml:space="preserve">, dont les projets sont liés à la Troisième révolution industrielle. Le livret est </w:t>
            </w:r>
            <w:r w:rsidRPr="005B1EF7">
              <w:rPr>
                <w:b/>
                <w:sz w:val="16"/>
              </w:rPr>
              <w:t>accessible à tous</w:t>
            </w:r>
            <w:r w:rsidRPr="00292291">
              <w:rPr>
                <w:sz w:val="16"/>
              </w:rPr>
              <w:t xml:space="preserve"> (particuliers, associations, coopératives agricoles, fondations, comité d’entreprise…), de toute la France, sans minimum et sans obligation d’ouvrir un compte courant associé. L’argent reste totalement disponible et les dépôts sont garantis par le Crédit Coopératif. Les taux ont été revalorisé</w:t>
            </w:r>
            <w:r w:rsidR="00D20535">
              <w:rPr>
                <w:sz w:val="16"/>
              </w:rPr>
              <w:t>s</w:t>
            </w:r>
            <w:r w:rsidRPr="00292291">
              <w:rPr>
                <w:sz w:val="16"/>
              </w:rPr>
              <w:t xml:space="preserve"> en 2019 pour encourage</w:t>
            </w:r>
            <w:r w:rsidR="00CC0EFB">
              <w:rPr>
                <w:sz w:val="16"/>
              </w:rPr>
              <w:t>r</w:t>
            </w:r>
            <w:r w:rsidRPr="00292291">
              <w:rPr>
                <w:sz w:val="16"/>
              </w:rPr>
              <w:t xml:space="preserve"> une plus grande mobilisation des épargnants au financement des entreprises régionales, le Crédit Coopératif a décidé de renforcer l’attractivité du livret rev3 en rendant les conditions de rémunération plus favorables pour le client. Le taux d’intérêt est bonifié à 1</w:t>
            </w:r>
            <w:r w:rsidR="00EA4720">
              <w:rPr>
                <w:sz w:val="16"/>
              </w:rPr>
              <w:t> </w:t>
            </w:r>
            <w:r w:rsidRPr="00292291">
              <w:rPr>
                <w:sz w:val="16"/>
              </w:rPr>
              <w:t>% jusqu’à 15 k€ au lieu de 1,5 k€ précédemment (puis 0,2</w:t>
            </w:r>
            <w:r w:rsidR="00EA4720">
              <w:rPr>
                <w:sz w:val="16"/>
              </w:rPr>
              <w:t> </w:t>
            </w:r>
            <w:r w:rsidRPr="00292291">
              <w:rPr>
                <w:sz w:val="16"/>
              </w:rPr>
              <w:t xml:space="preserve">% au-delà). Le plafond atteint désormais les 150 </w:t>
            </w:r>
            <w:r w:rsidR="004B1777">
              <w:rPr>
                <w:sz w:val="16"/>
              </w:rPr>
              <w:t>k</w:t>
            </w:r>
            <w:r w:rsidRPr="00292291">
              <w:rPr>
                <w:sz w:val="16"/>
              </w:rPr>
              <w:t xml:space="preserve">€ (au lieu de 100 </w:t>
            </w:r>
            <w:r w:rsidR="004B1777">
              <w:rPr>
                <w:sz w:val="16"/>
              </w:rPr>
              <w:t>k</w:t>
            </w:r>
            <w:r w:rsidRPr="00292291">
              <w:rPr>
                <w:sz w:val="16"/>
              </w:rPr>
              <w:t>€).</w:t>
            </w:r>
          </w:p>
          <w:p w14:paraId="19A45268" w14:textId="77777777" w:rsidR="000B68A2" w:rsidRPr="00ED6B03" w:rsidRDefault="000B68A2" w:rsidP="00E72DF0">
            <w:pPr>
              <w:pStyle w:val="BodyText"/>
              <w:rPr>
                <w:sz w:val="16"/>
              </w:rPr>
            </w:pPr>
            <w:r w:rsidRPr="00292291">
              <w:rPr>
                <w:sz w:val="16"/>
              </w:rPr>
              <w:t>En contrepartie de l’épargne, ce livret donne la possibilité au Crédit Coopératif d’accorder des prêts avec une tarification avantageus</w:t>
            </w:r>
            <w:r w:rsidRPr="00ED6B03">
              <w:rPr>
                <w:sz w:val="16"/>
              </w:rPr>
              <w:t>e aux porteurs de projets liés à la Troisième révolution industrielle dans les Hauts-de-France.</w:t>
            </w:r>
          </w:p>
          <w:p w14:paraId="4FFA2910" w14:textId="02E9AFB7" w:rsidR="000B68A2" w:rsidRPr="00ED6B03" w:rsidRDefault="000B68A2" w:rsidP="00E72DF0">
            <w:pPr>
              <w:pStyle w:val="BodyText"/>
              <w:rPr>
                <w:sz w:val="16"/>
              </w:rPr>
            </w:pPr>
            <w:r w:rsidRPr="00292291">
              <w:rPr>
                <w:sz w:val="16"/>
              </w:rPr>
              <w:t xml:space="preserve">Fin 2019, plus de 2 000 livrets d’épargne rev3 offrant </w:t>
            </w:r>
            <w:r w:rsidRPr="00F95A0B">
              <w:rPr>
                <w:b/>
                <w:sz w:val="16"/>
              </w:rPr>
              <w:t xml:space="preserve">25,4 </w:t>
            </w:r>
            <w:r w:rsidR="00A947FD" w:rsidRPr="00F95A0B">
              <w:rPr>
                <w:b/>
                <w:sz w:val="16"/>
              </w:rPr>
              <w:t>M€</w:t>
            </w:r>
            <w:r w:rsidRPr="00F95A0B">
              <w:rPr>
                <w:b/>
                <w:sz w:val="16"/>
              </w:rPr>
              <w:t xml:space="preserve"> d’encours</w:t>
            </w:r>
            <w:r w:rsidRPr="00292291">
              <w:rPr>
                <w:sz w:val="16"/>
              </w:rPr>
              <w:t xml:space="preserve">. 13,7 </w:t>
            </w:r>
            <w:r w:rsidR="00A947FD">
              <w:rPr>
                <w:sz w:val="16"/>
              </w:rPr>
              <w:t>M€</w:t>
            </w:r>
            <w:r w:rsidRPr="00292291">
              <w:rPr>
                <w:sz w:val="16"/>
              </w:rPr>
              <w:t xml:space="preserve"> ont d’ores et déjà été injectés, en finançant </w:t>
            </w:r>
            <w:r w:rsidRPr="00F95A0B">
              <w:rPr>
                <w:b/>
                <w:sz w:val="16"/>
              </w:rPr>
              <w:t>26 projets rev3 en Hauts-de-France.</w:t>
            </w:r>
            <w:r w:rsidRPr="00ED6B03">
              <w:rPr>
                <w:sz w:val="16"/>
              </w:rPr>
              <w:t xml:space="preserve"> En 2020, Le Crédit Coopératif se donne comme objectif d’atteindre les 2 400 livrets et les 30 millions d’euros d’encours.</w:t>
            </w:r>
          </w:p>
          <w:p w14:paraId="4B062E04" w14:textId="5ACBD8DF" w:rsidR="000B68A2" w:rsidRPr="002774CB" w:rsidRDefault="000B68A2" w:rsidP="00E72DF0">
            <w:pPr>
              <w:pStyle w:val="BodyText"/>
              <w:rPr>
                <w:sz w:val="16"/>
              </w:rPr>
            </w:pPr>
            <w:r w:rsidRPr="00292291">
              <w:rPr>
                <w:sz w:val="16"/>
              </w:rPr>
              <w:t>La CCI et le Crédit Coopératif organise</w:t>
            </w:r>
            <w:r w:rsidR="00F95A0B">
              <w:rPr>
                <w:sz w:val="16"/>
              </w:rPr>
              <w:t>nt</w:t>
            </w:r>
            <w:r w:rsidRPr="00292291">
              <w:rPr>
                <w:sz w:val="16"/>
              </w:rPr>
              <w:t xml:space="preserve"> chaque année une rencontre entre les épargnants et les entreprises financé</w:t>
            </w:r>
            <w:r w:rsidR="009878B7">
              <w:rPr>
                <w:sz w:val="16"/>
              </w:rPr>
              <w:t>e</w:t>
            </w:r>
            <w:r w:rsidRPr="00292291">
              <w:rPr>
                <w:sz w:val="16"/>
              </w:rPr>
              <w:t>s</w:t>
            </w:r>
            <w:r w:rsidR="00544169">
              <w:rPr>
                <w:sz w:val="16"/>
              </w:rPr>
              <w:t xml:space="preserve">. </w:t>
            </w:r>
          </w:p>
        </w:tc>
      </w:tr>
    </w:tbl>
    <w:p w14:paraId="492793CE" w14:textId="59AA2CB9" w:rsidR="00863E06" w:rsidRDefault="00863E06" w:rsidP="00863E06">
      <w:pPr>
        <w:pStyle w:val="Caption"/>
        <w:keepLines/>
      </w:pPr>
      <w:bookmarkStart w:id="36" w:name="_Ref76062027"/>
      <w:bookmarkStart w:id="37" w:name="_Ref94025862"/>
      <w:r>
        <w:t>Encadré</w:t>
      </w:r>
      <w:bookmarkEnd w:id="37"/>
      <w:r>
        <w:t xml:space="preserve"> </w:t>
      </w:r>
      <w:r>
        <w:fldChar w:fldCharType="begin"/>
      </w:r>
      <w:r>
        <w:instrText xml:space="preserve"> SEQ Encadré \* ARABIC </w:instrText>
      </w:r>
      <w:r>
        <w:fldChar w:fldCharType="separate"/>
      </w:r>
      <w:r w:rsidR="009F0282">
        <w:rPr>
          <w:noProof/>
        </w:rPr>
        <w:t>6</w:t>
      </w:r>
      <w:r>
        <w:fldChar w:fldCharType="end"/>
      </w:r>
      <w:bookmarkEnd w:id="36"/>
      <w:r>
        <w:t xml:space="preserve"> Plan climat</w:t>
      </w:r>
      <w:r w:rsidR="00B36AD7">
        <w:t xml:space="preserve"> (</w:t>
      </w:r>
      <w:r w:rsidR="00B36AD7" w:rsidRPr="00B36AD7">
        <w:t>Bpifrance</w:t>
      </w:r>
      <w:r w:rsidR="00B36AD7">
        <w:t xml:space="preserve"> - </w:t>
      </w:r>
      <w:r w:rsidR="00B36AD7" w:rsidRPr="00B36AD7">
        <w:t>Banque des Territoires</w:t>
      </w:r>
      <w:r w:rsidR="00B36AD7">
        <w:t>)</w:t>
      </w:r>
    </w:p>
    <w:tbl>
      <w:tblPr>
        <w:tblStyle w:val="TechnopolisTable"/>
        <w:tblW w:w="0" w:type="auto"/>
        <w:tblLook w:val="0480" w:firstRow="0" w:lastRow="0" w:firstColumn="1" w:lastColumn="0" w:noHBand="0" w:noVBand="1"/>
      </w:tblPr>
      <w:tblGrid>
        <w:gridCol w:w="9062"/>
      </w:tblGrid>
      <w:tr w:rsidR="00863E06" w14:paraId="45693F17" w14:textId="77777777" w:rsidTr="00DD3F57">
        <w:trPr>
          <w:cnfStyle w:val="000000100000" w:firstRow="0" w:lastRow="0" w:firstColumn="0" w:lastColumn="0" w:oddVBand="0" w:evenVBand="0" w:oddHBand="1" w:evenHBand="0" w:firstRowFirstColumn="0" w:firstRowLastColumn="0" w:lastRowFirstColumn="0" w:lastRowLastColumn="0"/>
        </w:trPr>
        <w:tc>
          <w:tcPr>
            <w:tcW w:w="9062" w:type="dxa"/>
          </w:tcPr>
          <w:p w14:paraId="209911DC" w14:textId="71B525E3" w:rsidR="00703B79" w:rsidRPr="00703B79" w:rsidRDefault="00863E06" w:rsidP="00703B79">
            <w:pPr>
              <w:pStyle w:val="BodyText"/>
              <w:rPr>
                <w:sz w:val="16"/>
              </w:rPr>
            </w:pPr>
            <w:r>
              <w:rPr>
                <w:sz w:val="16"/>
              </w:rPr>
              <w:t xml:space="preserve"> </w:t>
            </w:r>
            <w:r w:rsidR="000F7E23" w:rsidRPr="000F7E23">
              <w:rPr>
                <w:sz w:val="16"/>
              </w:rPr>
              <w:t xml:space="preserve">Bpifrance et </w:t>
            </w:r>
            <w:r w:rsidR="000F7E23">
              <w:rPr>
                <w:sz w:val="16"/>
              </w:rPr>
              <w:t xml:space="preserve">la </w:t>
            </w:r>
            <w:r w:rsidR="000F7E23" w:rsidRPr="000F7E23">
              <w:rPr>
                <w:sz w:val="16"/>
              </w:rPr>
              <w:t>Banque des Territoires</w:t>
            </w:r>
            <w:r w:rsidR="000F7E23">
              <w:rPr>
                <w:sz w:val="16"/>
              </w:rPr>
              <w:t xml:space="preserve"> ont </w:t>
            </w:r>
            <w:r w:rsidR="00257612">
              <w:rPr>
                <w:sz w:val="16"/>
              </w:rPr>
              <w:t xml:space="preserve">élaboré ensemble un </w:t>
            </w:r>
            <w:r w:rsidR="00257612" w:rsidRPr="00280473">
              <w:rPr>
                <w:b/>
                <w:sz w:val="16"/>
              </w:rPr>
              <w:t xml:space="preserve">plan </w:t>
            </w:r>
            <w:r w:rsidR="00280473" w:rsidRPr="00280473">
              <w:rPr>
                <w:b/>
                <w:bCs/>
                <w:sz w:val="16"/>
              </w:rPr>
              <w:t>climat</w:t>
            </w:r>
            <w:r w:rsidR="00280473">
              <w:rPr>
                <w:sz w:val="16"/>
              </w:rPr>
              <w:t xml:space="preserve"> </w:t>
            </w:r>
            <w:r w:rsidR="00BA086D">
              <w:rPr>
                <w:sz w:val="16"/>
              </w:rPr>
              <w:t xml:space="preserve">de </w:t>
            </w:r>
            <w:r w:rsidR="00BA086D" w:rsidRPr="00BA086D">
              <w:rPr>
                <w:sz w:val="16"/>
              </w:rPr>
              <w:t>40 Md€</w:t>
            </w:r>
            <w:r w:rsidR="00292C04">
              <w:rPr>
                <w:sz w:val="16"/>
              </w:rPr>
              <w:t xml:space="preserve"> à l’échelle nationale</w:t>
            </w:r>
            <w:r w:rsidR="00257612">
              <w:rPr>
                <w:sz w:val="16"/>
              </w:rPr>
              <w:t xml:space="preserve"> </w:t>
            </w:r>
            <w:r w:rsidR="00D46419" w:rsidRPr="00D46419">
              <w:rPr>
                <w:sz w:val="16"/>
              </w:rPr>
              <w:t>pour la transition</w:t>
            </w:r>
            <w:r w:rsidR="00D46419">
              <w:rPr>
                <w:sz w:val="16"/>
              </w:rPr>
              <w:t xml:space="preserve"> </w:t>
            </w:r>
            <w:r w:rsidR="00D46419" w:rsidRPr="00D46419">
              <w:rPr>
                <w:sz w:val="16"/>
              </w:rPr>
              <w:t>écologique et énergétique</w:t>
            </w:r>
            <w:r w:rsidR="00D46419">
              <w:rPr>
                <w:sz w:val="16"/>
              </w:rPr>
              <w:t xml:space="preserve"> </w:t>
            </w:r>
            <w:r w:rsidR="00D46419" w:rsidRPr="00D46419">
              <w:rPr>
                <w:sz w:val="16"/>
              </w:rPr>
              <w:t>des entreprises</w:t>
            </w:r>
            <w:r w:rsidR="00D46419">
              <w:rPr>
                <w:sz w:val="16"/>
              </w:rPr>
              <w:t xml:space="preserve"> </w:t>
            </w:r>
            <w:r w:rsidR="00D46419" w:rsidRPr="00D46419">
              <w:rPr>
                <w:sz w:val="16"/>
              </w:rPr>
              <w:t>et des territoires</w:t>
            </w:r>
            <w:r w:rsidR="00D46419">
              <w:rPr>
                <w:sz w:val="16"/>
              </w:rPr>
              <w:t xml:space="preserve">. </w:t>
            </w:r>
            <w:r w:rsidR="00575B21">
              <w:rPr>
                <w:sz w:val="16"/>
              </w:rPr>
              <w:t xml:space="preserve">Le plan est structuré en 3 piliers </w:t>
            </w:r>
            <w:r w:rsidR="00B842AD">
              <w:rPr>
                <w:sz w:val="16"/>
              </w:rPr>
              <w:t xml:space="preserve">opérationnels </w:t>
            </w:r>
            <w:r w:rsidR="00575B21">
              <w:rPr>
                <w:sz w:val="16"/>
              </w:rPr>
              <w:t>et l</w:t>
            </w:r>
            <w:r w:rsidR="00E16A53">
              <w:rPr>
                <w:sz w:val="16"/>
              </w:rPr>
              <w:t xml:space="preserve">es </w:t>
            </w:r>
            <w:r w:rsidR="00491DA3">
              <w:rPr>
                <w:sz w:val="16"/>
              </w:rPr>
              <w:t xml:space="preserve">financements seront déployés sur la période 2020 </w:t>
            </w:r>
            <w:r w:rsidR="00575B21">
              <w:rPr>
                <w:sz w:val="16"/>
              </w:rPr>
              <w:t>–</w:t>
            </w:r>
            <w:r w:rsidR="00491DA3">
              <w:rPr>
                <w:sz w:val="16"/>
              </w:rPr>
              <w:t xml:space="preserve"> 2024</w:t>
            </w:r>
            <w:r w:rsidR="00575B21">
              <w:rPr>
                <w:sz w:val="16"/>
              </w:rPr>
              <w:t xml:space="preserve">. </w:t>
            </w:r>
          </w:p>
          <w:p w14:paraId="42C851CE" w14:textId="2598676E" w:rsidR="00661ED0" w:rsidRPr="00B52629" w:rsidRDefault="00640C67" w:rsidP="008B10F4">
            <w:pPr>
              <w:pStyle w:val="Tablebullet1"/>
            </w:pPr>
            <w:r w:rsidRPr="00B52629">
              <w:t xml:space="preserve">Le </w:t>
            </w:r>
            <w:r w:rsidR="00777E93" w:rsidRPr="00B52629">
              <w:rPr>
                <w:b/>
              </w:rPr>
              <w:t>pilier 1</w:t>
            </w:r>
            <w:r w:rsidRPr="00B52629">
              <w:t xml:space="preserve"> </w:t>
            </w:r>
            <w:r w:rsidR="000C5D2D" w:rsidRPr="00B52629">
              <w:t xml:space="preserve">d’un montant de </w:t>
            </w:r>
            <w:r w:rsidR="000C5D2D" w:rsidRPr="00B52629">
              <w:rPr>
                <w:b/>
                <w:bCs/>
              </w:rPr>
              <w:t>20 Md€</w:t>
            </w:r>
            <w:r w:rsidR="00777E93" w:rsidRPr="00B52629">
              <w:rPr>
                <w:b/>
                <w:bCs/>
              </w:rPr>
              <w:t xml:space="preserve"> </w:t>
            </w:r>
            <w:r w:rsidR="00777E93" w:rsidRPr="00B52629">
              <w:t>a pour but</w:t>
            </w:r>
            <w:r w:rsidR="00777E93" w:rsidRPr="00B52629">
              <w:rPr>
                <w:b/>
                <w:bCs/>
              </w:rPr>
              <w:t xml:space="preserve"> </w:t>
            </w:r>
            <w:r w:rsidR="00777E93" w:rsidRPr="00B52629">
              <w:t>d’accélérer la transition des entreprises et des territoires avec des solutions financières</w:t>
            </w:r>
            <w:r w:rsidR="00245732" w:rsidRPr="00B52629">
              <w:t xml:space="preserve"> </w:t>
            </w:r>
            <w:r w:rsidR="00777E93" w:rsidRPr="00B52629">
              <w:t>et d’accompagnement</w:t>
            </w:r>
            <w:r w:rsidR="00245732" w:rsidRPr="00B52629">
              <w:t xml:space="preserve">. </w:t>
            </w:r>
            <w:r w:rsidR="00661ED0" w:rsidRPr="00B52629">
              <w:t>Les outils mobilisés sont </w:t>
            </w:r>
            <w:r w:rsidR="00F135CF" w:rsidRPr="00B52629">
              <w:t xml:space="preserve">entre autres </w:t>
            </w:r>
            <w:r w:rsidR="00661ED0" w:rsidRPr="00B52629">
              <w:t>:</w:t>
            </w:r>
          </w:p>
          <w:p w14:paraId="3372319D" w14:textId="23E8B002" w:rsidR="00026C92" w:rsidRPr="00026C92" w:rsidRDefault="00661ED0" w:rsidP="00026C92">
            <w:pPr>
              <w:pStyle w:val="Tablebullet2"/>
            </w:pPr>
            <w:r>
              <w:t>Le</w:t>
            </w:r>
            <w:r w:rsidR="008B10F4">
              <w:t xml:space="preserve"> Prêt Vert : dispositif de prêt sans garantie </w:t>
            </w:r>
            <w:r w:rsidR="00F135CF">
              <w:t xml:space="preserve">de </w:t>
            </w:r>
            <w:r w:rsidR="008B10F4">
              <w:t xml:space="preserve">1,5 Md€ </w:t>
            </w:r>
            <w:r w:rsidR="00F135CF">
              <w:t>au profit des</w:t>
            </w:r>
            <w:r w:rsidR="008B10F4">
              <w:t xml:space="preserve"> PME et ETI qui investissent pour améliorer la performance environnementale</w:t>
            </w:r>
            <w:r w:rsidR="00F135CF">
              <w:t xml:space="preserve"> </w:t>
            </w:r>
            <w:r w:rsidR="008B10F4">
              <w:t>de leur process industriel ou de leurs produits, notamment via des programmes faisant</w:t>
            </w:r>
            <w:r w:rsidR="00F135CF">
              <w:t xml:space="preserve"> </w:t>
            </w:r>
            <w:r w:rsidR="008B10F4">
              <w:t>suite à des dispositifs d’accompagnement ADEME et Bpifrance centrés sur la TEE</w:t>
            </w:r>
            <w:r w:rsidR="00F135CF">
              <w:t xml:space="preserve">. </w:t>
            </w:r>
          </w:p>
          <w:p w14:paraId="6C8047AF" w14:textId="0D18589E" w:rsidR="00024EE9" w:rsidRPr="00024EE9" w:rsidRDefault="00D25279" w:rsidP="00024EE9">
            <w:pPr>
              <w:pStyle w:val="Tablebullet2"/>
            </w:pPr>
            <w:r>
              <w:t>Une offre de crédit-bail « matériel » dédiée à l’achat de véhicules propres pour les entreprises des transports</w:t>
            </w:r>
          </w:p>
          <w:p w14:paraId="079DA8F3" w14:textId="56578DDE" w:rsidR="00776581" w:rsidRPr="00776581" w:rsidRDefault="00AC01D1" w:rsidP="00776581">
            <w:pPr>
              <w:pStyle w:val="Tablebullet2"/>
            </w:pPr>
            <w:r>
              <w:t>250 M€ de fonds propres pour investir dans des actifs nécessaires à la transition écologique et énergétique d’industriels : production d’énergie renouvelable et locale par ces industriels, recyclage de leurs déchets industriels</w:t>
            </w:r>
          </w:p>
          <w:p w14:paraId="46F4829F" w14:textId="433C792C" w:rsidR="009D69F1" w:rsidRDefault="009D69F1" w:rsidP="007B081D">
            <w:pPr>
              <w:pStyle w:val="Tablebullet2"/>
            </w:pPr>
            <w:r>
              <w:t>650 M€ pour les investissements des clients publics en bornes de recharge de véhicules électriques et l’avitaillement en biogaz</w:t>
            </w:r>
          </w:p>
          <w:p w14:paraId="1EB48C2A" w14:textId="761212A5" w:rsidR="009D69F1" w:rsidRPr="000D4248" w:rsidRDefault="009D69F1" w:rsidP="007B081D">
            <w:pPr>
              <w:pStyle w:val="Tablebullet2"/>
            </w:pPr>
            <w:r w:rsidRPr="000D4248">
              <w:t>650 M€ pour financer des flottes de matériel roulant propre (routier, fluvial ou ferroviaire)</w:t>
            </w:r>
          </w:p>
          <w:p w14:paraId="136027D5" w14:textId="3DFCB5A1" w:rsidR="009D69F1" w:rsidRDefault="009D69F1" w:rsidP="007B081D">
            <w:pPr>
              <w:pStyle w:val="Tablebullet2"/>
            </w:pPr>
            <w:r w:rsidRPr="00B52629">
              <w:t>420 M€ pour les plans de transformation des voieries des villes visant à répondre aux enjeux des nouvelles mobilités (pistes cyclables)</w:t>
            </w:r>
            <w:r>
              <w:t xml:space="preserve"> et pour l’équipement d’outils d’aide à la décision en temps réel</w:t>
            </w:r>
          </w:p>
          <w:p w14:paraId="520BFFCA" w14:textId="5713DF85" w:rsidR="009D69F1" w:rsidRDefault="009D69F1" w:rsidP="007B081D">
            <w:pPr>
              <w:pStyle w:val="Tablebullet2"/>
            </w:pPr>
            <w:r>
              <w:t>1,5 Md€ dans des projets d’infrastructures régionales et locales, pour fluidifier et optimiser les flux, participer à l’ambition de réduction de l’empreinte globale ou également accélérer leurs travaux de rénovation pour leur résilience</w:t>
            </w:r>
          </w:p>
          <w:p w14:paraId="622EF933" w14:textId="58A673D8" w:rsidR="009362BC" w:rsidRDefault="00D25279" w:rsidP="009362BC">
            <w:pPr>
              <w:pStyle w:val="Tablebullet1"/>
            </w:pPr>
            <w:r>
              <w:t xml:space="preserve">Le </w:t>
            </w:r>
            <w:r w:rsidRPr="003972BE">
              <w:rPr>
                <w:b/>
                <w:bCs/>
              </w:rPr>
              <w:t xml:space="preserve">pilier 2 </w:t>
            </w:r>
            <w:r w:rsidR="003972BE" w:rsidRPr="003972BE">
              <w:t xml:space="preserve">d’un montant de </w:t>
            </w:r>
            <w:r w:rsidR="003972BE" w:rsidRPr="003972BE">
              <w:rPr>
                <w:b/>
                <w:bCs/>
              </w:rPr>
              <w:t>14,5 Md€</w:t>
            </w:r>
            <w:r w:rsidR="003972BE" w:rsidRPr="003972BE">
              <w:t xml:space="preserve"> vise à accompagner la croissance des développeurs d’énergies renouvelables (ENR) avec un objectif de 8,8 GW de puissance installée en France et à l’export, et un soutien aux secteurs nécessaires à l’innovation en ce domaine</w:t>
            </w:r>
            <w:r w:rsidR="003972BE">
              <w:t>. Il s’agit entre autres</w:t>
            </w:r>
            <w:r w:rsidR="00FB6FC5">
              <w:t xml:space="preserve"> de</w:t>
            </w:r>
            <w:r w:rsidR="003972BE">
              <w:t> :</w:t>
            </w:r>
          </w:p>
          <w:p w14:paraId="55C44C83" w14:textId="03914374" w:rsidR="00303478" w:rsidRPr="00303478" w:rsidRDefault="00FB6FC5" w:rsidP="00303478">
            <w:pPr>
              <w:pStyle w:val="Tablebullet2"/>
            </w:pPr>
            <w:r>
              <w:t>900 M€ à investir dans des projets de production d’ENR, dont 40 M€ pour la production d’hydrogène vert</w:t>
            </w:r>
          </w:p>
          <w:p w14:paraId="193A8267" w14:textId="65AC1E31" w:rsidR="00FB6FC5" w:rsidRDefault="00FB6FC5" w:rsidP="002F2658">
            <w:pPr>
              <w:pStyle w:val="Tablebullet2"/>
            </w:pPr>
            <w:r>
              <w:t>2,7 Md€ pour doubler l’activité historique de cofinancement des ENR en augmentant la production annuelle de crédit à 3,2 Md€ dès 2023, incluant une offre spécifique de préfinancement de projet</w:t>
            </w:r>
          </w:p>
          <w:p w14:paraId="204C4FA4" w14:textId="4C11740A" w:rsidR="00FB6FC5" w:rsidRDefault="00FB6FC5" w:rsidP="002F2658">
            <w:pPr>
              <w:pStyle w:val="Tablebullet2"/>
            </w:pPr>
            <w:r>
              <w:t>150 M€ pour le renouvellement du fonds d’investissement dédié aux développeurs d’ENR, France Investissement Énergie Environnement (FIEE)</w:t>
            </w:r>
          </w:p>
          <w:p w14:paraId="270412DC" w14:textId="1DA06405" w:rsidR="00FB6FC5" w:rsidRDefault="00FB6FC5" w:rsidP="00FB6FC5">
            <w:pPr>
              <w:pStyle w:val="Tablebullet2"/>
            </w:pPr>
            <w:r>
              <w:t xml:space="preserve">350 M€ de prêts, financés par le </w:t>
            </w:r>
            <w:r w:rsidR="00B36AD7">
              <w:t>ministère</w:t>
            </w:r>
            <w:r>
              <w:t xml:space="preserve"> de l’Agriculture et l’ADEME,</w:t>
            </w:r>
            <w:r w:rsidR="00386718">
              <w:t xml:space="preserve"> </w:t>
            </w:r>
            <w:r>
              <w:t>pour accompagner la structuration de la filière Biogaz</w:t>
            </w:r>
          </w:p>
          <w:p w14:paraId="36CCB1F0" w14:textId="09D9B9E7" w:rsidR="00FB6FC5" w:rsidRPr="003972BE" w:rsidRDefault="00FB6FC5" w:rsidP="00FB6FC5">
            <w:pPr>
              <w:pStyle w:val="Tablebullet2"/>
            </w:pPr>
            <w:r>
              <w:t>275 M€ de crédits export aux développeurs d’ENR</w:t>
            </w:r>
            <w:r w:rsidR="00386718">
              <w:t xml:space="preserve"> </w:t>
            </w:r>
            <w:r>
              <w:t>pour financer leur internationalisation 100 M€ de prêts pour les solutions techniques visant à l’autoconsommation des entreprises</w:t>
            </w:r>
          </w:p>
          <w:p w14:paraId="5CD1F69C" w14:textId="768F4DB6" w:rsidR="00863E06" w:rsidRPr="000D4248" w:rsidRDefault="00386718" w:rsidP="00DD3AB6">
            <w:pPr>
              <w:pStyle w:val="Tablebullet1"/>
            </w:pPr>
            <w:r w:rsidRPr="00B52629">
              <w:t xml:space="preserve">Le </w:t>
            </w:r>
            <w:r w:rsidRPr="00B52629">
              <w:rPr>
                <w:b/>
                <w:bCs/>
              </w:rPr>
              <w:t xml:space="preserve">pilier 3 </w:t>
            </w:r>
            <w:r w:rsidRPr="00B52629">
              <w:t xml:space="preserve">d’un montant de </w:t>
            </w:r>
            <w:r w:rsidRPr="00B52629">
              <w:rPr>
                <w:b/>
                <w:bCs/>
              </w:rPr>
              <w:t xml:space="preserve">2,5 Md€ </w:t>
            </w:r>
            <w:r w:rsidRPr="00B52629">
              <w:t>mobilisés par Bpi</w:t>
            </w:r>
            <w:r w:rsidR="00DD3AB6" w:rsidRPr="00B52629">
              <w:t>france</w:t>
            </w:r>
            <w:r w:rsidR="00DD3AB6" w:rsidRPr="00B52629">
              <w:rPr>
                <w:b/>
                <w:bCs/>
              </w:rPr>
              <w:t xml:space="preserve"> </w:t>
            </w:r>
            <w:r w:rsidR="00DD3AB6" w:rsidRPr="00B52629">
              <w:t>pour soutenir l’émergence et la croissance des « </w:t>
            </w:r>
            <w:proofErr w:type="spellStart"/>
            <w:r w:rsidR="00DD3AB6" w:rsidRPr="00B52629">
              <w:t>greentechs</w:t>
            </w:r>
            <w:proofErr w:type="spellEnd"/>
            <w:r w:rsidR="00DD3AB6" w:rsidRPr="00B52629">
              <w:t xml:space="preserve"> » et </w:t>
            </w:r>
            <w:r w:rsidR="00DD3AB6" w:rsidRPr="00B52629">
              <w:rPr>
                <w:b/>
              </w:rPr>
              <w:t>3 Md€</w:t>
            </w:r>
            <w:r w:rsidR="00DD3AB6" w:rsidRPr="00B52629">
              <w:t xml:space="preserve"> </w:t>
            </w:r>
            <w:r w:rsidR="0034327F" w:rsidRPr="00B52629">
              <w:t>pour soutenir les</w:t>
            </w:r>
            <w:r w:rsidR="00DD3AB6" w:rsidRPr="00B52629">
              <w:rPr>
                <w:b/>
              </w:rPr>
              <w:t xml:space="preserve"> </w:t>
            </w:r>
            <w:r w:rsidR="00DD3AB6" w:rsidRPr="00B52629">
              <w:t>filières</w:t>
            </w:r>
            <w:r w:rsidR="0034327F" w:rsidRPr="00B52629">
              <w:t xml:space="preserve"> </w:t>
            </w:r>
            <w:r w:rsidR="00DD3AB6" w:rsidRPr="00B52629">
              <w:t>et dispositifs innovants</w:t>
            </w:r>
            <w:r w:rsidR="0034327F" w:rsidRPr="00B52629">
              <w:t xml:space="preserve"> </w:t>
            </w:r>
            <w:r w:rsidR="00DD3AB6" w:rsidRPr="00B52629">
              <w:t>pour l’aménagement durable</w:t>
            </w:r>
            <w:r w:rsidR="0034327F" w:rsidRPr="00B52629">
              <w:t xml:space="preserve"> </w:t>
            </w:r>
            <w:r w:rsidR="00DD3AB6" w:rsidRPr="00B52629">
              <w:t>et résilient des territoires</w:t>
            </w:r>
            <w:r w:rsidR="0034327F" w:rsidRPr="00B52629">
              <w:t xml:space="preserve"> </w:t>
            </w:r>
            <w:r w:rsidR="00DD3AB6" w:rsidRPr="00B52629">
              <w:t>sur 2020-2024</w:t>
            </w:r>
            <w:r w:rsidR="0034327F" w:rsidRPr="00B52629">
              <w:t> :</w:t>
            </w:r>
            <w:r w:rsidR="0034327F" w:rsidRPr="000D4248">
              <w:t xml:space="preserve"> </w:t>
            </w:r>
          </w:p>
          <w:p w14:paraId="413B50B4" w14:textId="2B164CB7" w:rsidR="0034327F" w:rsidRDefault="0034327F" w:rsidP="00746E5C">
            <w:pPr>
              <w:pStyle w:val="Tablebullet2"/>
            </w:pPr>
            <w:r>
              <w:t xml:space="preserve">300 M€ par an à partir de 2021 pour financer plus de « </w:t>
            </w:r>
            <w:proofErr w:type="spellStart"/>
            <w:r>
              <w:t>greentechs</w:t>
            </w:r>
            <w:proofErr w:type="spellEnd"/>
            <w:r>
              <w:t xml:space="preserve"> » et les aider à franchir toutes des étapes de leur développement</w:t>
            </w:r>
          </w:p>
          <w:p w14:paraId="135EA1A9" w14:textId="613E51B7" w:rsidR="0034327F" w:rsidRDefault="0034327F" w:rsidP="00746E5C">
            <w:pPr>
              <w:pStyle w:val="Tablebullet2"/>
            </w:pPr>
            <w:r>
              <w:t xml:space="preserve">plus de 300 M€ de fonds propres injectés pour les  </w:t>
            </w:r>
            <w:r w:rsidRPr="0034327F">
              <w:t>investissements en capital-risque</w:t>
            </w:r>
          </w:p>
          <w:p w14:paraId="4FA40152" w14:textId="0D90C338" w:rsidR="0034327F" w:rsidRDefault="0034327F" w:rsidP="0034327F">
            <w:pPr>
              <w:pStyle w:val="Tablebullet2"/>
            </w:pPr>
            <w:r>
              <w:t xml:space="preserve">600 M€ de financements en prêts sans garantie innovation </w:t>
            </w:r>
          </w:p>
          <w:p w14:paraId="5797BD20" w14:textId="4FC47F08" w:rsidR="00B36AD7" w:rsidRDefault="00B36AD7" w:rsidP="00B36AD7">
            <w:pPr>
              <w:pStyle w:val="Tablebullet2"/>
            </w:pPr>
            <w:r>
              <w:t>rénovation des réseaux d’eau et d’assainissement (Aqua Prêt)</w:t>
            </w:r>
          </w:p>
          <w:p w14:paraId="733F50EF" w14:textId="773679A7" w:rsidR="00B36AD7" w:rsidRPr="000D4248" w:rsidRDefault="00B36AD7" w:rsidP="00B36AD7">
            <w:pPr>
              <w:pStyle w:val="Tablebullet2"/>
            </w:pPr>
            <w:r w:rsidRPr="000D4248">
              <w:t>traitement des déchets</w:t>
            </w:r>
          </w:p>
          <w:p w14:paraId="5F10D8A2" w14:textId="71C67B1A" w:rsidR="00B36AD7" w:rsidRPr="000D4248" w:rsidRDefault="00B36AD7" w:rsidP="00B36AD7">
            <w:pPr>
              <w:pStyle w:val="Tablebullet2"/>
            </w:pPr>
            <w:r w:rsidRPr="000D4248">
              <w:t>réseaux de chaleur</w:t>
            </w:r>
          </w:p>
          <w:p w14:paraId="2453A9C7" w14:textId="4A99D6A6" w:rsidR="00B36AD7" w:rsidRPr="00B52629" w:rsidRDefault="00B36AD7" w:rsidP="00B36AD7">
            <w:pPr>
              <w:pStyle w:val="Tablebullet2"/>
            </w:pPr>
            <w:r w:rsidRPr="00B52629">
              <w:t>portage foncier (recyclage de surfaces - lutte contre l’artificialisation)</w:t>
            </w:r>
          </w:p>
          <w:p w14:paraId="2673908B" w14:textId="2A0B157C" w:rsidR="00B36AD7" w:rsidRPr="00B52629" w:rsidRDefault="00B36AD7" w:rsidP="00B36AD7">
            <w:pPr>
              <w:pStyle w:val="Tablebullet2"/>
            </w:pPr>
            <w:r w:rsidRPr="00B52629">
              <w:t>préservation de la biodiversité (ex : promotion de Sites Naturels de Compensation)</w:t>
            </w:r>
          </w:p>
          <w:p w14:paraId="651DDB0C" w14:textId="17E2C928" w:rsidR="00863E06" w:rsidRPr="002774CB" w:rsidRDefault="00E44BD6" w:rsidP="00DD3AB6">
            <w:pPr>
              <w:pStyle w:val="Tablebullet2"/>
            </w:pPr>
            <w:r>
              <w:t xml:space="preserve">etc. </w:t>
            </w:r>
          </w:p>
        </w:tc>
      </w:tr>
    </w:tbl>
    <w:p w14:paraId="3FD69435" w14:textId="77777777" w:rsidR="000B68A2" w:rsidRDefault="000B68A2" w:rsidP="00922FB3">
      <w:pPr>
        <w:pStyle w:val="Heading4"/>
      </w:pPr>
      <w:r w:rsidRPr="00C25B96">
        <w:t xml:space="preserve">Financement </w:t>
      </w:r>
      <w:r>
        <w:t>des projets innovants</w:t>
      </w:r>
    </w:p>
    <w:p w14:paraId="5820803E" w14:textId="4E29E55B" w:rsidR="00D06879" w:rsidRPr="00201CE0" w:rsidRDefault="000B68A2" w:rsidP="000B68A2">
      <w:pPr>
        <w:pStyle w:val="BodyText"/>
      </w:pPr>
      <w:r w:rsidRPr="003B243D">
        <w:t xml:space="preserve">Les projets d’innovation technologiques ou d’innovation en modèles économiques sont </w:t>
      </w:r>
      <w:r w:rsidRPr="00F14B17">
        <w:rPr>
          <w:b/>
        </w:rPr>
        <w:t>principalement financés par des subventions</w:t>
      </w:r>
      <w:r w:rsidR="005F7650">
        <w:t xml:space="preserve"> </w:t>
      </w:r>
      <w:r w:rsidR="00991ACC" w:rsidRPr="00F14B17">
        <w:rPr>
          <w:b/>
        </w:rPr>
        <w:t xml:space="preserve">en </w:t>
      </w:r>
      <w:r w:rsidR="005F7650" w:rsidRPr="00F14B17">
        <w:rPr>
          <w:b/>
        </w:rPr>
        <w:t>phase a</w:t>
      </w:r>
      <w:r w:rsidR="00991ACC" w:rsidRPr="00F14B17">
        <w:rPr>
          <w:b/>
        </w:rPr>
        <w:t>mont</w:t>
      </w:r>
      <w:r w:rsidRPr="003B243D">
        <w:t xml:space="preserve">. </w:t>
      </w:r>
      <w:r w:rsidR="00226A36">
        <w:t xml:space="preserve">En </w:t>
      </w:r>
      <w:r w:rsidR="00226A36" w:rsidRPr="0078055B">
        <w:rPr>
          <w:b/>
        </w:rPr>
        <w:t>phase aval</w:t>
      </w:r>
      <w:r w:rsidR="00226A36">
        <w:t>,</w:t>
      </w:r>
      <w:r w:rsidRPr="003B243D">
        <w:t xml:space="preserve"> </w:t>
      </w:r>
      <w:r w:rsidR="006A2065">
        <w:t>l</w:t>
      </w:r>
      <w:r w:rsidRPr="003B243D">
        <w:t xml:space="preserve">es financements en </w:t>
      </w:r>
      <w:r w:rsidRPr="0078055B">
        <w:rPr>
          <w:b/>
        </w:rPr>
        <w:t>fonds propres ou en prêts</w:t>
      </w:r>
      <w:r w:rsidRPr="003B243D">
        <w:t xml:space="preserve"> identifiés proviennent de l’ADEME, Bpifrance et </w:t>
      </w:r>
      <w:r w:rsidR="00F14B17">
        <w:t xml:space="preserve">de </w:t>
      </w:r>
      <w:r w:rsidRPr="003B243D">
        <w:t xml:space="preserve">la </w:t>
      </w:r>
      <w:r w:rsidR="00F14B17">
        <w:t>B</w:t>
      </w:r>
      <w:r w:rsidRPr="003B243D">
        <w:t>anque des territoires</w:t>
      </w:r>
      <w:r w:rsidR="007B62B5">
        <w:t>, et également de l’Union Européenne (</w:t>
      </w:r>
      <w:r w:rsidR="008B2F8B">
        <w:t>Horizon Europe</w:t>
      </w:r>
      <w:r w:rsidR="007B62B5">
        <w:t>)</w:t>
      </w:r>
      <w:r w:rsidRPr="000D4248">
        <w:t xml:space="preserve">. </w:t>
      </w:r>
      <w:r w:rsidR="000E227C">
        <w:t>Les projets de recherche et d’innovation peuvent être fi</w:t>
      </w:r>
      <w:r w:rsidR="00201CE0">
        <w:t>n</w:t>
      </w:r>
      <w:r w:rsidR="000E227C">
        <w:t>an</w:t>
      </w:r>
      <w:r w:rsidR="00201CE0">
        <w:t>c</w:t>
      </w:r>
      <w:r w:rsidR="000E227C">
        <w:t xml:space="preserve">és dans le cadre du programme européen </w:t>
      </w:r>
      <w:r w:rsidR="008B2F8B">
        <w:t>Horizon Europe</w:t>
      </w:r>
      <w:r w:rsidR="000E227C">
        <w:t xml:space="preserve"> et plus </w:t>
      </w:r>
      <w:proofErr w:type="spellStart"/>
      <w:r w:rsidR="000E227C">
        <w:t>précisement</w:t>
      </w:r>
      <w:proofErr w:type="spellEnd"/>
      <w:r w:rsidR="000E227C">
        <w:t xml:space="preserve"> du </w:t>
      </w:r>
      <w:proofErr w:type="spellStart"/>
      <w:r w:rsidR="000E227C">
        <w:t>Societal</w:t>
      </w:r>
      <w:proofErr w:type="spellEnd"/>
      <w:r w:rsidR="000E227C">
        <w:t xml:space="preserve"> Challenge 3 : « Secure, Clean </w:t>
      </w:r>
      <w:r w:rsidR="00D11FEF">
        <w:t>a</w:t>
      </w:r>
      <w:r w:rsidR="000E227C">
        <w:t xml:space="preserve">nd efficient </w:t>
      </w:r>
      <w:proofErr w:type="spellStart"/>
      <w:r w:rsidR="000E227C">
        <w:t>energy</w:t>
      </w:r>
      <w:proofErr w:type="spellEnd"/>
      <w:r w:rsidR="000E227C">
        <w:t> ». 5</w:t>
      </w:r>
      <w:r w:rsidR="00201CE0">
        <w:t>,9 M€ ont été alloués à des projets de recherche sur les énergies non nucléaire</w:t>
      </w:r>
      <w:r w:rsidR="0076689C">
        <w:t>s</w:t>
      </w:r>
      <w:r w:rsidR="00201CE0">
        <w:t xml:space="preserve"> sur la période 2014-2020. </w:t>
      </w:r>
    </w:p>
    <w:p w14:paraId="510B6E91" w14:textId="44C1A354" w:rsidR="00014D86" w:rsidRDefault="00014D86" w:rsidP="000B68A2">
      <w:pPr>
        <w:pStyle w:val="BodyText"/>
      </w:pPr>
      <w:r>
        <w:t xml:space="preserve">Des mécanismes de financements de projets innovants par des initiatives citoyennes se développent également. C’est </w:t>
      </w:r>
      <w:r w:rsidR="000310D3">
        <w:t>l</w:t>
      </w:r>
      <w:r>
        <w:t xml:space="preserve">e </w:t>
      </w:r>
      <w:r w:rsidR="000310D3">
        <w:t>c</w:t>
      </w:r>
      <w:r>
        <w:t>a</w:t>
      </w:r>
      <w:r w:rsidR="000310D3">
        <w:t>s</w:t>
      </w:r>
      <w:r>
        <w:t xml:space="preserve"> de l’organisation Time for the Planet qui repère, finance et déploie des </w:t>
      </w:r>
      <w:proofErr w:type="spellStart"/>
      <w:r>
        <w:t>innovantions</w:t>
      </w:r>
      <w:proofErr w:type="spellEnd"/>
      <w:r>
        <w:t xml:space="preserve"> à grande échelle financées par une communauté de citoyens</w:t>
      </w:r>
      <w:r w:rsidR="000310D3">
        <w:t xml:space="preserve"> qui achète des actions dans les projets de leur choix. </w:t>
      </w:r>
      <w:r w:rsidR="00971F20">
        <w:t xml:space="preserve">En 2 ans d’existence, Time for </w:t>
      </w:r>
      <w:r w:rsidR="000D0D6B">
        <w:t xml:space="preserve">the </w:t>
      </w:r>
      <w:r w:rsidR="00971F20">
        <w:t>P</w:t>
      </w:r>
      <w:r w:rsidR="000D0D6B">
        <w:t>l</w:t>
      </w:r>
      <w:r w:rsidR="00971F20">
        <w:t>anet a rassemblé 8,1 M</w:t>
      </w:r>
      <w:r w:rsidR="00874B54">
        <w:t xml:space="preserve">€ </w:t>
      </w:r>
      <w:r w:rsidR="00FE6FE3">
        <w:t>grâce à 40 000 actionnaires</w:t>
      </w:r>
      <w:r w:rsidR="00320E96">
        <w:t xml:space="preserve">. L’objectif du mouvement citoyen est de collecter 1Md pour financer 100 projets innovants. </w:t>
      </w:r>
    </w:p>
    <w:p w14:paraId="19E20A18" w14:textId="598502E8" w:rsidR="00201CE0" w:rsidRDefault="00201CE0" w:rsidP="000B68A2">
      <w:pPr>
        <w:pStyle w:val="BodyText"/>
      </w:pPr>
      <w:r w:rsidRPr="000D4248">
        <w:t xml:space="preserve">Cette </w:t>
      </w:r>
      <w:r w:rsidRPr="00B52629">
        <w:rPr>
          <w:b/>
        </w:rPr>
        <w:t>faiblesse des capitaux-risqueurs privés</w:t>
      </w:r>
      <w:r>
        <w:t xml:space="preserve"> reflète l’importance des mesures publiques dans le financement des investissements en projets innovants qui sont des investissements de long terme. </w:t>
      </w:r>
    </w:p>
    <w:p w14:paraId="7F6732E9" w14:textId="4EFDC01E" w:rsidR="000B68A2" w:rsidRPr="007F12F6" w:rsidRDefault="000B68A2" w:rsidP="000B68A2">
      <w:pPr>
        <w:pStyle w:val="Caption"/>
      </w:pPr>
      <w:bookmarkStart w:id="38" w:name="_Toc58295873"/>
      <w:bookmarkStart w:id="39" w:name="_Toc88842093"/>
      <w:r>
        <w:t xml:space="preserve">Tableau </w:t>
      </w:r>
      <w:r>
        <w:fldChar w:fldCharType="begin"/>
      </w:r>
      <w:r>
        <w:instrText xml:space="preserve"> SEQ Tableau \* ARABIC </w:instrText>
      </w:r>
      <w:r>
        <w:fldChar w:fldCharType="separate"/>
      </w:r>
      <w:r w:rsidR="009F0282">
        <w:rPr>
          <w:noProof/>
        </w:rPr>
        <w:t>1</w:t>
      </w:r>
      <w:r>
        <w:fldChar w:fldCharType="end"/>
      </w:r>
      <w:r>
        <w:t xml:space="preserve"> Bilan des outils et sources de financement des projets </w:t>
      </w:r>
      <w:proofErr w:type="spellStart"/>
      <w:r>
        <w:t>EnR</w:t>
      </w:r>
      <w:proofErr w:type="spellEnd"/>
      <w:r>
        <w:t xml:space="preserve"> innovants</w:t>
      </w:r>
      <w:bookmarkEnd w:id="38"/>
      <w:bookmarkEnd w:id="39"/>
      <w:r>
        <w:t xml:space="preserve"> </w:t>
      </w:r>
    </w:p>
    <w:tbl>
      <w:tblPr>
        <w:tblStyle w:val="TechnopolisTable"/>
        <w:tblW w:w="9067" w:type="dxa"/>
        <w:tblLook w:val="04A0" w:firstRow="1" w:lastRow="0" w:firstColumn="1" w:lastColumn="0" w:noHBand="0" w:noVBand="1"/>
      </w:tblPr>
      <w:tblGrid>
        <w:gridCol w:w="1413"/>
        <w:gridCol w:w="1984"/>
        <w:gridCol w:w="5670"/>
      </w:tblGrid>
      <w:tr w:rsidR="000B68A2" w:rsidRPr="00864C95" w14:paraId="142E0D6E" w14:textId="77777777" w:rsidTr="00D70F6D">
        <w:trPr>
          <w:cnfStyle w:val="100000000000" w:firstRow="1" w:lastRow="0" w:firstColumn="0" w:lastColumn="0" w:oddVBand="0" w:evenVBand="0" w:oddHBand="0" w:evenHBand="0" w:firstRowFirstColumn="0" w:firstRowLastColumn="0" w:lastRowFirstColumn="0" w:lastRowLastColumn="0"/>
          <w:trHeight w:val="16"/>
        </w:trPr>
        <w:tc>
          <w:tcPr>
            <w:tcW w:w="1413" w:type="dxa"/>
          </w:tcPr>
          <w:p w14:paraId="35191FDD" w14:textId="14203405" w:rsidR="000B68A2" w:rsidRDefault="000C1865" w:rsidP="00D70F6D">
            <w:pPr>
              <w:pStyle w:val="Source"/>
              <w:spacing w:after="0"/>
              <w:rPr>
                <w:color w:val="auto"/>
                <w:sz w:val="16"/>
              </w:rPr>
            </w:pPr>
            <w:r>
              <w:rPr>
                <w:color w:val="auto"/>
                <w:sz w:val="16"/>
              </w:rPr>
              <w:t>Phase</w:t>
            </w:r>
          </w:p>
        </w:tc>
        <w:tc>
          <w:tcPr>
            <w:tcW w:w="1984" w:type="dxa"/>
          </w:tcPr>
          <w:p w14:paraId="1FE827A5" w14:textId="77777777" w:rsidR="000B68A2" w:rsidRPr="00864C95" w:rsidRDefault="000B68A2" w:rsidP="00D70F6D">
            <w:pPr>
              <w:pStyle w:val="Source"/>
              <w:spacing w:after="0"/>
              <w:rPr>
                <w:color w:val="auto"/>
                <w:sz w:val="16"/>
              </w:rPr>
            </w:pPr>
            <w:r>
              <w:rPr>
                <w:color w:val="auto"/>
                <w:sz w:val="16"/>
              </w:rPr>
              <w:t>Type d’instrument</w:t>
            </w:r>
          </w:p>
        </w:tc>
        <w:tc>
          <w:tcPr>
            <w:tcW w:w="5670" w:type="dxa"/>
          </w:tcPr>
          <w:p w14:paraId="2845ADEC" w14:textId="77777777" w:rsidR="000B68A2" w:rsidRPr="00864C95" w:rsidRDefault="000B68A2" w:rsidP="00D70F6D">
            <w:pPr>
              <w:pStyle w:val="Source"/>
              <w:spacing w:after="0"/>
              <w:rPr>
                <w:color w:val="auto"/>
                <w:sz w:val="16"/>
              </w:rPr>
            </w:pPr>
            <w:r>
              <w:rPr>
                <w:color w:val="auto"/>
                <w:sz w:val="16"/>
              </w:rPr>
              <w:t>Instruments de financement</w:t>
            </w:r>
          </w:p>
        </w:tc>
      </w:tr>
      <w:tr w:rsidR="000B68A2" w:rsidRPr="00864C95" w14:paraId="20C1901E" w14:textId="77777777" w:rsidTr="00D70F6D">
        <w:trPr>
          <w:cnfStyle w:val="000000100000" w:firstRow="0" w:lastRow="0" w:firstColumn="0" w:lastColumn="0" w:oddVBand="0" w:evenVBand="0" w:oddHBand="1" w:evenHBand="0" w:firstRowFirstColumn="0" w:firstRowLastColumn="0" w:lastRowFirstColumn="0" w:lastRowLastColumn="0"/>
          <w:trHeight w:val="582"/>
        </w:trPr>
        <w:tc>
          <w:tcPr>
            <w:tcW w:w="1413" w:type="dxa"/>
          </w:tcPr>
          <w:p w14:paraId="45C5EE81" w14:textId="43DB8255" w:rsidR="000B68A2" w:rsidRDefault="000B68A2" w:rsidP="00D70F6D">
            <w:pPr>
              <w:pStyle w:val="Source"/>
              <w:spacing w:after="0"/>
              <w:rPr>
                <w:b/>
                <w:bCs/>
                <w:color w:val="auto"/>
                <w:sz w:val="16"/>
              </w:rPr>
            </w:pPr>
            <w:r>
              <w:rPr>
                <w:b/>
                <w:bCs/>
                <w:color w:val="auto"/>
                <w:sz w:val="16"/>
              </w:rPr>
              <w:t>Emergence</w:t>
            </w:r>
          </w:p>
          <w:p w14:paraId="555BB7E2" w14:textId="77777777" w:rsidR="000B68A2" w:rsidRDefault="000B68A2" w:rsidP="00D70F6D">
            <w:pPr>
              <w:pStyle w:val="Source"/>
              <w:spacing w:after="0"/>
              <w:rPr>
                <w:b/>
                <w:bCs/>
                <w:color w:val="auto"/>
                <w:sz w:val="16"/>
              </w:rPr>
            </w:pPr>
            <w:r>
              <w:rPr>
                <w:b/>
                <w:bCs/>
                <w:color w:val="auto"/>
                <w:sz w:val="16"/>
              </w:rPr>
              <w:t>Démonstration</w:t>
            </w:r>
          </w:p>
        </w:tc>
        <w:tc>
          <w:tcPr>
            <w:tcW w:w="1984" w:type="dxa"/>
          </w:tcPr>
          <w:p w14:paraId="3AAA3DF5" w14:textId="77777777" w:rsidR="000B68A2" w:rsidRDefault="000B68A2" w:rsidP="00D70F6D">
            <w:pPr>
              <w:pStyle w:val="Source"/>
              <w:spacing w:after="0"/>
              <w:rPr>
                <w:b/>
                <w:bCs/>
                <w:color w:val="auto"/>
                <w:sz w:val="16"/>
              </w:rPr>
            </w:pPr>
            <w:r>
              <w:rPr>
                <w:b/>
                <w:bCs/>
                <w:color w:val="auto"/>
                <w:sz w:val="16"/>
              </w:rPr>
              <w:t xml:space="preserve">Subventions, </w:t>
            </w:r>
          </w:p>
          <w:p w14:paraId="3017A637" w14:textId="77777777" w:rsidR="000B68A2" w:rsidRPr="00635275" w:rsidRDefault="000B68A2" w:rsidP="00D70F6D">
            <w:pPr>
              <w:pStyle w:val="Source"/>
              <w:spacing w:after="0"/>
              <w:rPr>
                <w:b/>
                <w:bCs/>
                <w:color w:val="auto"/>
                <w:sz w:val="16"/>
              </w:rPr>
            </w:pPr>
            <w:r>
              <w:rPr>
                <w:b/>
                <w:bCs/>
                <w:color w:val="auto"/>
                <w:sz w:val="16"/>
              </w:rPr>
              <w:t>Quasi-subventions</w:t>
            </w:r>
          </w:p>
        </w:tc>
        <w:tc>
          <w:tcPr>
            <w:tcW w:w="5670" w:type="dxa"/>
          </w:tcPr>
          <w:p w14:paraId="16504707" w14:textId="67094040" w:rsidR="000B68A2" w:rsidRPr="00864C95" w:rsidRDefault="000B68A2" w:rsidP="00D70F6D">
            <w:pPr>
              <w:pStyle w:val="Tabletext"/>
            </w:pPr>
            <w:r w:rsidRPr="00635275">
              <w:t>PIA 4</w:t>
            </w:r>
            <w:r>
              <w:t xml:space="preserve">, </w:t>
            </w:r>
            <w:r w:rsidRPr="00635275">
              <w:t>ADEME</w:t>
            </w:r>
            <w:r>
              <w:t xml:space="preserve">, </w:t>
            </w:r>
            <w:r w:rsidRPr="00635275">
              <w:t>ANR</w:t>
            </w:r>
            <w:r>
              <w:t xml:space="preserve">, </w:t>
            </w:r>
            <w:r w:rsidRPr="003D0D6B">
              <w:t>Re</w:t>
            </w:r>
            <w:r>
              <w:t xml:space="preserve">v3 financement, </w:t>
            </w:r>
            <w:r w:rsidRPr="00635275">
              <w:t>Bpifrance</w:t>
            </w:r>
            <w:r>
              <w:t xml:space="preserve">, </w:t>
            </w:r>
            <w:r w:rsidRPr="00635275">
              <w:t>Banque des Territoires</w:t>
            </w:r>
            <w:r>
              <w:t xml:space="preserve">, </w:t>
            </w:r>
            <w:r w:rsidR="00B36AD7" w:rsidRPr="00B36AD7">
              <w:t>Plan climat (Bpifrance - Banque des Territoires)</w:t>
            </w:r>
            <w:r w:rsidR="00B36AD7">
              <w:t>,</w:t>
            </w:r>
            <w:r>
              <w:t xml:space="preserve"> </w:t>
            </w:r>
            <w:r w:rsidRPr="00563170">
              <w:t>Stratégie nationale pour le développement de l’hydrogène décarboné</w:t>
            </w:r>
            <w:r w:rsidR="00D0534E">
              <w:t xml:space="preserve">, </w:t>
            </w:r>
            <w:r w:rsidR="00D0534E" w:rsidRPr="00D0534E">
              <w:t xml:space="preserve">Innovation </w:t>
            </w:r>
            <w:proofErr w:type="spellStart"/>
            <w:r w:rsidR="00D0534E" w:rsidRPr="00D0534E">
              <w:t>Fund</w:t>
            </w:r>
            <w:proofErr w:type="spellEnd"/>
            <w:r w:rsidR="00D06879">
              <w:t xml:space="preserve">, H2020 </w:t>
            </w:r>
          </w:p>
        </w:tc>
      </w:tr>
      <w:tr w:rsidR="000B68A2" w:rsidRPr="00864C95" w14:paraId="50311A45" w14:textId="77777777" w:rsidTr="00D70F6D">
        <w:trPr>
          <w:cnfStyle w:val="000000010000" w:firstRow="0" w:lastRow="0" w:firstColumn="0" w:lastColumn="0" w:oddVBand="0" w:evenVBand="0" w:oddHBand="0" w:evenHBand="1" w:firstRowFirstColumn="0" w:firstRowLastColumn="0" w:lastRowFirstColumn="0" w:lastRowLastColumn="0"/>
          <w:trHeight w:val="124"/>
        </w:trPr>
        <w:tc>
          <w:tcPr>
            <w:tcW w:w="1413" w:type="dxa"/>
            <w:vMerge w:val="restart"/>
          </w:tcPr>
          <w:p w14:paraId="3CC287B2" w14:textId="77777777" w:rsidR="000B68A2" w:rsidRPr="00A6612D" w:rsidRDefault="000B68A2" w:rsidP="00D70F6D">
            <w:pPr>
              <w:pStyle w:val="Source"/>
              <w:rPr>
                <w:b/>
                <w:bCs/>
                <w:color w:val="auto"/>
                <w:sz w:val="16"/>
              </w:rPr>
            </w:pPr>
            <w:r>
              <w:rPr>
                <w:b/>
                <w:bCs/>
                <w:color w:val="auto"/>
                <w:sz w:val="16"/>
              </w:rPr>
              <w:t>Réalisation</w:t>
            </w:r>
          </w:p>
        </w:tc>
        <w:tc>
          <w:tcPr>
            <w:tcW w:w="1984" w:type="dxa"/>
          </w:tcPr>
          <w:p w14:paraId="0DDC855E" w14:textId="77777777" w:rsidR="000B68A2" w:rsidRDefault="000B68A2" w:rsidP="00D70F6D">
            <w:pPr>
              <w:pStyle w:val="Source"/>
              <w:spacing w:after="0"/>
              <w:rPr>
                <w:b/>
                <w:bCs/>
                <w:color w:val="auto"/>
                <w:sz w:val="16"/>
              </w:rPr>
            </w:pPr>
            <w:r>
              <w:rPr>
                <w:b/>
                <w:bCs/>
                <w:color w:val="auto"/>
                <w:sz w:val="16"/>
              </w:rPr>
              <w:t xml:space="preserve">Subventions, </w:t>
            </w:r>
          </w:p>
          <w:p w14:paraId="5FF5287C" w14:textId="77777777" w:rsidR="000B68A2" w:rsidRPr="00A6612D" w:rsidRDefault="000B68A2" w:rsidP="00D70F6D">
            <w:pPr>
              <w:pStyle w:val="Source"/>
              <w:spacing w:after="0"/>
              <w:rPr>
                <w:b/>
                <w:bCs/>
                <w:color w:val="auto"/>
                <w:sz w:val="16"/>
              </w:rPr>
            </w:pPr>
            <w:r>
              <w:rPr>
                <w:b/>
                <w:bCs/>
                <w:color w:val="auto"/>
                <w:sz w:val="16"/>
              </w:rPr>
              <w:t>Quasi-subventions</w:t>
            </w:r>
          </w:p>
        </w:tc>
        <w:tc>
          <w:tcPr>
            <w:tcW w:w="5670" w:type="dxa"/>
          </w:tcPr>
          <w:p w14:paraId="5B1F05DF" w14:textId="11C0C803" w:rsidR="000B68A2" w:rsidRPr="00864C95" w:rsidRDefault="000B68A2" w:rsidP="00D70F6D">
            <w:pPr>
              <w:pStyle w:val="Source"/>
              <w:spacing w:after="0"/>
              <w:rPr>
                <w:color w:val="auto"/>
                <w:sz w:val="16"/>
              </w:rPr>
            </w:pPr>
            <w:r w:rsidRPr="00563170">
              <w:rPr>
                <w:color w:val="auto"/>
                <w:sz w:val="16"/>
              </w:rPr>
              <w:t xml:space="preserve">PIA </w:t>
            </w:r>
            <w:r>
              <w:rPr>
                <w:color w:val="auto"/>
                <w:sz w:val="16"/>
              </w:rPr>
              <w:t xml:space="preserve">4, </w:t>
            </w:r>
            <w:r w:rsidRPr="00563170">
              <w:rPr>
                <w:color w:val="auto"/>
                <w:sz w:val="16"/>
              </w:rPr>
              <w:t>ADEME</w:t>
            </w:r>
            <w:r>
              <w:rPr>
                <w:color w:val="auto"/>
                <w:sz w:val="16"/>
              </w:rPr>
              <w:t xml:space="preserve">, </w:t>
            </w:r>
            <w:r w:rsidRPr="006D3D16">
              <w:rPr>
                <w:color w:val="auto"/>
                <w:sz w:val="16"/>
              </w:rPr>
              <w:t>FRATRI</w:t>
            </w:r>
            <w:r>
              <w:rPr>
                <w:color w:val="auto"/>
                <w:sz w:val="16"/>
              </w:rPr>
              <w:t xml:space="preserve">, </w:t>
            </w:r>
            <w:r w:rsidRPr="006D322E">
              <w:rPr>
                <w:color w:val="auto"/>
                <w:sz w:val="16"/>
              </w:rPr>
              <w:t>Rev3 financement</w:t>
            </w:r>
            <w:r>
              <w:rPr>
                <w:color w:val="auto"/>
                <w:sz w:val="16"/>
              </w:rPr>
              <w:t xml:space="preserve">, </w:t>
            </w:r>
            <w:r w:rsidR="00C74EDD" w:rsidRPr="00C74EDD">
              <w:rPr>
                <w:color w:val="auto"/>
                <w:sz w:val="16"/>
              </w:rPr>
              <w:t>Plan climat (Bpifrance - Banque des Territoires)</w:t>
            </w:r>
            <w:r w:rsidR="00C74EDD">
              <w:rPr>
                <w:color w:val="auto"/>
                <w:sz w:val="16"/>
              </w:rPr>
              <w:t xml:space="preserve">, </w:t>
            </w:r>
            <w:r w:rsidRPr="00563170">
              <w:rPr>
                <w:color w:val="auto"/>
                <w:sz w:val="16"/>
              </w:rPr>
              <w:t>Stratégie nationale pour le développement de l’hydrogène décarboné</w:t>
            </w:r>
            <w:r>
              <w:rPr>
                <w:color w:val="auto"/>
                <w:sz w:val="16"/>
              </w:rPr>
              <w:t xml:space="preserve"> </w:t>
            </w:r>
          </w:p>
        </w:tc>
      </w:tr>
      <w:tr w:rsidR="000B68A2" w:rsidRPr="00864C95" w14:paraId="77837E71" w14:textId="77777777" w:rsidTr="00D70F6D">
        <w:trPr>
          <w:cnfStyle w:val="000000100000" w:firstRow="0" w:lastRow="0" w:firstColumn="0" w:lastColumn="0" w:oddVBand="0" w:evenVBand="0" w:oddHBand="1" w:evenHBand="0" w:firstRowFirstColumn="0" w:firstRowLastColumn="0" w:lastRowFirstColumn="0" w:lastRowLastColumn="0"/>
          <w:trHeight w:val="16"/>
        </w:trPr>
        <w:tc>
          <w:tcPr>
            <w:tcW w:w="1413" w:type="dxa"/>
            <w:vMerge/>
          </w:tcPr>
          <w:p w14:paraId="06C9B63E" w14:textId="77777777" w:rsidR="000B68A2" w:rsidRPr="00A6612D" w:rsidRDefault="000B68A2" w:rsidP="00D70F6D">
            <w:pPr>
              <w:pStyle w:val="Source"/>
              <w:rPr>
                <w:b/>
                <w:bCs/>
                <w:color w:val="auto"/>
                <w:sz w:val="16"/>
              </w:rPr>
            </w:pPr>
          </w:p>
        </w:tc>
        <w:tc>
          <w:tcPr>
            <w:tcW w:w="1984" w:type="dxa"/>
          </w:tcPr>
          <w:p w14:paraId="03610E97" w14:textId="77777777" w:rsidR="000B68A2" w:rsidRPr="00A6612D" w:rsidRDefault="000B68A2" w:rsidP="00D70F6D">
            <w:pPr>
              <w:pStyle w:val="Source"/>
              <w:spacing w:after="0"/>
              <w:rPr>
                <w:b/>
                <w:bCs/>
                <w:color w:val="auto"/>
                <w:sz w:val="16"/>
              </w:rPr>
            </w:pPr>
            <w:r>
              <w:rPr>
                <w:b/>
                <w:bCs/>
                <w:color w:val="auto"/>
                <w:sz w:val="16"/>
              </w:rPr>
              <w:t xml:space="preserve">Fonds propres/ Quasi-Fonds propres </w:t>
            </w:r>
          </w:p>
        </w:tc>
        <w:tc>
          <w:tcPr>
            <w:tcW w:w="5670" w:type="dxa"/>
          </w:tcPr>
          <w:p w14:paraId="3D7974D2" w14:textId="1655498E" w:rsidR="000B68A2" w:rsidRPr="00864C95" w:rsidRDefault="000B68A2" w:rsidP="00D70F6D">
            <w:pPr>
              <w:pStyle w:val="Source"/>
              <w:spacing w:after="0"/>
              <w:rPr>
                <w:color w:val="auto"/>
                <w:sz w:val="16"/>
              </w:rPr>
            </w:pPr>
            <w:r w:rsidRPr="006D322E">
              <w:rPr>
                <w:color w:val="auto"/>
                <w:sz w:val="16"/>
              </w:rPr>
              <w:t>Rev3 financement</w:t>
            </w:r>
            <w:r>
              <w:rPr>
                <w:color w:val="auto"/>
                <w:sz w:val="16"/>
              </w:rPr>
              <w:t xml:space="preserve">, </w:t>
            </w:r>
            <w:r w:rsidRPr="002B7267">
              <w:rPr>
                <w:color w:val="auto"/>
                <w:sz w:val="16"/>
              </w:rPr>
              <w:t>ADEME Investissement</w:t>
            </w:r>
            <w:r>
              <w:rPr>
                <w:color w:val="auto"/>
                <w:sz w:val="16"/>
              </w:rPr>
              <w:t xml:space="preserve">, </w:t>
            </w:r>
            <w:r w:rsidR="00C74EDD" w:rsidRPr="00C74EDD">
              <w:rPr>
                <w:color w:val="auto"/>
                <w:sz w:val="16"/>
              </w:rPr>
              <w:t>Plan climat (Bpifrance - Banque des Territoires)</w:t>
            </w:r>
            <w:r w:rsidR="00C74EDD">
              <w:rPr>
                <w:color w:val="auto"/>
                <w:sz w:val="16"/>
              </w:rPr>
              <w:t xml:space="preserve">, </w:t>
            </w:r>
            <w:r w:rsidRPr="002B7267">
              <w:rPr>
                <w:color w:val="auto"/>
                <w:sz w:val="16"/>
              </w:rPr>
              <w:t>Fonds Ecotechnologies</w:t>
            </w:r>
            <w:r>
              <w:rPr>
                <w:color w:val="auto"/>
                <w:sz w:val="16"/>
              </w:rPr>
              <w:t xml:space="preserve">, </w:t>
            </w:r>
            <w:r w:rsidRPr="002B7267">
              <w:rPr>
                <w:color w:val="auto"/>
                <w:sz w:val="16"/>
              </w:rPr>
              <w:t>Banque des Territoires</w:t>
            </w:r>
            <w:r>
              <w:rPr>
                <w:color w:val="auto"/>
                <w:sz w:val="16"/>
              </w:rPr>
              <w:t xml:space="preserve">, </w:t>
            </w:r>
            <w:r w:rsidRPr="001813AE">
              <w:rPr>
                <w:color w:val="auto"/>
                <w:sz w:val="16"/>
              </w:rPr>
              <w:t>financement participatif</w:t>
            </w:r>
            <w:r>
              <w:rPr>
                <w:color w:val="auto"/>
                <w:sz w:val="16"/>
              </w:rPr>
              <w:t xml:space="preserve">, </w:t>
            </w:r>
            <w:proofErr w:type="spellStart"/>
            <w:r w:rsidRPr="001813AE">
              <w:rPr>
                <w:color w:val="auto"/>
                <w:sz w:val="16"/>
              </w:rPr>
              <w:t>FiveTHydrogen</w:t>
            </w:r>
            <w:proofErr w:type="spellEnd"/>
          </w:p>
        </w:tc>
      </w:tr>
      <w:tr w:rsidR="000B68A2" w:rsidRPr="00864C95" w14:paraId="51D2D27D" w14:textId="77777777" w:rsidTr="00D70F6D">
        <w:trPr>
          <w:cnfStyle w:val="000000010000" w:firstRow="0" w:lastRow="0" w:firstColumn="0" w:lastColumn="0" w:oddVBand="0" w:evenVBand="0" w:oddHBand="0" w:evenHBand="1" w:firstRowFirstColumn="0" w:firstRowLastColumn="0" w:lastRowFirstColumn="0" w:lastRowLastColumn="0"/>
          <w:trHeight w:val="185"/>
        </w:trPr>
        <w:tc>
          <w:tcPr>
            <w:tcW w:w="1413" w:type="dxa"/>
            <w:vMerge/>
          </w:tcPr>
          <w:p w14:paraId="0A96B34F" w14:textId="77777777" w:rsidR="000B68A2" w:rsidRPr="00A6612D" w:rsidRDefault="000B68A2" w:rsidP="00D70F6D">
            <w:pPr>
              <w:pStyle w:val="Source"/>
              <w:rPr>
                <w:b/>
                <w:bCs/>
                <w:color w:val="auto"/>
                <w:sz w:val="16"/>
              </w:rPr>
            </w:pPr>
          </w:p>
        </w:tc>
        <w:tc>
          <w:tcPr>
            <w:tcW w:w="1984" w:type="dxa"/>
          </w:tcPr>
          <w:p w14:paraId="526993B9" w14:textId="77777777" w:rsidR="000B68A2" w:rsidRPr="00A6612D" w:rsidRDefault="000B68A2" w:rsidP="00D70F6D">
            <w:pPr>
              <w:pStyle w:val="Source"/>
              <w:spacing w:after="0"/>
              <w:rPr>
                <w:b/>
                <w:bCs/>
                <w:color w:val="auto"/>
                <w:sz w:val="16"/>
              </w:rPr>
            </w:pPr>
            <w:r>
              <w:rPr>
                <w:b/>
                <w:bCs/>
                <w:color w:val="auto"/>
                <w:sz w:val="16"/>
              </w:rPr>
              <w:t xml:space="preserve">Prêts </w:t>
            </w:r>
          </w:p>
        </w:tc>
        <w:tc>
          <w:tcPr>
            <w:tcW w:w="5670" w:type="dxa"/>
          </w:tcPr>
          <w:p w14:paraId="3754F8A0" w14:textId="7DD43B2C" w:rsidR="000B68A2" w:rsidRPr="00864C95" w:rsidRDefault="000B68A2" w:rsidP="00D70F6D">
            <w:pPr>
              <w:pStyle w:val="Source"/>
              <w:spacing w:after="0"/>
              <w:rPr>
                <w:color w:val="auto"/>
                <w:sz w:val="16"/>
              </w:rPr>
            </w:pPr>
            <w:r w:rsidRPr="006D322E">
              <w:rPr>
                <w:color w:val="auto"/>
                <w:sz w:val="16"/>
              </w:rPr>
              <w:t>Rev3 financement</w:t>
            </w:r>
            <w:r>
              <w:rPr>
                <w:color w:val="auto"/>
                <w:sz w:val="16"/>
              </w:rPr>
              <w:t xml:space="preserve">, </w:t>
            </w:r>
            <w:r w:rsidRPr="002B7267">
              <w:rPr>
                <w:color w:val="auto"/>
                <w:sz w:val="16"/>
              </w:rPr>
              <w:t>Banque des Territoires</w:t>
            </w:r>
            <w:r>
              <w:rPr>
                <w:color w:val="auto"/>
                <w:sz w:val="16"/>
              </w:rPr>
              <w:t>, Bpifrance</w:t>
            </w:r>
            <w:r w:rsidR="00C74EDD">
              <w:rPr>
                <w:color w:val="auto"/>
                <w:sz w:val="16"/>
              </w:rPr>
              <w:t xml:space="preserve">, </w:t>
            </w:r>
            <w:r w:rsidR="00C74EDD" w:rsidRPr="00C74EDD">
              <w:rPr>
                <w:color w:val="auto"/>
                <w:sz w:val="16"/>
              </w:rPr>
              <w:t>Plan climat (Bpifrance - Banque des Territoires)</w:t>
            </w:r>
          </w:p>
        </w:tc>
      </w:tr>
    </w:tbl>
    <w:p w14:paraId="1FE1E060" w14:textId="77777777" w:rsidR="000B68A2" w:rsidRDefault="000B68A2" w:rsidP="000B68A2">
      <w:pPr>
        <w:pStyle w:val="Source"/>
      </w:pPr>
      <w:r>
        <w:t>Source Technopolis</w:t>
      </w:r>
    </w:p>
    <w:p w14:paraId="66DF4A7B" w14:textId="77777777" w:rsidR="000B68A2" w:rsidRPr="0038626B" w:rsidRDefault="000B68A2" w:rsidP="00154294">
      <w:pPr>
        <w:pStyle w:val="Heading5"/>
      </w:pPr>
      <w:bookmarkStart w:id="40" w:name="_Ref57369203"/>
      <w:r>
        <w:t>Financement de l’émergence</w:t>
      </w:r>
      <w:bookmarkEnd w:id="40"/>
      <w:r>
        <w:t xml:space="preserve"> et démonstration </w:t>
      </w:r>
    </w:p>
    <w:p w14:paraId="1F394AE5" w14:textId="74E5EBFB" w:rsidR="000B68A2" w:rsidRPr="0027686F" w:rsidRDefault="000B68A2" w:rsidP="00E72DF0">
      <w:pPr>
        <w:pStyle w:val="BodyText"/>
      </w:pPr>
      <w:r w:rsidRPr="00B52629">
        <w:t xml:space="preserve">L’émergence des projets d’innovation dans les énergies renouvelables est financée essentiellement par les subventions et quasi-subventions, qui couvrent une grande partie des besoins. Cette phase risquée des projets d’EnR innovants est en effet fortement intensive en capital et </w:t>
      </w:r>
      <w:r w:rsidRPr="00B52629">
        <w:rPr>
          <w:b/>
        </w:rPr>
        <w:t>difficile à financer par le secteur privé.</w:t>
      </w:r>
      <w:r>
        <w:t xml:space="preserve"> </w:t>
      </w:r>
    </w:p>
    <w:p w14:paraId="73FAF07B" w14:textId="3A0AF8DB" w:rsidR="000B68A2" w:rsidRDefault="000B68A2" w:rsidP="000B68A2">
      <w:pPr>
        <w:pStyle w:val="Caption"/>
        <w:ind w:left="0" w:firstLine="0"/>
      </w:pPr>
      <w:r>
        <w:t xml:space="preserve">Encadré </w:t>
      </w:r>
      <w:r>
        <w:fldChar w:fldCharType="begin"/>
      </w:r>
      <w:r>
        <w:instrText xml:space="preserve"> SEQ Encadré \* ARABIC </w:instrText>
      </w:r>
      <w:r>
        <w:fldChar w:fldCharType="separate"/>
      </w:r>
      <w:r w:rsidR="009F0282">
        <w:rPr>
          <w:noProof/>
        </w:rPr>
        <w:t>7</w:t>
      </w:r>
      <w:r>
        <w:fldChar w:fldCharType="end"/>
      </w:r>
      <w:r>
        <w:t xml:space="preserve"> Outils de subventions et quasi-subventions permettant l'émergence de projets énergétiques innovants</w:t>
      </w:r>
    </w:p>
    <w:tbl>
      <w:tblPr>
        <w:tblStyle w:val="TechnopolisTable21"/>
        <w:tblW w:w="0" w:type="auto"/>
        <w:tblLook w:val="0480" w:firstRow="0" w:lastRow="0" w:firstColumn="1" w:lastColumn="0" w:noHBand="0" w:noVBand="1"/>
      </w:tblPr>
      <w:tblGrid>
        <w:gridCol w:w="9062"/>
      </w:tblGrid>
      <w:tr w:rsidR="000B68A2" w:rsidRPr="00DB05A8" w14:paraId="76635301"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1973E75A" w14:textId="721B1C25" w:rsidR="00DB08A1" w:rsidRPr="00DB05A8" w:rsidRDefault="000B68A2" w:rsidP="00DB08A1">
            <w:pPr>
              <w:pStyle w:val="Tablebullet1"/>
            </w:pPr>
            <w:r w:rsidRPr="00DB05A8">
              <w:rPr>
                <w:b/>
                <w:bCs/>
              </w:rPr>
              <w:t>REV3 financement</w:t>
            </w:r>
            <w:r w:rsidRPr="00DB05A8">
              <w:t> : (</w:t>
            </w:r>
            <w:proofErr w:type="spellStart"/>
            <w:r w:rsidRPr="00DB05A8">
              <w:t>cf</w:t>
            </w:r>
            <w:proofErr w:type="spellEnd"/>
            <w:r w:rsidRPr="00DB05A8">
              <w:t xml:space="preserve"> </w:t>
            </w:r>
            <w:r w:rsidR="004432A1">
              <w:fldChar w:fldCharType="begin"/>
            </w:r>
            <w:r w:rsidR="004432A1">
              <w:instrText xml:space="preserve"> REF _Ref76063948 \h </w:instrText>
            </w:r>
            <w:r w:rsidR="004432A1">
              <w:fldChar w:fldCharType="separate"/>
            </w:r>
            <w:r w:rsidR="009F0282">
              <w:t xml:space="preserve">Encadré </w:t>
            </w:r>
            <w:r w:rsidR="009F0282">
              <w:rPr>
                <w:noProof/>
              </w:rPr>
              <w:t>3</w:t>
            </w:r>
            <w:r w:rsidR="004432A1">
              <w:fldChar w:fldCharType="end"/>
            </w:r>
            <w:r w:rsidR="00DB08A1">
              <w:t>)</w:t>
            </w:r>
          </w:p>
          <w:p w14:paraId="7C99D6D6" w14:textId="77777777" w:rsidR="001E7E50" w:rsidRDefault="000B68A2" w:rsidP="00CA3A8D">
            <w:pPr>
              <w:pStyle w:val="Tablebullet1"/>
            </w:pPr>
            <w:r w:rsidRPr="00DB05A8">
              <w:rPr>
                <w:b/>
                <w:bCs/>
              </w:rPr>
              <w:t>PIA 4</w:t>
            </w:r>
            <w:r w:rsidRPr="00DB05A8">
              <w:t xml:space="preserve"> : </w:t>
            </w:r>
            <w:r w:rsidR="00CE2A6D" w:rsidRPr="00CE2A6D">
              <w:t>Le nouveau programme d’investissements d’avenir (PIA4) avec une taille cible 20</w:t>
            </w:r>
            <w:r w:rsidR="00CE2A6D">
              <w:t> </w:t>
            </w:r>
            <w:r w:rsidR="00CE2A6D" w:rsidRPr="00CE2A6D">
              <w:t>Md€ sur 2021-2025, mobilisera 11</w:t>
            </w:r>
            <w:r w:rsidR="00CE2A6D">
              <w:t> </w:t>
            </w:r>
            <w:r w:rsidR="00CE2A6D" w:rsidRPr="00CE2A6D">
              <w:t>Md€ dans le cadre du plan de relance d’ici 2022.</w:t>
            </w:r>
            <w:r w:rsidR="00CE2A6D">
              <w:t xml:space="preserve"> C</w:t>
            </w:r>
            <w:r w:rsidRPr="00DB05A8">
              <w:t>e 4</w:t>
            </w:r>
            <w:r w:rsidRPr="00DB05A8">
              <w:rPr>
                <w:vertAlign w:val="superscript"/>
              </w:rPr>
              <w:t>ème</w:t>
            </w:r>
            <w:r w:rsidRPr="00DB05A8">
              <w:t xml:space="preserve"> PIA vise à financer et accélérer la mise sur le marché de solutions innovantes en permettant de structurer des filières, de faciliter l’accès à des co-financements et de faire bénéficier les projets lauréats d’une forte visibilité. Le PIA accompagne les projets innovants et de nouveaux modèles d’affaires portant sur les énergies décarbonées, économie circulaire, transports et mobilités durables, etc. </w:t>
            </w:r>
            <w:r w:rsidR="001E7E50" w:rsidRPr="001E7E50">
              <w:t xml:space="preserve">Au total, </w:t>
            </w:r>
            <w:r w:rsidR="001E7E50">
              <w:t xml:space="preserve">plus de </w:t>
            </w:r>
            <w:r w:rsidR="001E7E50" w:rsidRPr="001E7E50">
              <w:t xml:space="preserve">7 Md€ seront investis dans la filière </w:t>
            </w:r>
            <w:r w:rsidR="001E7E50">
              <w:t xml:space="preserve">hydrogène </w:t>
            </w:r>
            <w:r w:rsidR="001E7E50" w:rsidRPr="001E7E50">
              <w:t>d’ici 2030, dont 2 Md€ d’ici 2022 dans le cadre d</w:t>
            </w:r>
            <w:r w:rsidR="001E7E50">
              <w:t xml:space="preserve">u plan de </w:t>
            </w:r>
            <w:r w:rsidR="001E7E50" w:rsidRPr="001E7E50">
              <w:t>Relance</w:t>
            </w:r>
            <w:r w:rsidR="001E7E50">
              <w:t>.</w:t>
            </w:r>
          </w:p>
          <w:p w14:paraId="714A3F72" w14:textId="5F68FEAD" w:rsidR="000B68A2" w:rsidRPr="001E7E50" w:rsidRDefault="000B68A2" w:rsidP="001E7E50">
            <w:pPr>
              <w:pStyle w:val="BodyText"/>
              <w:rPr>
                <w:sz w:val="16"/>
                <w:szCs w:val="16"/>
              </w:rPr>
            </w:pPr>
            <w:r w:rsidRPr="001E7E50">
              <w:rPr>
                <w:sz w:val="16"/>
                <w:szCs w:val="16"/>
              </w:rPr>
              <w:t>Les aides apportées</w:t>
            </w:r>
            <w:r>
              <w:rPr>
                <w:sz w:val="16"/>
                <w:szCs w:val="16"/>
              </w:rPr>
              <w:t xml:space="preserve"> </w:t>
            </w:r>
            <w:r w:rsidR="001E7E50">
              <w:rPr>
                <w:sz w:val="16"/>
                <w:szCs w:val="16"/>
              </w:rPr>
              <w:t>par le PIA4</w:t>
            </w:r>
            <w:r w:rsidRPr="001E7E50">
              <w:rPr>
                <w:sz w:val="16"/>
                <w:szCs w:val="16"/>
              </w:rPr>
              <w:t xml:space="preserve"> sont sous forme de </w:t>
            </w:r>
            <w:r w:rsidRPr="00B52629">
              <w:rPr>
                <w:sz w:val="16"/>
              </w:rPr>
              <w:t>subventions et/ou avances remboursables</w:t>
            </w:r>
            <w:r w:rsidRPr="000D4248">
              <w:rPr>
                <w:sz w:val="16"/>
                <w:szCs w:val="16"/>
              </w:rPr>
              <w:t xml:space="preserve"> et</w:t>
            </w:r>
            <w:r w:rsidRPr="001E7E50">
              <w:rPr>
                <w:sz w:val="16"/>
                <w:szCs w:val="16"/>
              </w:rPr>
              <w:t xml:space="preserve"> passent par le biais d’appels à projets ou avis à manifestation d’intérêt publiés par l’ADEME. A titre d’exemple, on peut citer :</w:t>
            </w:r>
          </w:p>
          <w:p w14:paraId="4870EC67" w14:textId="77777777" w:rsidR="000B68A2" w:rsidRPr="00CA3A8D" w:rsidRDefault="000B68A2" w:rsidP="00CA3A8D">
            <w:pPr>
              <w:pStyle w:val="Tablebullet2"/>
              <w:rPr>
                <w:szCs w:val="16"/>
              </w:rPr>
            </w:pPr>
            <w:r w:rsidRPr="00CA3A8D">
              <w:rPr>
                <w:szCs w:val="16"/>
              </w:rPr>
              <w:t xml:space="preserve">AAP Briques technologiques et démonstrateurs hydrogène : AAP ouvert au fil de l’eau jusqu’au 31/12/2022. L’objectif est de soutenir les projets d’innovation visant à développer ou améliorer les composants et systèmes liés à la production et au transport d’hydrogène, et à ses usages tels que les applications de transport ou de fourniture d’énergie. Il s’agit également de soutenir des projets de démonstrateurs, de pilotes ou de premières commerciales sur le territoire national, permettant à la filière hydrogène de développer de nouvelles solutions et de se structurer. La nature des aides ainsi que les montants dépendent des bénéficiaires, allant d’une combinaison de 65% de subvention et 35% d’avances remboursables à 100% d’avances remboursables. </w:t>
            </w:r>
          </w:p>
          <w:p w14:paraId="2F2A17B1" w14:textId="77777777" w:rsidR="000B68A2" w:rsidRPr="00CA3A8D" w:rsidRDefault="000B68A2" w:rsidP="00CA3A8D">
            <w:pPr>
              <w:pStyle w:val="Tablebullet2"/>
              <w:rPr>
                <w:szCs w:val="16"/>
              </w:rPr>
            </w:pPr>
            <w:r w:rsidRPr="00CA3A8D">
              <w:rPr>
                <w:szCs w:val="16"/>
              </w:rPr>
              <w:t>AMI CORAM 2021 : cet AMI vise à soutenir les projets de recherche et développement pour l’accélération de la mise sur le marché de technologies, de services et/ou de solutions ambitieuses innovantes et durables en matière de mobilité, depuis les phases de recherche industrielle jusqu'à la démonstration plus aval de l'intérêt d'un système dans son environnement opérationnel. Le soutien apporté par l’Etat aux bénéficiaires se fait sous forme de subventions et d’avances récupérables.</w:t>
            </w:r>
          </w:p>
          <w:p w14:paraId="119C28CD" w14:textId="5C6FF26E" w:rsidR="000B68A2" w:rsidRPr="00DB05A8" w:rsidRDefault="000B68A2" w:rsidP="00CA3A8D">
            <w:pPr>
              <w:pStyle w:val="Tablebullet2"/>
              <w:rPr>
                <w:szCs w:val="16"/>
              </w:rPr>
            </w:pPr>
            <w:r w:rsidRPr="00CA3A8D">
              <w:rPr>
                <w:szCs w:val="16"/>
              </w:rPr>
              <w:t>Les aides de l’</w:t>
            </w:r>
            <w:r w:rsidRPr="00CA3A8D">
              <w:rPr>
                <w:b/>
                <w:szCs w:val="16"/>
              </w:rPr>
              <w:t>ADEME</w:t>
            </w:r>
            <w:r w:rsidRPr="00CA3A8D">
              <w:rPr>
                <w:szCs w:val="16"/>
              </w:rPr>
              <w:t> relatives à la RDI : une part importante des interventions financières de l’ADEME pour le financement de la RDI se fait par des subventions et des avances remboursables. Les aides sont destinées à toutes les entreprises quelles que soient leurs tailles sauf celles concernées par les modalités d’exclusion. Les aides aux projets de recherche et de développement concernent la recherche fondamentale, la recherche industrielle, le développement expérimental et les études de faisabilité. Elles permettent de financer les frais de personnel, les coûts des instruments et du matériel, les coûts des bâtiments et des terrains, coûts de la recherche contractuelle, des connaissances et des brevets achetés ou pris sous licence et autres frais généraux additionnels. L’intensité de l’aide concernant les projets de recherche et de développement varient de 25</w:t>
            </w:r>
            <w:r w:rsidR="0053352D">
              <w:rPr>
                <w:szCs w:val="16"/>
              </w:rPr>
              <w:t> </w:t>
            </w:r>
            <w:r w:rsidRPr="00CA3A8D">
              <w:rPr>
                <w:szCs w:val="16"/>
              </w:rPr>
              <w:t>% à 100</w:t>
            </w:r>
            <w:r w:rsidR="0053352D">
              <w:rPr>
                <w:szCs w:val="16"/>
              </w:rPr>
              <w:t> </w:t>
            </w:r>
            <w:r w:rsidRPr="00CA3A8D">
              <w:rPr>
                <w:szCs w:val="16"/>
              </w:rPr>
              <w:t>% en fonction du type de recherche et du type d’entreprise. Les aides à l’investissement en faveur des infrastructures de recherche couvrent les coûts d’investissement dans les actifs corporels et incorporels dans la limite de 50</w:t>
            </w:r>
            <w:r w:rsidR="0053352D">
              <w:rPr>
                <w:szCs w:val="16"/>
              </w:rPr>
              <w:t> </w:t>
            </w:r>
            <w:r w:rsidRPr="00CA3A8D">
              <w:rPr>
                <w:szCs w:val="16"/>
              </w:rPr>
              <w:t xml:space="preserve">% des coûts admissibles. Le soutien de l’ADEME à la RDI passe essentiellement par des appels à projets compétitifs. C’est le cas par exemple </w:t>
            </w:r>
            <w:r w:rsidRPr="007E2BD6">
              <w:rPr>
                <w:szCs w:val="16"/>
              </w:rPr>
              <w:t>de</w:t>
            </w:r>
            <w:r w:rsidR="007E2BD6">
              <w:rPr>
                <w:szCs w:val="16"/>
              </w:rPr>
              <w:t xml:space="preserve"> l’</w:t>
            </w:r>
            <w:r w:rsidRPr="007E2BD6">
              <w:rPr>
                <w:szCs w:val="16"/>
              </w:rPr>
              <w:t xml:space="preserve">AAP </w:t>
            </w:r>
            <w:r w:rsidRPr="00DB05A8">
              <w:rPr>
                <w:szCs w:val="16"/>
              </w:rPr>
              <w:t>Projets de recherche, de développement ou d’innovation</w:t>
            </w:r>
            <w:r w:rsidR="007E2BD6">
              <w:rPr>
                <w:szCs w:val="16"/>
              </w:rPr>
              <w:t>. Cet AAP</w:t>
            </w:r>
            <w:r w:rsidRPr="00DB05A8">
              <w:rPr>
                <w:szCs w:val="16"/>
              </w:rPr>
              <w:t xml:space="preserve"> vise à apporter des financements pour soutenir les projets de recherche développement, y compris les projets de recherche en émergence ou études de faisabilité, pour favoriser le développement et/ou le déploiement de nouvelles solutions/services et technologies énergétiques, environnementales et de lutte contre le changement climatique, accompagner des projets de recherche ou recherche-action en vue de produire des connaissances contextualisées, pertinentes pour les acteurs socioéconomiques et directement utilisables par eux.</w:t>
            </w:r>
          </w:p>
          <w:p w14:paraId="2ED5F7D9" w14:textId="151399D3" w:rsidR="000B68A2" w:rsidRPr="00DB05A8" w:rsidRDefault="000B68A2" w:rsidP="00CA3A8D">
            <w:pPr>
              <w:pStyle w:val="Tablebullet1"/>
            </w:pPr>
            <w:bookmarkStart w:id="41" w:name="_Hlk74295478"/>
            <w:r w:rsidRPr="00DB05A8">
              <w:rPr>
                <w:b/>
                <w:bCs/>
              </w:rPr>
              <w:t>Stratégie nationale pour le développement de l’hydrogène décarboné en France</w:t>
            </w:r>
            <w:r w:rsidRPr="00DB05A8">
              <w:t> </w:t>
            </w:r>
            <w:bookmarkEnd w:id="41"/>
            <w:r w:rsidRPr="00DB05A8">
              <w:t>: En vue d’accélérer les investissements dans l’hydrogène, la France mobilise 7 Md€ pour investir prioritairement dans la décarbonation de l’industrie, le développement des mobilités lourdes à l’hydrogène ainsi que le soutien d’une recherche d’excellente et le développement des offres de formation.  La stratégie poursuit 3 objectifs à savoir : i) installer suffisamment d’électrolyseurs pour apporter une contribution significative à la décarbonation de l’économie ; ii) développer les mobilités propres en particulier pour les véhicules lourds ; iii) construire en France une filière industrielle créatrice d’emplois et garante de notre maîtrise technologique. Dans le cadre de cette stratégie, il est prévu des mécanismes de soutien à la R&amp;D permettant de développer des technologies plus performantes pour l’ensemble des usages de l’hydrogène. Sur la période 2020-2023, 3,4 Mds€ seront mobilisés dont 646 M€ sur le volet soutien à la recherche, à l'innovation et au développement de compétences. L’agenda des appels à projets prévoit :</w:t>
            </w:r>
          </w:p>
          <w:p w14:paraId="6191FC39" w14:textId="77777777" w:rsidR="000B68A2" w:rsidRPr="00DB05A8" w:rsidRDefault="000B68A2" w:rsidP="00CA3A8D">
            <w:pPr>
              <w:pStyle w:val="Tablebullet2"/>
              <w:rPr>
                <w:szCs w:val="16"/>
              </w:rPr>
            </w:pPr>
            <w:r w:rsidRPr="00DB05A8">
              <w:rPr>
                <w:szCs w:val="16"/>
              </w:rPr>
              <w:t xml:space="preserve">En 2021 : i) la construction d’un Projet Important d’Intérêt Européen Commun (PIIEC/IPCEI) sur l’hydrogène, à l’instar du projet européen sur les batteries. Ii) l’appel à manifestation d’intérêt dans le cadre du programme prioritaire de recherche (PPR) « Applications de l’hydrogène » pour soutenir la recherche en amont et de préparer la future génération des technologies de l’hydrogène (piles, réservoirs, matériaux, électrolyseurs…). Il contribuera à l’excellence française dans la recherche sur l’hydrogène et sera doté de 65 M€. </w:t>
            </w:r>
          </w:p>
          <w:p w14:paraId="3885FFFB" w14:textId="77777777" w:rsidR="000B68A2" w:rsidRPr="00DB05A8" w:rsidRDefault="000B68A2" w:rsidP="00CA3A8D">
            <w:pPr>
              <w:pStyle w:val="Tablebullet2"/>
              <w:rPr>
                <w:szCs w:val="16"/>
              </w:rPr>
            </w:pPr>
            <w:r w:rsidRPr="00DB05A8">
              <w:rPr>
                <w:szCs w:val="16"/>
              </w:rPr>
              <w:t>En 2022 : i) l’appel d’offres dans le cadre du mécanisme de soutien à la production d’hydrogène décarboné, par complément de rémunération.</w:t>
            </w:r>
          </w:p>
          <w:p w14:paraId="07BA21E5" w14:textId="77777777" w:rsidR="000B68A2" w:rsidRPr="00DB05A8" w:rsidRDefault="000B68A2" w:rsidP="00CA3A8D">
            <w:pPr>
              <w:pStyle w:val="Tablebullet1"/>
            </w:pPr>
            <w:r w:rsidRPr="00DB05A8">
              <w:t>L’Agence nationale de la recherche (</w:t>
            </w:r>
            <w:r w:rsidRPr="00DB05A8">
              <w:rPr>
                <w:b/>
                <w:bCs/>
              </w:rPr>
              <w:t>ANR</w:t>
            </w:r>
            <w:r w:rsidRPr="00DB05A8">
              <w:t xml:space="preserve">) : l’ANR propose plusieurs instruments de financements aux acteurs publics et privés impliqués dans la recherche. Ces projets soutenus sont les projets de recherche en amont, de recherche partenariale et de transfert de technologie. Le montant des financements accordés par l’ANR ces 10 dernières années est estimé à 110 M€. </w:t>
            </w:r>
          </w:p>
          <w:p w14:paraId="09ACD442" w14:textId="3C89CDD0" w:rsidR="00C74EDD" w:rsidRPr="00C74EDD" w:rsidRDefault="00C74EDD" w:rsidP="00CA3A8D">
            <w:pPr>
              <w:pStyle w:val="Tablebullet1"/>
            </w:pPr>
            <w:r w:rsidRPr="00C74EDD">
              <w:t>Plan climat (Bpifrance - Banque des Territoires)</w:t>
            </w:r>
            <w:r w:rsidR="009C0686">
              <w:t xml:space="preserve"> </w:t>
            </w:r>
            <w:proofErr w:type="spellStart"/>
            <w:r w:rsidR="009C0686">
              <w:t>cf</w:t>
            </w:r>
            <w:proofErr w:type="spellEnd"/>
            <w:r w:rsidR="009C0686">
              <w:t xml:space="preserve"> </w:t>
            </w:r>
            <w:r w:rsidR="009C0686">
              <w:fldChar w:fldCharType="begin"/>
            </w:r>
            <w:r w:rsidR="009C0686">
              <w:instrText xml:space="preserve"> REF _Ref76062027 \h </w:instrText>
            </w:r>
            <w:r w:rsidR="009C0686">
              <w:fldChar w:fldCharType="separate"/>
            </w:r>
            <w:r w:rsidR="009F0282">
              <w:t xml:space="preserve">Encadré </w:t>
            </w:r>
            <w:r w:rsidR="009F0282">
              <w:rPr>
                <w:noProof/>
              </w:rPr>
              <w:t>6</w:t>
            </w:r>
            <w:r w:rsidR="009C0686">
              <w:fldChar w:fldCharType="end"/>
            </w:r>
          </w:p>
          <w:p w14:paraId="0AB2FC47" w14:textId="77777777" w:rsidR="000B68A2" w:rsidRPr="00DB05A8" w:rsidRDefault="000B68A2" w:rsidP="00CA3A8D">
            <w:pPr>
              <w:pStyle w:val="Tablebullet1"/>
            </w:pPr>
            <w:r w:rsidRPr="00DB05A8">
              <w:rPr>
                <w:b/>
                <w:bCs/>
              </w:rPr>
              <w:t>Bpifrance</w:t>
            </w:r>
            <w:r w:rsidRPr="00DB05A8">
              <w:t xml:space="preserve"> apporte des subventions aux projets d’innovation. Nous en énumérons quelques exemples ci-après. L’aide au développement </w:t>
            </w:r>
            <w:proofErr w:type="spellStart"/>
            <w:r w:rsidRPr="00DB05A8">
              <w:t>deeptech</w:t>
            </w:r>
            <w:proofErr w:type="spellEnd"/>
            <w:r w:rsidRPr="00DB05A8">
              <w:t xml:space="preserve"> permet de financer les dépenses internes et externes directement liées aux phases de recherche et développement d’un projet d’innovation. L’aide est plafonnée à 2 M€ et peut couvrir jusqu’à 45% des dépenses éligibles prévisionnelles. L’aide pour la faisabilité de l’innovation, est un dispositif de subvention d’avance remboursable destiné à la validation de la faisabilité des projets. Ce dispositif couvre les études de faisabilité et l’intégration des compétences.  L’aide pour le développement de l’innovation aide les entreprises qui mènent des projets d'innovation comportant des travaux de recherche industrielle et/ou de développement expérimental à mettre au point des produits, procédés ou services innovants, présentant des perspectives concrètes d'industrialisation et de commercialisation et à financer leur participation à des partenariats technologiques nationaux ou internationaux, dans le cadre de projets de recherche, développement et innovation (RDI). Le dispositif couvre les dépenses directement liées au développement de l’innovation dans une fourchette allant de 25% à 65%. On peut également citer d’autres instruments de financement de la R&amp;D comme la Bourse French Tech, les aides de la faisabilité sous forme de subventions, les avances récupérables et prêts à taux zéro. </w:t>
            </w:r>
          </w:p>
          <w:p w14:paraId="3D28A6AB" w14:textId="77777777" w:rsidR="000B68A2" w:rsidRPr="00881C53" w:rsidRDefault="000B68A2" w:rsidP="00CA3A8D">
            <w:pPr>
              <w:pStyle w:val="Tablebullet1"/>
            </w:pPr>
            <w:r w:rsidRPr="00DB05A8">
              <w:rPr>
                <w:b/>
              </w:rPr>
              <w:t xml:space="preserve">La Banque des Territoires </w:t>
            </w:r>
            <w:r w:rsidRPr="00DB05A8">
              <w:rPr>
                <w:bCs/>
              </w:rPr>
              <w:t>accompagne les collectivités territoriales ou intercommunalités ne disposant pas de moyens en ingénierie territoriale</w:t>
            </w:r>
            <w:r w:rsidRPr="00DB05A8">
              <w:t xml:space="preserve"> en finançant à jusqu’à 50 % des </w:t>
            </w:r>
            <w:r w:rsidRPr="00B52629">
              <w:rPr>
                <w:bCs/>
              </w:rPr>
              <w:t>interventions de consultants experts.</w:t>
            </w:r>
            <w:r w:rsidRPr="00DB05A8">
              <w:rPr>
                <w:bCs/>
              </w:rPr>
              <w:t xml:space="preserve"> </w:t>
            </w:r>
          </w:p>
          <w:p w14:paraId="0F84D81C" w14:textId="1282C0BC" w:rsidR="000B68A2" w:rsidRPr="00DB05A8" w:rsidRDefault="000B68A2" w:rsidP="00CA3A8D">
            <w:pPr>
              <w:pStyle w:val="Tablebullet1"/>
            </w:pPr>
          </w:p>
        </w:tc>
      </w:tr>
    </w:tbl>
    <w:p w14:paraId="5B744D57" w14:textId="77777777" w:rsidR="000B68A2" w:rsidRDefault="000B68A2" w:rsidP="002133B7">
      <w:pPr>
        <w:pStyle w:val="Heading5"/>
        <w:ind w:left="0" w:firstLine="0"/>
      </w:pPr>
      <w:r>
        <w:t xml:space="preserve">Financement de la réalisation des projets </w:t>
      </w:r>
    </w:p>
    <w:p w14:paraId="17C7E5BD" w14:textId="6D08C6A1" w:rsidR="000B68A2" w:rsidRDefault="000B68A2" w:rsidP="00E72DF0">
      <w:pPr>
        <w:pStyle w:val="BodyText"/>
      </w:pPr>
      <w:r>
        <w:t xml:space="preserve">En phase </w:t>
      </w:r>
      <w:r w:rsidR="004E2403">
        <w:t>aval</w:t>
      </w:r>
      <w:r>
        <w:t xml:space="preserve"> des projets</w:t>
      </w:r>
      <w:r w:rsidR="004E2403">
        <w:t xml:space="preserve"> innovants</w:t>
      </w:r>
      <w:r>
        <w:t xml:space="preserve">, les mécanismes de financement évoluent. Si les instruments de subvention apportés par l’ADEME, le PIA ou autre outil public interviennent également lors ces phases, on note surtout l’apparition </w:t>
      </w:r>
      <w:r w:rsidRPr="00BE6831">
        <w:rPr>
          <w:b/>
        </w:rPr>
        <w:t xml:space="preserve">d’instruments en capital risque portés notamment par l’ADEME, Bpifrance, </w:t>
      </w:r>
      <w:r w:rsidR="00E92B64">
        <w:rPr>
          <w:b/>
        </w:rPr>
        <w:t xml:space="preserve">la </w:t>
      </w:r>
      <w:r w:rsidR="00B37A0E" w:rsidRPr="00BE6831">
        <w:rPr>
          <w:b/>
        </w:rPr>
        <w:t>B</w:t>
      </w:r>
      <w:r w:rsidRPr="00BE6831">
        <w:rPr>
          <w:b/>
        </w:rPr>
        <w:t xml:space="preserve">anque des </w:t>
      </w:r>
      <w:r w:rsidR="00B37A0E" w:rsidRPr="00BE6831">
        <w:rPr>
          <w:b/>
        </w:rPr>
        <w:t>T</w:t>
      </w:r>
      <w:r w:rsidRPr="00BE6831">
        <w:rPr>
          <w:b/>
        </w:rPr>
        <w:t>erritoires</w:t>
      </w:r>
      <w:r>
        <w:t xml:space="preserve">. L’appropriation citoyenne des projets d’énergies renouvelables favorise aussi ici les contributions financières des citoyens. De plus, certaines filières encore peu matures voient l’émergence d’acteurs privés prenant le pari de la réussite de ces projets. C’est le cas par exemple de l’hydrogène, où le tout premier fonds </w:t>
      </w:r>
      <w:bookmarkStart w:id="42" w:name="_Hlk74295577"/>
      <w:proofErr w:type="spellStart"/>
      <w:r w:rsidRPr="00BE6831">
        <w:rPr>
          <w:b/>
        </w:rPr>
        <w:t>FiveTHydrogen</w:t>
      </w:r>
      <w:proofErr w:type="spellEnd"/>
      <w:r w:rsidRPr="004E6936">
        <w:t xml:space="preserve"> </w:t>
      </w:r>
      <w:bookmarkEnd w:id="42"/>
      <w:r>
        <w:t xml:space="preserve">vient apporter des capitaux pour </w:t>
      </w:r>
      <w:r w:rsidRPr="004E6936">
        <w:t xml:space="preserve">financer </w:t>
      </w:r>
      <w:r>
        <w:t>les</w:t>
      </w:r>
      <w:r w:rsidRPr="004E6936">
        <w:t xml:space="preserve"> projets de production, de stockage et de distribution</w:t>
      </w:r>
      <w:r>
        <w:t xml:space="preserve">. </w:t>
      </w:r>
      <w:r w:rsidRPr="004E6936">
        <w:t xml:space="preserve"> </w:t>
      </w:r>
    </w:p>
    <w:p w14:paraId="6AC5430C" w14:textId="77777777" w:rsidR="000B68A2" w:rsidRDefault="000B68A2" w:rsidP="00E72DF0">
      <w:pPr>
        <w:pStyle w:val="BodyText"/>
      </w:pPr>
      <w:r>
        <w:t xml:space="preserve">En dehors des instruments de capital-risque, nous avons également identifié des instruments de prêts mis en place par la banque des territoires et Bpifrance. </w:t>
      </w:r>
    </w:p>
    <w:p w14:paraId="2CAA16D3" w14:textId="0DA97304" w:rsidR="000B68A2" w:rsidRDefault="000B68A2" w:rsidP="000B68A2">
      <w:pPr>
        <w:pStyle w:val="Caption"/>
      </w:pPr>
      <w:r>
        <w:t xml:space="preserve">Encadré </w:t>
      </w:r>
      <w:r>
        <w:fldChar w:fldCharType="begin"/>
      </w:r>
      <w:r>
        <w:instrText xml:space="preserve"> SEQ Encadré \* ARABIC </w:instrText>
      </w:r>
      <w:r>
        <w:fldChar w:fldCharType="separate"/>
      </w:r>
      <w:r w:rsidR="009F0282">
        <w:rPr>
          <w:noProof/>
        </w:rPr>
        <w:t>8</w:t>
      </w:r>
      <w:r>
        <w:fldChar w:fldCharType="end"/>
      </w:r>
      <w:r>
        <w:t xml:space="preserve"> Subventions et quasi-subventions pour la réalisation des projets </w:t>
      </w:r>
      <w:proofErr w:type="spellStart"/>
      <w:r>
        <w:t>EnR</w:t>
      </w:r>
      <w:proofErr w:type="spellEnd"/>
      <w:r>
        <w:t xml:space="preserve"> innovants</w:t>
      </w:r>
    </w:p>
    <w:tbl>
      <w:tblPr>
        <w:tblStyle w:val="TechnopolisTable21"/>
        <w:tblW w:w="0" w:type="auto"/>
        <w:tblLook w:val="0480" w:firstRow="0" w:lastRow="0" w:firstColumn="1" w:lastColumn="0" w:noHBand="0" w:noVBand="1"/>
      </w:tblPr>
      <w:tblGrid>
        <w:gridCol w:w="9062"/>
      </w:tblGrid>
      <w:tr w:rsidR="000B68A2" w14:paraId="5C17473A"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215C5765" w14:textId="0A44F75E" w:rsidR="000B68A2" w:rsidRPr="00DB08A1" w:rsidRDefault="000B68A2" w:rsidP="00DB08A1">
            <w:pPr>
              <w:pStyle w:val="Tablebullet1"/>
            </w:pPr>
            <w:r w:rsidRPr="00CA3A8D">
              <w:t>REV3 financement</w:t>
            </w:r>
            <w:r w:rsidRPr="00DB05A8">
              <w:t> </w:t>
            </w:r>
            <w:r w:rsidR="00DB08A1">
              <w:t xml:space="preserve">( </w:t>
            </w:r>
            <w:proofErr w:type="spellStart"/>
            <w:r w:rsidR="00DB08A1">
              <w:t>cf</w:t>
            </w:r>
            <w:proofErr w:type="spellEnd"/>
            <w:r w:rsidR="00DB08A1">
              <w:t xml:space="preserve"> </w:t>
            </w:r>
            <w:r w:rsidR="00DB08A1">
              <w:fldChar w:fldCharType="begin"/>
            </w:r>
            <w:r w:rsidR="00DB08A1">
              <w:instrText xml:space="preserve"> REF _Ref76063948 \h </w:instrText>
            </w:r>
            <w:r w:rsidR="00DB08A1">
              <w:fldChar w:fldCharType="separate"/>
            </w:r>
            <w:r w:rsidR="009F0282">
              <w:t xml:space="preserve">Encadré </w:t>
            </w:r>
            <w:r w:rsidR="009F0282">
              <w:rPr>
                <w:noProof/>
              </w:rPr>
              <w:t>3</w:t>
            </w:r>
            <w:r w:rsidR="00DB08A1">
              <w:fldChar w:fldCharType="end"/>
            </w:r>
            <w:r w:rsidR="00DB08A1">
              <w:t>)</w:t>
            </w:r>
          </w:p>
          <w:p w14:paraId="6E9194D5" w14:textId="068C7D6A" w:rsidR="000B68A2" w:rsidRDefault="000B68A2" w:rsidP="00CA3A8D">
            <w:pPr>
              <w:pStyle w:val="Tablebullet1"/>
            </w:pPr>
            <w:r w:rsidRPr="00532F63">
              <w:t>L’ADEME met également à la disposition des entreprises, des aides à l’investissement en faveur de la promotion de l’énergie produite à partir de sources renouvelables</w:t>
            </w:r>
            <w:r>
              <w:t xml:space="preserve"> et</w:t>
            </w:r>
            <w:r w:rsidRPr="00532F63">
              <w:t xml:space="preserve"> en faveur des réseaux de chaleur et de froid efficaces. Elles sont octroyées uniquement aux nouvelles installations. Toutes les entreprises y sont éligibles sauf modalités d’exclusion. L’intensité de l’aide varie de 35</w:t>
            </w:r>
            <w:r w:rsidR="00FF2036">
              <w:t> </w:t>
            </w:r>
            <w:r w:rsidRPr="00532F63">
              <w:t>% à 80</w:t>
            </w:r>
            <w:r w:rsidR="00FF2036">
              <w:t> </w:t>
            </w:r>
            <w:r w:rsidRPr="00532F63">
              <w:t>%.  Il existe également des aides relatives à la construction ou à la modernisation d'infrastructures énergétiques. Ces aides couvrent les coûts d’investissement. L’intensité de l’aide varie de 50</w:t>
            </w:r>
            <w:r w:rsidR="00A34E6D">
              <w:t> </w:t>
            </w:r>
            <w:r w:rsidRPr="00532F63">
              <w:t>% à 70</w:t>
            </w:r>
            <w:r w:rsidR="00A34E6D">
              <w:t> </w:t>
            </w:r>
            <w:r w:rsidRPr="00532F63">
              <w:t xml:space="preserve">% en fonction de type de bénéficiaire. </w:t>
            </w:r>
          </w:p>
          <w:p w14:paraId="620792BB" w14:textId="54D2D09B" w:rsidR="000B68A2" w:rsidRPr="0080613C" w:rsidRDefault="000B68A2" w:rsidP="00CA3A8D">
            <w:pPr>
              <w:pStyle w:val="Tablebullet1"/>
            </w:pPr>
            <w:r w:rsidRPr="00CA3A8D">
              <w:t xml:space="preserve">Le </w:t>
            </w:r>
            <w:bookmarkStart w:id="43" w:name="_Hlk74295595"/>
            <w:r w:rsidRPr="00CA3A8D">
              <w:t>guichet Tremplin pour la transition écologique des PME</w:t>
            </w:r>
            <w:bookmarkEnd w:id="43"/>
            <w:r w:rsidRPr="009D6C89">
              <w:t xml:space="preserve"> </w:t>
            </w:r>
            <w:r>
              <w:t>(ADEME</w:t>
            </w:r>
            <w:r w:rsidRPr="00CA3A8D">
              <w:t>)</w:t>
            </w:r>
            <w:r w:rsidR="00F04B95">
              <w:t> </w:t>
            </w:r>
            <w:r w:rsidRPr="00CA3A8D">
              <w:t>:</w:t>
            </w:r>
            <w:r w:rsidRPr="009D6C89">
              <w:t xml:space="preserve"> Le guichet « Tremplin pour la transition écologique des PME » permet d’accéder à des aides forfaitaires dans tous les domaines de la transition écologique</w:t>
            </w:r>
            <w:r>
              <w:t>. Les aides varient de 5 k€ à 200 k€</w:t>
            </w:r>
          </w:p>
          <w:p w14:paraId="57950ABD" w14:textId="77777777" w:rsidR="000B68A2" w:rsidRDefault="000B68A2" w:rsidP="00CA3A8D">
            <w:pPr>
              <w:pStyle w:val="Tablebullet1"/>
            </w:pPr>
            <w:r w:rsidRPr="00532F63">
              <w:t>Les appels à projets du PIA </w:t>
            </w:r>
          </w:p>
          <w:p w14:paraId="0771BE67" w14:textId="349A6FC7" w:rsidR="000B68A2" w:rsidRDefault="000B68A2" w:rsidP="00CA3A8D">
            <w:pPr>
              <w:pStyle w:val="Tablebullet1"/>
            </w:pPr>
            <w:r>
              <w:t xml:space="preserve">Les </w:t>
            </w:r>
            <w:r w:rsidRPr="00635275">
              <w:t>Stratégie nationale pour le développement de l’hydrogène décarboné en France</w:t>
            </w:r>
          </w:p>
          <w:p w14:paraId="55DABA8E" w14:textId="327011B4" w:rsidR="009C0686" w:rsidRPr="00C74EDD" w:rsidRDefault="009C0686" w:rsidP="009C0686">
            <w:pPr>
              <w:pStyle w:val="Tablebullet1"/>
            </w:pPr>
            <w:r w:rsidRPr="00C74EDD">
              <w:t>Plan climat (Bpifrance - Banque des Territoires)</w:t>
            </w:r>
            <w:r>
              <w:t xml:space="preserve"> </w:t>
            </w:r>
            <w:proofErr w:type="spellStart"/>
            <w:r>
              <w:t>cf</w:t>
            </w:r>
            <w:proofErr w:type="spellEnd"/>
            <w:r>
              <w:t xml:space="preserve">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0BC9E9B4" w14:textId="433286DD" w:rsidR="000B68A2" w:rsidRPr="000A2AAB" w:rsidRDefault="00265388" w:rsidP="00CA3A8D">
            <w:pPr>
              <w:pStyle w:val="Tablebullet1"/>
            </w:pPr>
            <w:r w:rsidRPr="00265388">
              <w:t xml:space="preserve">Innovation </w:t>
            </w:r>
            <w:proofErr w:type="spellStart"/>
            <w:r w:rsidRPr="00265388">
              <w:t>Fund</w:t>
            </w:r>
            <w:proofErr w:type="spellEnd"/>
            <w:r>
              <w:t> : programme successeur de NER300</w:t>
            </w:r>
            <w:r w:rsidR="00C66C8A">
              <w:t>, il finance de projets de démonstration de technologies bas carbone innovantes</w:t>
            </w:r>
            <w:r w:rsidR="00270F1D">
              <w:t>. Doté d’un budget de 10 Md€ pour la période 2020-2030, fournit des subventions pouvant représenter jusqu’à 60% des coûts éligibles.</w:t>
            </w:r>
          </w:p>
        </w:tc>
      </w:tr>
    </w:tbl>
    <w:p w14:paraId="041455B0" w14:textId="1063E496" w:rsidR="000B68A2" w:rsidRDefault="000B68A2" w:rsidP="000B68A2">
      <w:pPr>
        <w:pStyle w:val="Caption"/>
      </w:pPr>
      <w:bookmarkStart w:id="44" w:name="_Ref94025474"/>
      <w:bookmarkStart w:id="45" w:name="_Ref94025479"/>
      <w:r>
        <w:t>Encadré</w:t>
      </w:r>
      <w:bookmarkEnd w:id="45"/>
      <w:r>
        <w:t xml:space="preserve"> </w:t>
      </w:r>
      <w:r>
        <w:fldChar w:fldCharType="begin"/>
      </w:r>
      <w:r>
        <w:instrText xml:space="preserve"> SEQ Encadré \* ARABIC </w:instrText>
      </w:r>
      <w:r>
        <w:fldChar w:fldCharType="separate"/>
      </w:r>
      <w:r w:rsidR="009F0282">
        <w:rPr>
          <w:noProof/>
        </w:rPr>
        <w:t>9</w:t>
      </w:r>
      <w:r>
        <w:fldChar w:fldCharType="end"/>
      </w:r>
      <w:r>
        <w:t xml:space="preserve"> Fonds propres et quasi-fonds propres pour la réalisation des projets </w:t>
      </w:r>
      <w:proofErr w:type="spellStart"/>
      <w:r>
        <w:t>EnR</w:t>
      </w:r>
      <w:proofErr w:type="spellEnd"/>
      <w:r>
        <w:t xml:space="preserve"> innovants</w:t>
      </w:r>
      <w:bookmarkEnd w:id="44"/>
    </w:p>
    <w:tbl>
      <w:tblPr>
        <w:tblStyle w:val="TechnopolisTable21"/>
        <w:tblW w:w="0" w:type="auto"/>
        <w:tblLook w:val="0480" w:firstRow="0" w:lastRow="0" w:firstColumn="1" w:lastColumn="0" w:noHBand="0" w:noVBand="1"/>
      </w:tblPr>
      <w:tblGrid>
        <w:gridCol w:w="9062"/>
      </w:tblGrid>
      <w:tr w:rsidR="000B68A2" w14:paraId="5A6F19C0"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7F85E6F0" w14:textId="77777777" w:rsidR="009F0282" w:rsidRDefault="000B68A2" w:rsidP="00DD3EE3">
            <w:pPr>
              <w:pStyle w:val="Tablebullet1"/>
            </w:pPr>
            <w:r w:rsidRPr="005E7AD2">
              <w:t>REV3 financement</w:t>
            </w:r>
            <w:r w:rsidRPr="00DB05A8">
              <w:t xml:space="preserve"> : (</w:t>
            </w:r>
            <w:proofErr w:type="spellStart"/>
            <w:r w:rsidRPr="00DB05A8">
              <w:t>cf</w:t>
            </w:r>
            <w:proofErr w:type="spellEnd"/>
            <w:r w:rsidRPr="00DB05A8">
              <w:t xml:space="preserve"> </w:t>
            </w:r>
            <w:r w:rsidR="009A0857">
              <w:fldChar w:fldCharType="begin"/>
            </w:r>
            <w:r w:rsidR="009A0857">
              <w:instrText xml:space="preserve"> REF _Ref68258041 \h </w:instrText>
            </w:r>
            <w:r w:rsidR="000D4248">
              <w:rPr>
                <w:i/>
              </w:rPr>
              <w:instrText xml:space="preserve"> \* MERGEFORMAT </w:instrText>
            </w:r>
            <w:r w:rsidR="009A0857">
              <w:fldChar w:fldCharType="separate"/>
            </w:r>
            <w:r w:rsidR="009F0282">
              <w:t>Encadré 4 REV3 Capital</w:t>
            </w:r>
          </w:p>
          <w:tbl>
            <w:tblPr>
              <w:tblStyle w:val="TableGrid"/>
              <w:tblW w:w="9209" w:type="dxa"/>
              <w:tblBorders>
                <w:top w:val="single" w:sz="4" w:space="0" w:color="C73C3A" w:themeColor="accent1"/>
                <w:left w:val="single" w:sz="4" w:space="0" w:color="C73C3A" w:themeColor="accent1"/>
                <w:bottom w:val="single" w:sz="4" w:space="0" w:color="C73C3A" w:themeColor="accent1"/>
                <w:right w:val="single" w:sz="4" w:space="0" w:color="C73C3A" w:themeColor="accent1"/>
                <w:insideH w:val="none" w:sz="0" w:space="0" w:color="auto"/>
                <w:insideV w:val="none" w:sz="0" w:space="0" w:color="auto"/>
              </w:tblBorders>
              <w:tblLook w:val="04A0" w:firstRow="1" w:lastRow="0" w:firstColumn="1" w:lastColumn="0" w:noHBand="0" w:noVBand="1"/>
            </w:tblPr>
            <w:tblGrid>
              <w:gridCol w:w="9209"/>
            </w:tblGrid>
            <w:tr w:rsidR="009F0282" w:rsidRPr="006D322E" w14:paraId="36534DA6" w14:textId="77777777" w:rsidTr="005E13DD">
              <w:tc>
                <w:tcPr>
                  <w:tcW w:w="9209" w:type="dxa"/>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4EF98BAF" w14:textId="77777777" w:rsidR="009F0282" w:rsidRPr="006D322E" w:rsidRDefault="009F0282" w:rsidP="00DD3EE3">
                  <w:pPr>
                    <w:pStyle w:val="Tablebullet1"/>
                    <w:rPr>
                      <w:rFonts w:asciiTheme="majorHAnsi" w:hAnsiTheme="majorHAnsi"/>
                      <w:bCs/>
                    </w:rPr>
                  </w:pPr>
                  <w:r w:rsidRPr="00066A23">
                    <w:rPr>
                      <w:rFonts w:asciiTheme="majorHAnsi" w:hAnsiTheme="majorHAnsi"/>
                      <w:b/>
                    </w:rPr>
                    <w:t>REV3 Capital</w:t>
                  </w:r>
                  <w:r w:rsidRPr="006D322E">
                    <w:rPr>
                      <w:rFonts w:asciiTheme="majorHAnsi" w:hAnsiTheme="majorHAnsi"/>
                      <w:bCs/>
                    </w:rPr>
                    <w:t xml:space="preserve"> (anciennement CAP3RI)</w:t>
                  </w:r>
                  <w:r>
                    <w:rPr>
                      <w:rFonts w:asciiTheme="majorHAnsi" w:hAnsiTheme="majorHAnsi"/>
                      <w:bCs/>
                    </w:rPr>
                    <w:t xml:space="preserve">, chapeauté par </w:t>
                  </w:r>
                  <w:r w:rsidRPr="006D322E">
                    <w:rPr>
                      <w:rFonts w:asciiTheme="majorHAnsi" w:hAnsiTheme="majorHAnsi"/>
                      <w:bCs/>
                    </w:rPr>
                    <w:t>REV3 Financement</w:t>
                  </w:r>
                  <w:r>
                    <w:rPr>
                      <w:rFonts w:asciiTheme="majorHAnsi" w:hAnsiTheme="majorHAnsi"/>
                      <w:bCs/>
                    </w:rPr>
                    <w:t xml:space="preserve">, </w:t>
                  </w:r>
                  <w:r w:rsidRPr="006D322E">
                    <w:rPr>
                      <w:rFonts w:asciiTheme="majorHAnsi" w:hAnsiTheme="majorHAnsi"/>
                      <w:bCs/>
                    </w:rPr>
                    <w:t xml:space="preserve">est l’outil principal de la Région pour financer la Troisième Révolution Industrielle. </w:t>
                  </w:r>
                  <w:r>
                    <w:rPr>
                      <w:rFonts w:asciiTheme="majorHAnsi" w:hAnsiTheme="majorHAnsi"/>
                      <w:bCs/>
                    </w:rPr>
                    <w:t>Il s’agit d’</w:t>
                  </w:r>
                  <w:r w:rsidRPr="006D322E">
                    <w:rPr>
                      <w:rFonts w:asciiTheme="majorHAnsi" w:hAnsiTheme="majorHAnsi"/>
                      <w:bCs/>
                    </w:rPr>
                    <w:t>un fonds d’investissement en fonds propres dans les entreprises régionales porteuses de projets s’inscrivant dans la dynamique la 3</w:t>
                  </w:r>
                  <w:r w:rsidRPr="006D322E">
                    <w:rPr>
                      <w:rFonts w:asciiTheme="majorHAnsi" w:hAnsiTheme="majorHAnsi"/>
                      <w:bCs/>
                      <w:vertAlign w:val="superscript"/>
                    </w:rPr>
                    <w:t>ème</w:t>
                  </w:r>
                  <w:r w:rsidRPr="006D322E">
                    <w:rPr>
                      <w:rFonts w:asciiTheme="majorHAnsi" w:hAnsiTheme="majorHAnsi"/>
                      <w:bCs/>
                    </w:rPr>
                    <w:t xml:space="preserve"> révolution Industrielle.</w:t>
                  </w:r>
                  <w:r>
                    <w:rPr>
                      <w:rFonts w:asciiTheme="majorHAnsi" w:hAnsiTheme="majorHAnsi"/>
                      <w:bCs/>
                    </w:rPr>
                    <w:t xml:space="preserve"> Ce fonds </w:t>
                  </w:r>
                  <w:proofErr w:type="spellStart"/>
                  <w:r>
                    <w:rPr>
                      <w:rFonts w:asciiTheme="majorHAnsi" w:hAnsiTheme="majorHAnsi"/>
                      <w:bCs/>
                    </w:rPr>
                    <w:t>profondémment</w:t>
                  </w:r>
                  <w:proofErr w:type="spellEnd"/>
                  <w:r>
                    <w:rPr>
                      <w:rFonts w:asciiTheme="majorHAnsi" w:hAnsiTheme="majorHAnsi"/>
                      <w:bCs/>
                    </w:rPr>
                    <w:t xml:space="preserve"> ancré dans le développement économique local accompagne ainsi des projets </w:t>
                  </w:r>
                  <w:proofErr w:type="spellStart"/>
                  <w:r>
                    <w:rPr>
                      <w:rFonts w:asciiTheme="majorHAnsi" w:hAnsiTheme="majorHAnsi"/>
                      <w:bCs/>
                    </w:rPr>
                    <w:t>strcturants</w:t>
                  </w:r>
                  <w:proofErr w:type="spellEnd"/>
                  <w:r>
                    <w:rPr>
                      <w:rFonts w:asciiTheme="majorHAnsi" w:hAnsiTheme="majorHAnsi"/>
                      <w:bCs/>
                    </w:rPr>
                    <w:t xml:space="preserve"> pour le territoire. </w:t>
                  </w:r>
                  <w:r w:rsidRPr="006D322E">
                    <w:rPr>
                      <w:rFonts w:asciiTheme="majorHAnsi" w:hAnsiTheme="majorHAnsi"/>
                      <w:bCs/>
                    </w:rPr>
                    <w:t xml:space="preserve">Le fonds poursuit 5 objectifs à savoir : i) accompagner les entreprises dans leur transition vers une économie verte et mettre en place de nouveaux modèles de développement durable ; ii) accélérer la croissance des entreprises en finançant leur développement par un apport en fonds propres ; iii) aider en amont au développement de nouveaux projets et de R&amp;D grâce à une enveloppe d’assistance technique ; iv) être un actionnaire minoritaire créateur de valeur s’engageant sur le long terme ; v) mettre en place un dialogue constant avec les dirigeants grâce à une équipe dédiée implantée en Région Hauts-de-France. </w:t>
                  </w:r>
                </w:p>
                <w:p w14:paraId="56709436" w14:textId="77777777" w:rsidR="009F0282" w:rsidRPr="006D322E" w:rsidRDefault="009F0282" w:rsidP="005E13DD">
                  <w:pPr>
                    <w:pStyle w:val="Tabletext"/>
                    <w:keepNext/>
                    <w:keepLines/>
                    <w:jc w:val="both"/>
                    <w:rPr>
                      <w:rFonts w:asciiTheme="majorHAnsi" w:hAnsiTheme="majorHAnsi"/>
                      <w:bCs/>
                      <w:szCs w:val="16"/>
                    </w:rPr>
                  </w:pPr>
                </w:p>
                <w:p w14:paraId="37F2BB14" w14:textId="77777777" w:rsidR="009F0282" w:rsidRPr="006D322E" w:rsidRDefault="009F028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a vocation à investir sur plusieurs thématiques en lien avec la transition énergétique dont les énergies renouvelables, la gestion de l’énergie, les réseaux intelligents, la mobilité durable. </w:t>
                  </w:r>
                </w:p>
                <w:p w14:paraId="75FFB179" w14:textId="77777777" w:rsidR="009F0282" w:rsidRPr="006D322E" w:rsidRDefault="009F0282" w:rsidP="005E13DD">
                  <w:pPr>
                    <w:pStyle w:val="Tabletext"/>
                    <w:keepNext/>
                    <w:keepLines/>
                    <w:jc w:val="both"/>
                    <w:rPr>
                      <w:rFonts w:asciiTheme="majorHAnsi" w:hAnsiTheme="majorHAnsi"/>
                      <w:bCs/>
                      <w:szCs w:val="16"/>
                    </w:rPr>
                  </w:pPr>
                </w:p>
                <w:p w14:paraId="6D486C89" w14:textId="77777777" w:rsidR="009F0282" w:rsidRPr="006D322E" w:rsidRDefault="009F0282" w:rsidP="005E13DD">
                  <w:pPr>
                    <w:keepNext/>
                    <w:keepLines/>
                    <w:spacing w:afterLines="60" w:after="144"/>
                    <w:jc w:val="both"/>
                    <w:rPr>
                      <w:rFonts w:asciiTheme="majorHAnsi" w:hAnsiTheme="majorHAnsi"/>
                      <w:bCs/>
                    </w:rPr>
                  </w:pPr>
                  <w:r w:rsidRPr="00B52629">
                    <w:rPr>
                      <w:rFonts w:asciiTheme="majorHAnsi" w:hAnsiTheme="majorHAnsi"/>
                      <w:bCs/>
                    </w:rPr>
                    <w:t xml:space="preserve">L’engagement global est de 45 M€ dont </w:t>
                  </w:r>
                  <w:r w:rsidRPr="00B52629">
                    <w:rPr>
                      <w:rFonts w:asciiTheme="majorHAnsi" w:hAnsiTheme="majorHAnsi"/>
                      <w:b/>
                    </w:rPr>
                    <w:t>16,5 M€ de contribution FEDER apportée par la Région Hauts-de-France</w:t>
                  </w:r>
                  <w:r w:rsidRPr="00B52629">
                    <w:rPr>
                      <w:rFonts w:asciiTheme="majorHAnsi" w:hAnsiTheme="majorHAnsi"/>
                      <w:bCs/>
                    </w:rPr>
                    <w:t xml:space="preserve"> et 20 M€ par la Banque Européenne d’Investissement sous la forme d’un Prêt Participatif.</w:t>
                  </w:r>
                  <w:r w:rsidRPr="006D322E">
                    <w:rPr>
                      <w:rFonts w:asciiTheme="majorHAnsi" w:hAnsiTheme="majorHAnsi"/>
                      <w:bCs/>
                    </w:rPr>
                    <w:t xml:space="preserve"> </w:t>
                  </w:r>
                </w:p>
                <w:p w14:paraId="0E78AE19" w14:textId="77777777" w:rsidR="009F0282" w:rsidRPr="006D322E" w:rsidRDefault="009F0282" w:rsidP="005E13DD">
                  <w:pPr>
                    <w:pStyle w:val="Tabletext"/>
                    <w:keepNext/>
                    <w:keepLines/>
                    <w:jc w:val="both"/>
                    <w:rPr>
                      <w:rFonts w:asciiTheme="majorHAnsi" w:hAnsiTheme="majorHAnsi"/>
                      <w:bCs/>
                      <w:szCs w:val="16"/>
                    </w:rPr>
                  </w:pPr>
                  <w:r>
                    <w:rPr>
                      <w:rFonts w:asciiTheme="majorHAnsi" w:hAnsiTheme="majorHAnsi"/>
                      <w:bCs/>
                      <w:szCs w:val="16"/>
                    </w:rPr>
                    <w:t xml:space="preserve">Depuis 2016, REV3 Capital a investi dans 12 entreprises dont 4 dédiées à la production d’EnR (pour un montant de 18,5M€ dont 5M€ vers la production d’EnR). </w:t>
                  </w:r>
                  <w:r w:rsidRPr="006D322E">
                    <w:rPr>
                      <w:rFonts w:asciiTheme="majorHAnsi" w:hAnsiTheme="majorHAnsi"/>
                      <w:bCs/>
                      <w:szCs w:val="16"/>
                    </w:rPr>
                    <w:t>Si le rythme historique d’investissement était compris entre 4 et 5 M€ / an, une possible accélération est anticipée dans le cadre du plan de relance et des objectifs ambitieux en termes d’économie bas carbone. Les objectifs d’investissement à partir de 2021 sont donc de 8 à 10 M€ / an. Les objectifs de REV3 Capital sont d’effectuer 5 investissements sur l’année 2021 pour un montant global de l’ordre de 10 M</w:t>
                  </w:r>
                  <w:r w:rsidRPr="006D322E">
                    <w:rPr>
                      <w:rFonts w:ascii="Century Gothic" w:hAnsi="Century Gothic"/>
                      <w:bCs/>
                      <w:szCs w:val="16"/>
                    </w:rPr>
                    <w:t>€</w:t>
                  </w:r>
                  <w:r w:rsidRPr="006D322E">
                    <w:rPr>
                      <w:rFonts w:asciiTheme="majorHAnsi" w:hAnsiTheme="majorHAnsi"/>
                      <w:bCs/>
                      <w:szCs w:val="16"/>
                    </w:rPr>
                    <w:t xml:space="preserve">, portant les capitaux investis à 30 M€. Ces perspectives positionneront </w:t>
                  </w:r>
                  <w:r w:rsidRPr="00A31BE5">
                    <w:rPr>
                      <w:rFonts w:asciiTheme="majorHAnsi" w:hAnsiTheme="majorHAnsi"/>
                      <w:bCs/>
                      <w:szCs w:val="16"/>
                    </w:rPr>
                    <w:t>REV3 Financement</w:t>
                  </w:r>
                  <w:r w:rsidRPr="006D322E">
                    <w:rPr>
                      <w:rFonts w:asciiTheme="majorHAnsi" w:hAnsiTheme="majorHAnsi"/>
                      <w:bCs/>
                      <w:szCs w:val="16"/>
                    </w:rPr>
                    <w:t xml:space="preserve"> dans une nouvelle dynamique de levée de fonds au cours de l’exercice 2021 afin d’activer le levier complémentaire de prêt de la Banque Européenne d’Investissement et poursuivre son rythme d’investissement annuel.</w:t>
                  </w:r>
                </w:p>
                <w:p w14:paraId="46BB9EF8" w14:textId="77777777" w:rsidR="009F0282" w:rsidRPr="006D322E" w:rsidRDefault="009F0282" w:rsidP="005E13DD">
                  <w:pPr>
                    <w:keepNext/>
                    <w:keepLines/>
                    <w:spacing w:afterLines="60" w:after="144"/>
                    <w:jc w:val="both"/>
                    <w:rPr>
                      <w:rFonts w:asciiTheme="majorHAnsi" w:hAnsiTheme="majorHAnsi"/>
                      <w:bCs/>
                    </w:rPr>
                  </w:pPr>
                </w:p>
                <w:p w14:paraId="26CE582D" w14:textId="77777777" w:rsidR="009F0282" w:rsidRPr="006D322E" w:rsidRDefault="009F028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REV3 Capital permet de financer des </w:t>
                  </w:r>
                  <w:r w:rsidRPr="0028077E">
                    <w:rPr>
                      <w:rFonts w:asciiTheme="majorHAnsi" w:hAnsiTheme="majorHAnsi"/>
                      <w:b/>
                      <w:szCs w:val="16"/>
                    </w:rPr>
                    <w:t>entreprises qui trouveraient des financements difficilement sur le marché privé</w:t>
                  </w:r>
                  <w:r w:rsidRPr="006D322E">
                    <w:rPr>
                      <w:rFonts w:asciiTheme="majorHAnsi" w:hAnsiTheme="majorHAnsi"/>
                      <w:bCs/>
                      <w:szCs w:val="16"/>
                    </w:rPr>
                    <w:t xml:space="preserve"> aux caractéristiques suivantes : </w:t>
                  </w:r>
                </w:p>
                <w:p w14:paraId="55198625" w14:textId="77777777" w:rsidR="009F0282" w:rsidRPr="006D322E" w:rsidRDefault="009F028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28077E">
                    <w:rPr>
                      <w:rFonts w:asciiTheme="majorHAnsi" w:hAnsiTheme="majorHAnsi"/>
                      <w:b/>
                    </w:rPr>
                    <w:t>projets d’infrastructure</w:t>
                  </w:r>
                  <w:r w:rsidRPr="006D322E">
                    <w:rPr>
                      <w:rFonts w:asciiTheme="majorHAnsi" w:hAnsiTheme="majorHAnsi"/>
                      <w:bCs/>
                    </w:rPr>
                    <w:t xml:space="preserve"> qui ont un chiffre d’affaires important et un </w:t>
                  </w:r>
                  <w:r w:rsidRPr="0028077E">
                    <w:rPr>
                      <w:rFonts w:asciiTheme="majorHAnsi" w:hAnsiTheme="majorHAnsi"/>
                      <w:b/>
                    </w:rPr>
                    <w:t>plan de CAPEX important</w:t>
                  </w:r>
                  <w:r w:rsidRPr="006D322E">
                    <w:rPr>
                      <w:rFonts w:asciiTheme="majorHAnsi" w:hAnsiTheme="majorHAnsi"/>
                      <w:bCs/>
                    </w:rPr>
                    <w:t xml:space="preserve">. Par exemple, l’entreprise </w:t>
                  </w:r>
                  <w:proofErr w:type="spellStart"/>
                  <w:r w:rsidRPr="006D322E">
                    <w:rPr>
                      <w:rFonts w:asciiTheme="majorHAnsi" w:hAnsiTheme="majorHAnsi"/>
                      <w:bCs/>
                    </w:rPr>
                    <w:t>Gazonor</w:t>
                  </w:r>
                  <w:proofErr w:type="spellEnd"/>
                  <w:r w:rsidRPr="006D322E">
                    <w:rPr>
                      <w:rFonts w:asciiTheme="majorHAnsi" w:hAnsiTheme="majorHAnsi"/>
                      <w:bCs/>
                    </w:rPr>
                    <w:t xml:space="preserve"> a sollicité </w:t>
                  </w:r>
                  <w:r w:rsidRPr="0012328C">
                    <w:rPr>
                      <w:rFonts w:asciiTheme="majorHAnsi" w:hAnsiTheme="majorHAnsi"/>
                    </w:rPr>
                    <w:t>REV3 Capital</w:t>
                  </w:r>
                  <w:r w:rsidRPr="006D322E">
                    <w:rPr>
                      <w:rFonts w:asciiTheme="majorHAnsi" w:hAnsiTheme="majorHAnsi"/>
                      <w:bCs/>
                    </w:rPr>
                    <w:t xml:space="preserve"> à hauteur de </w:t>
                  </w:r>
                  <w:r w:rsidRPr="00292291">
                    <w:rPr>
                      <w:rFonts w:asciiTheme="majorHAnsi" w:hAnsiTheme="majorHAnsi"/>
                    </w:rPr>
                    <w:t>3</w:t>
                  </w:r>
                  <w:r>
                    <w:rPr>
                      <w:rFonts w:asciiTheme="majorHAnsi" w:hAnsiTheme="majorHAnsi"/>
                    </w:rPr>
                    <w:t> </w:t>
                  </w:r>
                  <w:r w:rsidRPr="00292291">
                    <w:rPr>
                      <w:rFonts w:asciiTheme="majorHAnsi" w:hAnsiTheme="majorHAnsi"/>
                    </w:rPr>
                    <w:t>M</w:t>
                  </w:r>
                  <w:r>
                    <w:rPr>
                      <w:rFonts w:asciiTheme="majorHAnsi" w:hAnsiTheme="majorHAnsi"/>
                    </w:rPr>
                    <w:t>€</w:t>
                  </w:r>
                  <w:r w:rsidRPr="006D322E">
                    <w:rPr>
                      <w:rFonts w:asciiTheme="majorHAnsi" w:hAnsiTheme="majorHAnsi"/>
                      <w:bCs/>
                    </w:rPr>
                    <w:t xml:space="preserve"> pour développer sur d’anciens sites miniers des installations d’unités de conversion de gaz de mine en électricité.</w:t>
                  </w:r>
                </w:p>
                <w:p w14:paraId="4F3C2470" w14:textId="77777777" w:rsidR="009F0282" w:rsidRPr="006D322E" w:rsidRDefault="009F028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28077E">
                    <w:rPr>
                      <w:rFonts w:asciiTheme="majorHAnsi" w:hAnsiTheme="majorHAnsi"/>
                      <w:b/>
                    </w:rPr>
                    <w:t>entreprises innovantes en phase de développement</w:t>
                  </w:r>
                  <w:r w:rsidRPr="006D322E">
                    <w:rPr>
                      <w:rFonts w:asciiTheme="majorHAnsi" w:hAnsiTheme="majorHAnsi"/>
                      <w:bCs/>
                    </w:rPr>
                    <w:t xml:space="preserve"> qui </w:t>
                  </w:r>
                  <w:r w:rsidRPr="00292291">
                    <w:rPr>
                      <w:rFonts w:asciiTheme="majorHAnsi" w:hAnsiTheme="majorHAnsi"/>
                    </w:rPr>
                    <w:t>amène</w:t>
                  </w:r>
                  <w:r>
                    <w:rPr>
                      <w:rFonts w:asciiTheme="majorHAnsi" w:hAnsiTheme="majorHAnsi"/>
                    </w:rPr>
                    <w:t>nt</w:t>
                  </w:r>
                  <w:r w:rsidRPr="006D322E">
                    <w:rPr>
                      <w:rFonts w:asciiTheme="majorHAnsi" w:hAnsiTheme="majorHAnsi"/>
                      <w:bCs/>
                    </w:rPr>
                    <w:t xml:space="preserve"> une rupture technologique importante. Par exemple, </w:t>
                  </w:r>
                  <w:r w:rsidRPr="0084153F">
                    <w:rPr>
                      <w:rFonts w:asciiTheme="majorHAnsi" w:hAnsiTheme="majorHAnsi"/>
                    </w:rPr>
                    <w:t>REV3 Capital</w:t>
                  </w:r>
                  <w:r w:rsidRPr="006D322E">
                    <w:rPr>
                      <w:rFonts w:asciiTheme="majorHAnsi" w:hAnsiTheme="majorHAnsi"/>
                      <w:bCs/>
                    </w:rPr>
                    <w:t xml:space="preserve"> a financé TIAMAT, une start-up pionnière dans le développement de batteries sodium-ion à hauteur de 0,5 M</w:t>
                  </w:r>
                  <w:r>
                    <w:rPr>
                      <w:rFonts w:asciiTheme="majorHAnsi" w:hAnsiTheme="majorHAnsi"/>
                    </w:rPr>
                    <w:t>€</w:t>
                  </w:r>
                  <w:r w:rsidRPr="006D322E">
                    <w:rPr>
                      <w:rFonts w:asciiTheme="majorHAnsi" w:hAnsiTheme="majorHAnsi"/>
                      <w:bCs/>
                    </w:rPr>
                    <w:t xml:space="preserve"> dans la cadre d’un tour de table de 3,5 M</w:t>
                  </w:r>
                  <w:r>
                    <w:rPr>
                      <w:rFonts w:asciiTheme="majorHAnsi" w:hAnsiTheme="majorHAnsi"/>
                    </w:rPr>
                    <w:t>€</w:t>
                  </w:r>
                  <w:r w:rsidRPr="00292291">
                    <w:rPr>
                      <w:rFonts w:asciiTheme="majorHAnsi" w:hAnsiTheme="majorHAnsi"/>
                    </w:rPr>
                    <w:t xml:space="preserve">. </w:t>
                  </w:r>
                  <w:r w:rsidRPr="006D322E">
                    <w:rPr>
                      <w:rFonts w:asciiTheme="majorHAnsi" w:hAnsiTheme="majorHAnsi"/>
                      <w:bCs/>
                    </w:rPr>
                    <w:t xml:space="preserve"> </w:t>
                  </w:r>
                </w:p>
                <w:p w14:paraId="514EC536" w14:textId="77777777" w:rsidR="009F0282" w:rsidRPr="006D322E" w:rsidRDefault="009F028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F459C0">
                    <w:rPr>
                      <w:rFonts w:asciiTheme="majorHAnsi" w:hAnsiTheme="majorHAnsi"/>
                      <w:b/>
                    </w:rPr>
                    <w:t>PME de tailles importantes</w:t>
                  </w:r>
                  <w:r w:rsidRPr="006D322E">
                    <w:rPr>
                      <w:rFonts w:asciiTheme="majorHAnsi" w:hAnsiTheme="majorHAnsi"/>
                      <w:bCs/>
                    </w:rPr>
                    <w:t xml:space="preserve"> avec un </w:t>
                  </w:r>
                  <w:r w:rsidRPr="00F459C0">
                    <w:rPr>
                      <w:rFonts w:asciiTheme="majorHAnsi" w:hAnsiTheme="majorHAnsi"/>
                      <w:b/>
                    </w:rPr>
                    <w:t>besoin en capital développement</w:t>
                  </w:r>
                  <w:r w:rsidRPr="006D322E">
                    <w:rPr>
                      <w:rFonts w:asciiTheme="majorHAnsi" w:hAnsiTheme="majorHAnsi"/>
                      <w:bCs/>
                    </w:rPr>
                    <w:t xml:space="preserve">. Par exemple, </w:t>
                  </w:r>
                  <w:r w:rsidRPr="0012328C">
                    <w:rPr>
                      <w:rFonts w:asciiTheme="majorHAnsi" w:hAnsiTheme="majorHAnsi"/>
                    </w:rPr>
                    <w:t>REV3 Capital</w:t>
                  </w:r>
                  <w:r w:rsidRPr="006D322E">
                    <w:rPr>
                      <w:rFonts w:asciiTheme="majorHAnsi" w:hAnsiTheme="majorHAnsi"/>
                      <w:bCs/>
                    </w:rPr>
                    <w:t xml:space="preserve"> a financé le groupe Be Paper, acteur régional de l’industrie papetière et de l’emballage carton à hauteur de 3M</w:t>
                  </w:r>
                  <w:r>
                    <w:rPr>
                      <w:rFonts w:asciiTheme="majorHAnsi" w:hAnsiTheme="majorHAnsi"/>
                    </w:rPr>
                    <w:t>€</w:t>
                  </w:r>
                  <w:r w:rsidRPr="006D322E">
                    <w:rPr>
                      <w:rFonts w:asciiTheme="majorHAnsi" w:hAnsiTheme="majorHAnsi"/>
                      <w:bCs/>
                    </w:rPr>
                    <w:t xml:space="preserve"> en novembre 2019 et de 0,8 M</w:t>
                  </w:r>
                  <w:r>
                    <w:rPr>
                      <w:rFonts w:asciiTheme="majorHAnsi" w:hAnsiTheme="majorHAnsi"/>
                    </w:rPr>
                    <w:t>€</w:t>
                  </w:r>
                  <w:r w:rsidRPr="006D322E">
                    <w:rPr>
                      <w:rFonts w:asciiTheme="majorHAnsi" w:hAnsiTheme="majorHAnsi"/>
                      <w:bCs/>
                    </w:rPr>
                    <w:t xml:space="preserve"> en décembre 2020.</w:t>
                  </w:r>
                  <w:r>
                    <w:rPr>
                      <w:rFonts w:asciiTheme="majorHAnsi" w:hAnsiTheme="majorHAnsi"/>
                    </w:rPr>
                    <w:t xml:space="preserve"> </w:t>
                  </w:r>
                </w:p>
                <w:p w14:paraId="55F0915E" w14:textId="77777777" w:rsidR="009F0282" w:rsidRPr="006D322E" w:rsidRDefault="009F028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F459C0">
                    <w:rPr>
                      <w:rFonts w:asciiTheme="majorHAnsi" w:hAnsiTheme="majorHAnsi"/>
                      <w:b/>
                    </w:rPr>
                    <w:t>entreprises industrielles</w:t>
                  </w:r>
                  <w:r w:rsidRPr="006D322E">
                    <w:rPr>
                      <w:rFonts w:asciiTheme="majorHAnsi" w:hAnsiTheme="majorHAnsi"/>
                      <w:bCs/>
                    </w:rPr>
                    <w:t xml:space="preserve"> en </w:t>
                  </w:r>
                  <w:r w:rsidRPr="00F459C0">
                    <w:rPr>
                      <w:rFonts w:asciiTheme="majorHAnsi" w:hAnsiTheme="majorHAnsi"/>
                      <w:b/>
                    </w:rPr>
                    <w:t>phase de changement d’échelle</w:t>
                  </w:r>
                  <w:r w:rsidRPr="006D322E">
                    <w:rPr>
                      <w:rFonts w:asciiTheme="majorHAnsi" w:hAnsiTheme="majorHAnsi"/>
                      <w:bCs/>
                    </w:rPr>
                    <w:t xml:space="preserve">. Par exemple </w:t>
                  </w:r>
                  <w:r w:rsidRPr="0012328C">
                    <w:rPr>
                      <w:rFonts w:asciiTheme="majorHAnsi" w:hAnsiTheme="majorHAnsi"/>
                    </w:rPr>
                    <w:t>REV3 Capital</w:t>
                  </w:r>
                  <w:r w:rsidRPr="006D322E">
                    <w:rPr>
                      <w:rFonts w:asciiTheme="majorHAnsi" w:hAnsiTheme="majorHAnsi"/>
                      <w:bCs/>
                    </w:rPr>
                    <w:t xml:space="preserve"> a investi 1,2 M</w:t>
                  </w:r>
                  <w:r>
                    <w:rPr>
                      <w:rFonts w:asciiTheme="majorHAnsi" w:hAnsiTheme="majorHAnsi"/>
                    </w:rPr>
                    <w:t>€</w:t>
                  </w:r>
                  <w:r w:rsidRPr="00292291">
                    <w:rPr>
                      <w:rFonts w:asciiTheme="majorHAnsi" w:hAnsiTheme="majorHAnsi"/>
                    </w:rPr>
                    <w:t>,</w:t>
                  </w:r>
                  <w:r w:rsidRPr="006D322E">
                    <w:rPr>
                      <w:rFonts w:asciiTheme="majorHAnsi" w:hAnsiTheme="majorHAnsi"/>
                      <w:bCs/>
                    </w:rPr>
                    <w:t xml:space="preserve"> dans LMK Energy, entreprise qui produit et commercialise de la biomasse torréfiée.</w:t>
                  </w:r>
                </w:p>
                <w:p w14:paraId="09059A72" w14:textId="77777777" w:rsidR="009F0282" w:rsidRPr="00E96358" w:rsidRDefault="009F0282" w:rsidP="005E13DD">
                  <w:pPr>
                    <w:pStyle w:val="Tabletext"/>
                    <w:keepNext/>
                    <w:keepLines/>
                    <w:jc w:val="both"/>
                    <w:rPr>
                      <w:rFonts w:asciiTheme="majorHAnsi" w:hAnsiTheme="majorHAnsi"/>
                      <w:b/>
                      <w:szCs w:val="16"/>
                    </w:rPr>
                  </w:pPr>
                  <w:r w:rsidRPr="00E96358">
                    <w:rPr>
                      <w:rFonts w:asciiTheme="majorHAnsi" w:hAnsiTheme="majorHAnsi"/>
                      <w:b/>
                      <w:szCs w:val="16"/>
                    </w:rPr>
                    <w:t xml:space="preserve">Les tickets d’investissements sont compris entre 0,5 et 4 M€. </w:t>
                  </w:r>
                </w:p>
                <w:p w14:paraId="3702ABFB" w14:textId="77777777" w:rsidR="009F0282" w:rsidRPr="006D322E" w:rsidRDefault="009F0282" w:rsidP="005E13DD">
                  <w:pPr>
                    <w:pStyle w:val="Tabletext"/>
                    <w:keepNext/>
                    <w:keepLines/>
                    <w:jc w:val="both"/>
                    <w:rPr>
                      <w:rFonts w:asciiTheme="majorHAnsi" w:hAnsiTheme="majorHAnsi"/>
                      <w:bCs/>
                      <w:szCs w:val="16"/>
                    </w:rPr>
                  </w:pPr>
                </w:p>
                <w:p w14:paraId="7C8C883C" w14:textId="77777777" w:rsidR="009F0282" w:rsidRPr="006D322E" w:rsidRDefault="009F028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dispose par ailleurs d’un budget de 2,5 M€ pour </w:t>
                  </w:r>
                  <w:r w:rsidRPr="00E96358">
                    <w:rPr>
                      <w:rFonts w:asciiTheme="majorHAnsi" w:hAnsiTheme="majorHAnsi"/>
                      <w:b/>
                      <w:szCs w:val="16"/>
                    </w:rPr>
                    <w:t>l’assistance technique</w:t>
                  </w:r>
                  <w:r w:rsidRPr="006D322E">
                    <w:rPr>
                      <w:rFonts w:asciiTheme="majorHAnsi" w:hAnsiTheme="majorHAnsi"/>
                      <w:bCs/>
                      <w:szCs w:val="16"/>
                    </w:rPr>
                    <w:t xml:space="preserve"> aux projets avant l’investissement, dans une logique d’expertise technique avec un tiers-indépendant. L’enveloppe prévue a été </w:t>
                  </w:r>
                  <w:r w:rsidRPr="00E96358">
                    <w:rPr>
                      <w:rFonts w:asciiTheme="majorHAnsi" w:hAnsiTheme="majorHAnsi"/>
                      <w:b/>
                      <w:szCs w:val="16"/>
                    </w:rPr>
                    <w:t>peu déployée</w:t>
                  </w:r>
                  <w:r w:rsidRPr="006D322E">
                    <w:rPr>
                      <w:rFonts w:asciiTheme="majorHAnsi" w:hAnsiTheme="majorHAnsi"/>
                      <w:bCs/>
                      <w:szCs w:val="16"/>
                    </w:rPr>
                    <w:t>, environ 150</w:t>
                  </w:r>
                  <w:r>
                    <w:rPr>
                      <w:rFonts w:asciiTheme="majorHAnsi" w:hAnsiTheme="majorHAnsi"/>
                      <w:bCs/>
                      <w:szCs w:val="16"/>
                    </w:rPr>
                    <w:t> </w:t>
                  </w:r>
                  <w:r w:rsidRPr="006D322E">
                    <w:rPr>
                      <w:rFonts w:asciiTheme="majorHAnsi" w:hAnsiTheme="majorHAnsi"/>
                      <w:bCs/>
                      <w:szCs w:val="16"/>
                    </w:rPr>
                    <w:t xml:space="preserve">K€ ont été utilisés. </w:t>
                  </w:r>
                  <w:r w:rsidRPr="00E96358">
                    <w:rPr>
                      <w:rFonts w:asciiTheme="majorHAnsi" w:hAnsiTheme="majorHAnsi"/>
                      <w:b/>
                      <w:szCs w:val="16"/>
                    </w:rPr>
                    <w:t>Le besoin des entreprises semble plus porté sur la phase après l’investissement</w:t>
                  </w:r>
                  <w:r w:rsidRPr="006D322E">
                    <w:rPr>
                      <w:rFonts w:asciiTheme="majorHAnsi" w:hAnsiTheme="majorHAnsi"/>
                      <w:bCs/>
                      <w:szCs w:val="16"/>
                    </w:rPr>
                    <w:t>. Le dimensionnement et les modalités de mobilisation de l’enveloppe semble</w:t>
                  </w:r>
                  <w:r>
                    <w:rPr>
                      <w:rFonts w:asciiTheme="majorHAnsi" w:hAnsiTheme="majorHAnsi"/>
                      <w:bCs/>
                      <w:szCs w:val="16"/>
                    </w:rPr>
                    <w:t>nt</w:t>
                  </w:r>
                  <w:r w:rsidRPr="006D322E">
                    <w:rPr>
                      <w:rFonts w:asciiTheme="majorHAnsi" w:hAnsiTheme="majorHAnsi"/>
                      <w:bCs/>
                      <w:szCs w:val="16"/>
                    </w:rPr>
                    <w:t xml:space="preserve"> en décalage avec les besoins des entreprises. </w:t>
                  </w:r>
                </w:p>
              </w:tc>
            </w:tr>
          </w:tbl>
          <w:p w14:paraId="683CC824" w14:textId="7B7CB9C8" w:rsidR="000B68A2" w:rsidRPr="00AD2C2E" w:rsidRDefault="009A0857" w:rsidP="005E7AD2">
            <w:pPr>
              <w:pStyle w:val="Tablebullet1"/>
            </w:pPr>
            <w:r>
              <w:fldChar w:fldCharType="end"/>
            </w:r>
            <w:r w:rsidR="000B68A2" w:rsidRPr="000A2AAB">
              <w:rPr>
                <w:b/>
              </w:rPr>
              <w:t>ADEME Investissement</w:t>
            </w:r>
            <w:r w:rsidR="000B68A2" w:rsidRPr="008B3F5D">
              <w:rPr>
                <w:b/>
              </w:rPr>
              <w:t> :</w:t>
            </w:r>
            <w:r w:rsidR="000B68A2" w:rsidRPr="000A2AAB">
              <w:t xml:space="preserve"> ADEME Investissement est une société d’État, sans intermédiaire financier, créée dans le cadre du PIA3. Dotée de 400</w:t>
            </w:r>
            <w:r w:rsidR="000B68A2">
              <w:t xml:space="preserve"> </w:t>
            </w:r>
            <w:r w:rsidR="000B68A2" w:rsidRPr="000A2AAB">
              <w:t xml:space="preserve">M€ depuis 2018, elle apporte des financements en fonds propres pour les projets de production, développement et stockage des énergies renouvelables à travers des prises de participation directes (dans des SPV) ou indirectes (holding de projets, fonds d’investissement) en tant qu’actionnaire minoritaire au condition pari-passu à celles de ses </w:t>
            </w:r>
            <w:proofErr w:type="spellStart"/>
            <w:r w:rsidR="000B68A2" w:rsidRPr="000A2AAB">
              <w:t>co</w:t>
            </w:r>
            <w:proofErr w:type="spellEnd"/>
            <w:r w:rsidR="000B68A2" w:rsidRPr="000A2AAB">
              <w:t>-investisseurs. Les tickets d’investissement varient entre 3</w:t>
            </w:r>
            <w:r w:rsidR="000B68A2">
              <w:t xml:space="preserve"> </w:t>
            </w:r>
            <w:r w:rsidR="000B68A2" w:rsidRPr="000A2AAB">
              <w:t>-5</w:t>
            </w:r>
            <w:r w:rsidR="000B68A2">
              <w:t> </w:t>
            </w:r>
            <w:r w:rsidR="000B68A2" w:rsidRPr="000A2AAB">
              <w:t xml:space="preserve">M€ à 40 M€. </w:t>
            </w:r>
          </w:p>
          <w:p w14:paraId="7478AF24" w14:textId="78AB0A6B" w:rsidR="009C0686" w:rsidRPr="00C74EDD" w:rsidRDefault="009C0686" w:rsidP="009C0686">
            <w:pPr>
              <w:pStyle w:val="Tablebullet1"/>
            </w:pPr>
            <w:r w:rsidRPr="00C74EDD">
              <w:t>Plan climat (Bpifrance - Banque des Territoires)</w:t>
            </w:r>
            <w:r>
              <w:t xml:space="preserve"> </w:t>
            </w:r>
            <w:proofErr w:type="spellStart"/>
            <w:r>
              <w:t>cf</w:t>
            </w:r>
            <w:proofErr w:type="spellEnd"/>
            <w:r>
              <w:t xml:space="preserve">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2A211692" w14:textId="54BBB44A" w:rsidR="004C07B1" w:rsidRPr="00285B9F" w:rsidRDefault="000B68A2" w:rsidP="004C07B1">
            <w:pPr>
              <w:pStyle w:val="Tablebullet1"/>
              <w:keepNext/>
              <w:keepLines/>
            </w:pPr>
            <w:r w:rsidRPr="008B3F5D">
              <w:rPr>
                <w:b/>
              </w:rPr>
              <w:t xml:space="preserve">Fonds </w:t>
            </w:r>
            <w:r w:rsidRPr="002B7267">
              <w:rPr>
                <w:b/>
                <w:bCs/>
              </w:rPr>
              <w:t>Ecotechnologies</w:t>
            </w:r>
            <w:r w:rsidRPr="00CA3A8D">
              <w:t xml:space="preserve"> : </w:t>
            </w:r>
            <w:r w:rsidRPr="002B7267">
              <w:t>Géré</w:t>
            </w:r>
            <w:r w:rsidRPr="00CA3A8D">
              <w:t xml:space="preserve"> </w:t>
            </w:r>
            <w:r w:rsidRPr="000F257E">
              <w:t>par</w:t>
            </w:r>
            <w:r w:rsidRPr="00CA3A8D">
              <w:t xml:space="preserve"> </w:t>
            </w:r>
            <w:r w:rsidRPr="002B7267">
              <w:t>Bpifrance Investissement</w:t>
            </w:r>
            <w:r>
              <w:t>, le fonds était initialement d</w:t>
            </w:r>
            <w:r w:rsidRPr="002B7267">
              <w:t xml:space="preserve">oté </w:t>
            </w:r>
            <w:r>
              <w:t>de</w:t>
            </w:r>
            <w:r w:rsidRPr="002B7267">
              <w:t xml:space="preserve"> 150 M€, puis augmenté de 75 M€ en 2018</w:t>
            </w:r>
            <w:r w:rsidR="00BC1AD6">
              <w:t xml:space="preserve"> (soit 225M€</w:t>
            </w:r>
            <w:r w:rsidR="002F4D8B">
              <w:t xml:space="preserve"> au niveau national</w:t>
            </w:r>
            <w:r w:rsidR="00BC1AD6">
              <w:t>)</w:t>
            </w:r>
            <w:r>
              <w:t xml:space="preserve">. Il est </w:t>
            </w:r>
            <w:r w:rsidRPr="002B7267">
              <w:t>financé à 100% par le programme d’investissements d’avenir (PIA)</w:t>
            </w:r>
            <w:r>
              <w:t xml:space="preserve"> et</w:t>
            </w:r>
            <w:r w:rsidRPr="002B7267">
              <w:t xml:space="preserve"> intervient sur quatre thématiques dont les énergies renouvelables décarbonées. Il s’agit d’un fonds thématique dédié aux entreprises innovantes dans les technologies vertes. Les tickets d’investissement varient de 2 à 10 M€. Il suit une stratégie de </w:t>
            </w:r>
            <w:proofErr w:type="spellStart"/>
            <w:r w:rsidRPr="002B7267">
              <w:t>co</w:t>
            </w:r>
            <w:proofErr w:type="spellEnd"/>
            <w:r w:rsidRPr="002B7267">
              <w:t xml:space="preserve">-investissement pari passu avec des acteurs privés, en fonds propres et quasi-fonds propres, avec une logique de prise de prises de participation minoritaires. Les entreprises visées sont les PME françaises, indépendantes non cotées et innovantes de moins de 250 salariés appartenant aux secteurs des énergies renouvelables décarbonées et chimie verte, économie circulaire (valorisation des déchets, éco conception de produits et écologie industrielle), réseaux électriques intelligents ou smart </w:t>
            </w:r>
            <w:proofErr w:type="spellStart"/>
            <w:r w:rsidRPr="002B7267">
              <w:t>grids</w:t>
            </w:r>
            <w:proofErr w:type="spellEnd"/>
            <w:r w:rsidRPr="002B7267">
              <w:t xml:space="preserve">, véhicules du futur. Le volume d’investissement sur la période 2020-2022 est estimé à 100 M€. </w:t>
            </w:r>
            <w:r w:rsidR="004C07B1" w:rsidRPr="00285B9F">
              <w:t xml:space="preserve">En 2020, Gilles </w:t>
            </w:r>
            <w:proofErr w:type="spellStart"/>
            <w:r w:rsidR="004C07B1" w:rsidRPr="00285B9F">
              <w:t>Schang</w:t>
            </w:r>
            <w:proofErr w:type="spellEnd"/>
            <w:r w:rsidR="004C07B1" w:rsidRPr="00285B9F">
              <w:t>, Directeur adjoint du pôle Ecotechnologies de Bpifrance a annoncé que des réflexions étaient en cours pour préparer sa succession, à la suite de la crise sanitaire.</w:t>
            </w:r>
          </w:p>
          <w:p w14:paraId="193CAAD1" w14:textId="77777777" w:rsidR="000B68A2" w:rsidRDefault="000B68A2" w:rsidP="00CA3A8D">
            <w:pPr>
              <w:pStyle w:val="Tablebullet1"/>
            </w:pPr>
            <w:r w:rsidRPr="00CA3A8D">
              <w:t xml:space="preserve">La </w:t>
            </w:r>
            <w:r w:rsidRPr="002B7267">
              <w:rPr>
                <w:b/>
              </w:rPr>
              <w:t>Banque des Territoires</w:t>
            </w:r>
            <w:r w:rsidRPr="002B7267">
              <w:t xml:space="preserve"> propose une offre d’investissement dans la production d’énergies renouvelables, sous la forme d’achat d’actions dans les sociétés de projet (entre 30% et 49% en fonction des risques). Elle peut également investir en fonds propres et quasi-fonds propres (entre 23% – 30%) dans les SEM. Par ailleurs elle peut également investir (minoritaire) en fonds propres et quasi-fonds propres dans la Société de projet porteuse d’une infrastructure de production d’hydrogène vert (électrolyseur, si besoin, alimenté en électricité verte, ainsi qu’une unité de stockage), plus largement des solutions de mobilité innovantes. </w:t>
            </w:r>
          </w:p>
          <w:p w14:paraId="4771D0FE" w14:textId="77777777" w:rsidR="000B68A2" w:rsidRPr="00F355BF" w:rsidRDefault="000B68A2" w:rsidP="00CA3A8D">
            <w:pPr>
              <w:pStyle w:val="Tablebullet1"/>
            </w:pPr>
            <w:proofErr w:type="spellStart"/>
            <w:r w:rsidRPr="00F355BF">
              <w:rPr>
                <w:b/>
                <w:bCs/>
              </w:rPr>
              <w:t>FiveTHydrogen</w:t>
            </w:r>
            <w:proofErr w:type="spellEnd"/>
            <w:r w:rsidRPr="00CA3A8D">
              <w:t xml:space="preserve"> : </w:t>
            </w:r>
            <w:r w:rsidRPr="00F355BF">
              <w:t>Lancé en 2021</w:t>
            </w:r>
            <w:r w:rsidRPr="00CA3A8D">
              <w:t xml:space="preserve">, </w:t>
            </w:r>
            <w:r w:rsidRPr="00F355BF">
              <w:t xml:space="preserve">ce fonds a pour objectif de financer les fondements de l'économie de l'hydrogène. Il s’agit d’un fonds d'infrastructure destiné à </w:t>
            </w:r>
            <w:bookmarkStart w:id="46" w:name="_Hlk74211146"/>
            <w:r w:rsidRPr="00F355BF">
              <w:t>financer exclusivement des projets de production, de stockage et de distribution d'hydrogène propre</w:t>
            </w:r>
            <w:bookmarkEnd w:id="46"/>
            <w:r w:rsidRPr="00F355BF">
              <w:t xml:space="preserve">. </w:t>
            </w:r>
          </w:p>
          <w:p w14:paraId="746B7B89" w14:textId="77777777" w:rsidR="000B68A2" w:rsidRDefault="000B68A2" w:rsidP="00CA3A8D">
            <w:pPr>
              <w:pStyle w:val="Tablebullet1"/>
            </w:pPr>
            <w:r w:rsidRPr="001813AE">
              <w:t xml:space="preserve">Le </w:t>
            </w:r>
            <w:r w:rsidRPr="001813AE">
              <w:rPr>
                <w:b/>
                <w:bCs/>
              </w:rPr>
              <w:t>financement participatif</w:t>
            </w:r>
            <w:r w:rsidRPr="00CA3A8D">
              <w:t> :</w:t>
            </w:r>
            <w:r>
              <w:t xml:space="preserve"> de nos jours le financement par les citoyens est devenu une source majeure de capitaux pour les porteurs de projets innovants. </w:t>
            </w:r>
          </w:p>
        </w:tc>
      </w:tr>
    </w:tbl>
    <w:p w14:paraId="733BB2A3" w14:textId="725EC7B1" w:rsidR="000B68A2" w:rsidRDefault="000B68A2" w:rsidP="000B68A2">
      <w:pPr>
        <w:pStyle w:val="Caption"/>
      </w:pPr>
      <w:r>
        <w:t xml:space="preserve">Encadré </w:t>
      </w:r>
      <w:r>
        <w:fldChar w:fldCharType="begin"/>
      </w:r>
      <w:r>
        <w:instrText xml:space="preserve"> SEQ Encadré \* ARABIC </w:instrText>
      </w:r>
      <w:r>
        <w:fldChar w:fldCharType="separate"/>
      </w:r>
      <w:r w:rsidR="009F0282">
        <w:rPr>
          <w:noProof/>
        </w:rPr>
        <w:t>10</w:t>
      </w:r>
      <w:r>
        <w:fldChar w:fldCharType="end"/>
      </w:r>
      <w:r>
        <w:t xml:space="preserve"> Prêts pour la réalisation des projets </w:t>
      </w:r>
      <w:proofErr w:type="spellStart"/>
      <w:r>
        <w:t>EnR</w:t>
      </w:r>
      <w:proofErr w:type="spellEnd"/>
      <w:r>
        <w:t xml:space="preserve"> innovants</w:t>
      </w:r>
    </w:p>
    <w:tbl>
      <w:tblPr>
        <w:tblStyle w:val="TechnopolisTable21"/>
        <w:tblW w:w="0" w:type="auto"/>
        <w:tblLook w:val="0480" w:firstRow="0" w:lastRow="0" w:firstColumn="1" w:lastColumn="0" w:noHBand="0" w:noVBand="1"/>
      </w:tblPr>
      <w:tblGrid>
        <w:gridCol w:w="9062"/>
      </w:tblGrid>
      <w:tr w:rsidR="000B68A2" w:rsidRPr="002B7267" w14:paraId="5F0668A5"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544119E4" w14:textId="11091DD4" w:rsidR="000B68A2" w:rsidRPr="00DB05A8" w:rsidRDefault="000B68A2" w:rsidP="00DB08A1">
            <w:pPr>
              <w:pStyle w:val="Tablebullet1"/>
            </w:pPr>
            <w:bookmarkStart w:id="47" w:name="_Hlk74295614"/>
            <w:r w:rsidRPr="00CA3A8D">
              <w:t>REV3 financement</w:t>
            </w:r>
            <w:r w:rsidRPr="00DB05A8">
              <w:t> : (</w:t>
            </w:r>
            <w:proofErr w:type="spellStart"/>
            <w:r w:rsidRPr="00DB05A8">
              <w:t>cf</w:t>
            </w:r>
            <w:proofErr w:type="spellEnd"/>
            <w:r w:rsidRPr="00DB05A8">
              <w:t xml:space="preserve"> </w:t>
            </w:r>
            <w:r w:rsidR="00DB08A1">
              <w:fldChar w:fldCharType="begin"/>
            </w:r>
            <w:r w:rsidR="00DB08A1">
              <w:instrText xml:space="preserve"> REF _Ref74306146 \h </w:instrText>
            </w:r>
            <w:r w:rsidR="00DB08A1">
              <w:fldChar w:fldCharType="separate"/>
            </w:r>
            <w:r w:rsidR="009F0282">
              <w:t xml:space="preserve">Encadré </w:t>
            </w:r>
            <w:r w:rsidR="009F0282">
              <w:rPr>
                <w:noProof/>
              </w:rPr>
              <w:t>5</w:t>
            </w:r>
            <w:r w:rsidR="00DB08A1">
              <w:fldChar w:fldCharType="end"/>
            </w:r>
            <w:r w:rsidR="00DB08A1">
              <w:t>)</w:t>
            </w:r>
          </w:p>
          <w:p w14:paraId="608B1146" w14:textId="77777777" w:rsidR="000B68A2" w:rsidRPr="002B7267" w:rsidRDefault="000B68A2" w:rsidP="00CA3A8D">
            <w:pPr>
              <w:pStyle w:val="Tablebullet1"/>
            </w:pPr>
            <w:r w:rsidRPr="002B7267">
              <w:rPr>
                <w:b/>
                <w:bCs/>
              </w:rPr>
              <w:t>Banque des Territoires</w:t>
            </w:r>
            <w:r w:rsidRPr="002B7267">
              <w:t> </w:t>
            </w:r>
            <w:bookmarkEnd w:id="47"/>
            <w:r w:rsidRPr="002B7267">
              <w:t xml:space="preserve">: la banque des territoires propose plusieurs instruments de prêts destinés à l’accélération de la transition énergétique : </w:t>
            </w:r>
          </w:p>
          <w:p w14:paraId="52229547" w14:textId="29F84B64" w:rsidR="000B68A2" w:rsidRPr="002B7267" w:rsidRDefault="000B68A2" w:rsidP="00CA3A8D">
            <w:pPr>
              <w:pStyle w:val="Tablebullet2"/>
              <w:rPr>
                <w:szCs w:val="16"/>
              </w:rPr>
            </w:pPr>
            <w:proofErr w:type="spellStart"/>
            <w:r w:rsidRPr="002B7267">
              <w:rPr>
                <w:szCs w:val="16"/>
              </w:rPr>
              <w:t>Oblibus</w:t>
            </w:r>
            <w:proofErr w:type="spellEnd"/>
            <w:r w:rsidRPr="002B7267">
              <w:rPr>
                <w:szCs w:val="16"/>
              </w:rPr>
              <w:t> : financé à parité par la Banque des Territoires et la Banque Européenne d’Investissement, cet instrument permet de financer jusqu’à 100</w:t>
            </w:r>
            <w:r w:rsidR="006E6F14">
              <w:rPr>
                <w:szCs w:val="16"/>
              </w:rPr>
              <w:t> </w:t>
            </w:r>
            <w:r w:rsidRPr="002B7267">
              <w:rPr>
                <w:szCs w:val="16"/>
              </w:rPr>
              <w:t>% des coûts d’investissement liés à l’achat de bus électriques, des batteries, des infrastructures de recharges. Il est destiné aux acteurs publics souhaitant verdir l’offre de mobilité du territoire. Les remboursements sont flexibles avec une durée de remboursement pouvant aller de 10 à 20 ans.</w:t>
            </w:r>
          </w:p>
          <w:p w14:paraId="13C59F62" w14:textId="46F79006" w:rsidR="000B68A2" w:rsidRPr="002B7267" w:rsidRDefault="000B68A2" w:rsidP="00CA3A8D">
            <w:pPr>
              <w:pStyle w:val="Tablebullet2"/>
              <w:rPr>
                <w:szCs w:val="16"/>
              </w:rPr>
            </w:pPr>
            <w:proofErr w:type="spellStart"/>
            <w:r w:rsidRPr="002B7267">
              <w:rPr>
                <w:szCs w:val="16"/>
              </w:rPr>
              <w:t>Mobi</w:t>
            </w:r>
            <w:proofErr w:type="spellEnd"/>
            <w:r w:rsidRPr="002B7267">
              <w:rPr>
                <w:szCs w:val="16"/>
              </w:rPr>
              <w:t xml:space="preserve"> Prêt : cette offre de financement est destinée aux projets de modernisation et de développement d’infrastructures de transport pour une mobilité connectée, inclusive, attractive et respectueuse de l’environnement. Le montant du financement peut atteindre 5</w:t>
            </w:r>
            <w:r w:rsidR="00794D9A">
              <w:rPr>
                <w:szCs w:val="16"/>
              </w:rPr>
              <w:t> </w:t>
            </w:r>
            <w:r w:rsidRPr="002B7267">
              <w:rPr>
                <w:szCs w:val="16"/>
              </w:rPr>
              <w:t xml:space="preserve">M€ sur une durée de remboursement allant de 25 à 50 ans. Cette offre de financement s’inscrit dans le cadre du plan « Accompagner la transformation des modes de transports » </w:t>
            </w:r>
          </w:p>
          <w:p w14:paraId="1F803D3C" w14:textId="4164FF7A" w:rsidR="000B68A2" w:rsidRPr="002B7267" w:rsidRDefault="000B68A2" w:rsidP="00CA3A8D">
            <w:pPr>
              <w:pStyle w:val="Tablebullet2"/>
              <w:rPr>
                <w:szCs w:val="16"/>
              </w:rPr>
            </w:pPr>
            <w:r w:rsidRPr="002B7267">
              <w:rPr>
                <w:szCs w:val="16"/>
              </w:rPr>
              <w:t>Financement des infrastructures d’avitaillement GNV/GNC et/ ou GPL : cette offre permet un apport plafonné à 20</w:t>
            </w:r>
            <w:r w:rsidR="00802593">
              <w:rPr>
                <w:szCs w:val="16"/>
              </w:rPr>
              <w:t> </w:t>
            </w:r>
            <w:r w:rsidRPr="002B7267">
              <w:rPr>
                <w:szCs w:val="16"/>
              </w:rPr>
              <w:t>% des CAPEX des projets de construction et exploitation de stations GNV et limité à la part de fonds propres apportée par l’opérateur.</w:t>
            </w:r>
          </w:p>
          <w:p w14:paraId="15B9D6FB" w14:textId="77777777" w:rsidR="000B68A2" w:rsidRPr="002B7267" w:rsidRDefault="000B68A2" w:rsidP="00CA3A8D">
            <w:pPr>
              <w:pStyle w:val="Tablebullet2"/>
              <w:rPr>
                <w:szCs w:val="16"/>
              </w:rPr>
            </w:pPr>
            <w:r w:rsidRPr="002B7267">
              <w:rPr>
                <w:szCs w:val="16"/>
              </w:rPr>
              <w:t xml:space="preserve">Prêt Relance Verte : le prêt Relance Verte a pour objet de soutenir la transition écologique &amp; énergétique. Le prêt est destiné aux acteurs publics porteurs de projets liés aux énergies renouvelables, à la valorisation des déchets. La durée du prêt est adaptative et peut atteindre 50 ans avec un taux correspondant au taux du livret majoré de 0,60%. </w:t>
            </w:r>
          </w:p>
          <w:p w14:paraId="1CC59B05" w14:textId="77777777" w:rsidR="000B68A2" w:rsidRDefault="000B68A2" w:rsidP="00CA3A8D">
            <w:pPr>
              <w:pStyle w:val="Tablebullet1"/>
            </w:pPr>
            <w:bookmarkStart w:id="48" w:name="_Hlk74295684"/>
            <w:r w:rsidRPr="002B7267">
              <w:rPr>
                <w:b/>
              </w:rPr>
              <w:t>Bpifrance</w:t>
            </w:r>
            <w:r w:rsidRPr="002B7267">
              <w:t xml:space="preserve"> </w:t>
            </w:r>
            <w:bookmarkEnd w:id="48"/>
            <w:r w:rsidRPr="002B7267">
              <w:t xml:space="preserve">accorde des prêts d’innovation pour lancer sur le marché des produits et services innovants et des prêts d’amorçage pour préparer et accompagner les levées de fonds. </w:t>
            </w:r>
          </w:p>
          <w:p w14:paraId="157906CB" w14:textId="15B79588" w:rsidR="000B68A2" w:rsidRPr="002B7267" w:rsidRDefault="009C0686" w:rsidP="7B95E9FA">
            <w:pPr>
              <w:pStyle w:val="Tablebullet1"/>
            </w:pPr>
            <w:r w:rsidRPr="00C74EDD">
              <w:t>Plan climat (Bpifrance - Banque des Territoires)</w:t>
            </w:r>
            <w:r>
              <w:t xml:space="preserve"> </w:t>
            </w:r>
            <w:proofErr w:type="spellStart"/>
            <w:r>
              <w:t>cf</w:t>
            </w:r>
            <w:proofErr w:type="spellEnd"/>
            <w:r>
              <w:t xml:space="preserve"> </w:t>
            </w:r>
            <w:r>
              <w:fldChar w:fldCharType="begin"/>
            </w:r>
            <w:r>
              <w:instrText xml:space="preserve"> REF _Ref76062027 \h </w:instrText>
            </w:r>
            <w:r>
              <w:fldChar w:fldCharType="separate"/>
            </w:r>
            <w:r w:rsidR="009F0282">
              <w:t xml:space="preserve">Encadré </w:t>
            </w:r>
            <w:r w:rsidR="009F0282">
              <w:rPr>
                <w:noProof/>
              </w:rPr>
              <w:t>6</w:t>
            </w:r>
            <w:r>
              <w:fldChar w:fldCharType="end"/>
            </w:r>
          </w:p>
        </w:tc>
      </w:tr>
    </w:tbl>
    <w:p w14:paraId="13E9660C" w14:textId="77777777" w:rsidR="000B68A2" w:rsidRDefault="000B68A2" w:rsidP="00E72DF0">
      <w:pPr>
        <w:pStyle w:val="BodyText"/>
      </w:pPr>
    </w:p>
    <w:p w14:paraId="7BFCA79B" w14:textId="48ECCA1B" w:rsidR="000B68A2" w:rsidRDefault="000B68A2" w:rsidP="00922FB3">
      <w:pPr>
        <w:pStyle w:val="Heading4"/>
      </w:pPr>
      <w:bookmarkStart w:id="49" w:name="_Toc58295836"/>
      <w:r>
        <w:t xml:space="preserve">Financement des projets </w:t>
      </w:r>
      <w:bookmarkEnd w:id="49"/>
      <w:r w:rsidR="004346D1">
        <w:t>matures</w:t>
      </w:r>
      <w:r>
        <w:t xml:space="preserve"> </w:t>
      </w:r>
    </w:p>
    <w:p w14:paraId="26B6EFEE" w14:textId="3981B319" w:rsidR="000B68A2" w:rsidRDefault="000B68A2" w:rsidP="000B68A2">
      <w:pPr>
        <w:pStyle w:val="BodyText"/>
      </w:pPr>
      <w:r>
        <w:t xml:space="preserve">Les initiatives de projets </w:t>
      </w:r>
      <w:proofErr w:type="spellStart"/>
      <w:r>
        <w:t>EnR</w:t>
      </w:r>
      <w:proofErr w:type="spellEnd"/>
      <w:r>
        <w:t xml:space="preserve"> portés par les collectivités, les citoyens et les entreprises locales </w:t>
      </w:r>
      <w:r w:rsidR="008718B1">
        <w:t>s</w:t>
      </w:r>
      <w:r>
        <w:t xml:space="preserve">e multiplient mais restent encore minoritaires. Afin d’accompagner la dynamique locale, </w:t>
      </w:r>
      <w:r w:rsidRPr="00445773">
        <w:t xml:space="preserve">Il existe </w:t>
      </w:r>
      <w:r>
        <w:t xml:space="preserve">plusieurs instruments </w:t>
      </w:r>
      <w:r w:rsidRPr="00445773">
        <w:t xml:space="preserve">pour financer les </w:t>
      </w:r>
      <w:r w:rsidRPr="002B5199">
        <w:rPr>
          <w:b/>
        </w:rPr>
        <w:t xml:space="preserve">projets </w:t>
      </w:r>
      <w:r w:rsidR="004346D1">
        <w:rPr>
          <w:b/>
          <w:bCs/>
        </w:rPr>
        <w:t>matures</w:t>
      </w:r>
      <w:r>
        <w:t xml:space="preserve"> </w:t>
      </w:r>
      <w:r w:rsidRPr="00445773">
        <w:t>d’énergies renouvelables. Le</w:t>
      </w:r>
      <w:r>
        <w:t xml:space="preserve"> tableau ci-après</w:t>
      </w:r>
      <w:r w:rsidRPr="00445773">
        <w:t xml:space="preserve"> présente la synthèse des outils identifiés. </w:t>
      </w:r>
    </w:p>
    <w:p w14:paraId="6EDEB645" w14:textId="1284238E" w:rsidR="000B68A2" w:rsidRDefault="000B68A2" w:rsidP="002133B7">
      <w:pPr>
        <w:pStyle w:val="Caption"/>
        <w:keepLines/>
      </w:pPr>
      <w:bookmarkStart w:id="50" w:name="_Toc88842094"/>
      <w:r>
        <w:t xml:space="preserve">Tableau </w:t>
      </w:r>
      <w:r>
        <w:fldChar w:fldCharType="begin"/>
      </w:r>
      <w:r>
        <w:instrText xml:space="preserve"> SEQ Tableau \* ARABIC </w:instrText>
      </w:r>
      <w:r>
        <w:fldChar w:fldCharType="separate"/>
      </w:r>
      <w:r w:rsidR="009F0282">
        <w:rPr>
          <w:noProof/>
        </w:rPr>
        <w:t>2</w:t>
      </w:r>
      <w:r>
        <w:fldChar w:fldCharType="end"/>
      </w:r>
      <w:r>
        <w:t xml:space="preserve"> Bilan des outils et sources de financement des projets </w:t>
      </w:r>
      <w:proofErr w:type="spellStart"/>
      <w:r>
        <w:t>EnR</w:t>
      </w:r>
      <w:proofErr w:type="spellEnd"/>
      <w:r>
        <w:t xml:space="preserve"> </w:t>
      </w:r>
      <w:r w:rsidR="004346D1">
        <w:t>mature</w:t>
      </w:r>
      <w:r>
        <w:t>s</w:t>
      </w:r>
      <w:bookmarkEnd w:id="50"/>
    </w:p>
    <w:tbl>
      <w:tblPr>
        <w:tblStyle w:val="TechnopolisTable"/>
        <w:tblW w:w="9067" w:type="dxa"/>
        <w:tblLook w:val="04A0" w:firstRow="1" w:lastRow="0" w:firstColumn="1" w:lastColumn="0" w:noHBand="0" w:noVBand="1"/>
      </w:tblPr>
      <w:tblGrid>
        <w:gridCol w:w="1474"/>
        <w:gridCol w:w="1975"/>
        <w:gridCol w:w="5618"/>
      </w:tblGrid>
      <w:tr w:rsidR="000B68A2" w:rsidRPr="00DB05A8" w14:paraId="02930716" w14:textId="77777777" w:rsidTr="00D70F6D">
        <w:trPr>
          <w:cnfStyle w:val="100000000000" w:firstRow="1" w:lastRow="0" w:firstColumn="0" w:lastColumn="0" w:oddVBand="0" w:evenVBand="0" w:oddHBand="0" w:evenHBand="0" w:firstRowFirstColumn="0" w:firstRowLastColumn="0" w:lastRowFirstColumn="0" w:lastRowLastColumn="0"/>
          <w:trHeight w:val="16"/>
        </w:trPr>
        <w:tc>
          <w:tcPr>
            <w:tcW w:w="1474" w:type="dxa"/>
          </w:tcPr>
          <w:p w14:paraId="71036F1F" w14:textId="6502DBDA" w:rsidR="000B68A2" w:rsidRPr="00DB05A8" w:rsidRDefault="000C1865" w:rsidP="002133B7">
            <w:pPr>
              <w:pStyle w:val="Source"/>
              <w:keepNext/>
              <w:keepLines/>
              <w:spacing w:after="0"/>
              <w:rPr>
                <w:color w:val="000000" w:themeColor="text1"/>
                <w:sz w:val="16"/>
              </w:rPr>
            </w:pPr>
            <w:r>
              <w:rPr>
                <w:color w:val="000000" w:themeColor="text1"/>
                <w:sz w:val="16"/>
              </w:rPr>
              <w:t>Phase</w:t>
            </w:r>
          </w:p>
        </w:tc>
        <w:tc>
          <w:tcPr>
            <w:tcW w:w="1975" w:type="dxa"/>
          </w:tcPr>
          <w:p w14:paraId="2BCAF46B" w14:textId="77777777" w:rsidR="000B68A2" w:rsidRPr="00DB05A8" w:rsidRDefault="000B68A2" w:rsidP="002133B7">
            <w:pPr>
              <w:pStyle w:val="Source"/>
              <w:keepNext/>
              <w:keepLines/>
              <w:spacing w:after="0"/>
              <w:rPr>
                <w:color w:val="000000" w:themeColor="text1"/>
                <w:sz w:val="16"/>
              </w:rPr>
            </w:pPr>
            <w:r w:rsidRPr="00DB05A8">
              <w:rPr>
                <w:color w:val="000000" w:themeColor="text1"/>
                <w:sz w:val="16"/>
              </w:rPr>
              <w:t>Type d’instrument</w:t>
            </w:r>
          </w:p>
        </w:tc>
        <w:tc>
          <w:tcPr>
            <w:tcW w:w="5618" w:type="dxa"/>
          </w:tcPr>
          <w:p w14:paraId="240F85F6" w14:textId="77777777" w:rsidR="000B68A2" w:rsidRPr="00DB05A8" w:rsidRDefault="000B68A2" w:rsidP="002133B7">
            <w:pPr>
              <w:pStyle w:val="Source"/>
              <w:keepNext/>
              <w:keepLines/>
              <w:spacing w:after="0"/>
              <w:rPr>
                <w:color w:val="000000" w:themeColor="text1"/>
                <w:sz w:val="16"/>
              </w:rPr>
            </w:pPr>
            <w:r w:rsidRPr="00DB05A8">
              <w:rPr>
                <w:color w:val="000000" w:themeColor="text1"/>
                <w:sz w:val="16"/>
              </w:rPr>
              <w:t>Instruments de financement</w:t>
            </w:r>
          </w:p>
        </w:tc>
      </w:tr>
      <w:tr w:rsidR="000B68A2" w:rsidRPr="00DB05A8" w14:paraId="42FA8AE8" w14:textId="77777777" w:rsidTr="00D70F6D">
        <w:trPr>
          <w:cnfStyle w:val="000000100000" w:firstRow="0" w:lastRow="0" w:firstColumn="0" w:lastColumn="0" w:oddVBand="0" w:evenVBand="0" w:oddHBand="1" w:evenHBand="0" w:firstRowFirstColumn="0" w:firstRowLastColumn="0" w:lastRowFirstColumn="0" w:lastRowLastColumn="0"/>
          <w:trHeight w:val="420"/>
        </w:trPr>
        <w:tc>
          <w:tcPr>
            <w:tcW w:w="1474" w:type="dxa"/>
            <w:vMerge w:val="restart"/>
          </w:tcPr>
          <w:p w14:paraId="5D838CDD"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Développement</w:t>
            </w:r>
          </w:p>
        </w:tc>
        <w:tc>
          <w:tcPr>
            <w:tcW w:w="1975" w:type="dxa"/>
          </w:tcPr>
          <w:p w14:paraId="1ABFEB22"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 xml:space="preserve">Subventions, </w:t>
            </w:r>
          </w:p>
          <w:p w14:paraId="4FAC3099"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Quasi-subventions</w:t>
            </w:r>
          </w:p>
        </w:tc>
        <w:tc>
          <w:tcPr>
            <w:tcW w:w="5618" w:type="dxa"/>
          </w:tcPr>
          <w:p w14:paraId="1BD12EBB" w14:textId="5E77237F" w:rsidR="000B68A2" w:rsidRPr="00DB05A8" w:rsidRDefault="000B68A2" w:rsidP="002133B7">
            <w:pPr>
              <w:pStyle w:val="Tabletext"/>
              <w:keepNext/>
              <w:keepLines/>
              <w:rPr>
                <w:color w:val="000000" w:themeColor="text1"/>
                <w:szCs w:val="16"/>
              </w:rPr>
            </w:pPr>
            <w:r w:rsidRPr="00DB05A8">
              <w:rPr>
                <w:color w:val="000000" w:themeColor="text1"/>
                <w:szCs w:val="16"/>
              </w:rPr>
              <w:t>REV3 financement</w:t>
            </w:r>
            <w:r>
              <w:rPr>
                <w:color w:val="000000" w:themeColor="text1"/>
                <w:szCs w:val="16"/>
              </w:rPr>
              <w:t xml:space="preserve">, </w:t>
            </w:r>
            <w:r w:rsidRPr="00DB05A8">
              <w:rPr>
                <w:color w:val="000000" w:themeColor="text1"/>
                <w:szCs w:val="16"/>
              </w:rPr>
              <w:t>Banque des territoires, ADEME</w:t>
            </w:r>
          </w:p>
        </w:tc>
      </w:tr>
      <w:tr w:rsidR="000B68A2" w:rsidRPr="00DB05A8" w14:paraId="0BD142D8" w14:textId="77777777" w:rsidTr="00D70F6D">
        <w:trPr>
          <w:cnfStyle w:val="000000010000" w:firstRow="0" w:lastRow="0" w:firstColumn="0" w:lastColumn="0" w:oddVBand="0" w:evenVBand="0" w:oddHBand="0" w:evenHBand="1" w:firstRowFirstColumn="0" w:firstRowLastColumn="0" w:lastRowFirstColumn="0" w:lastRowLastColumn="0"/>
          <w:trHeight w:val="472"/>
        </w:trPr>
        <w:tc>
          <w:tcPr>
            <w:tcW w:w="1474" w:type="dxa"/>
            <w:vMerge/>
          </w:tcPr>
          <w:p w14:paraId="20AFD15B" w14:textId="77777777" w:rsidR="000B68A2" w:rsidRPr="00DB05A8" w:rsidRDefault="000B68A2" w:rsidP="002133B7">
            <w:pPr>
              <w:pStyle w:val="Source"/>
              <w:keepNext/>
              <w:keepLines/>
              <w:spacing w:after="0"/>
              <w:rPr>
                <w:b/>
                <w:bCs/>
                <w:color w:val="000000" w:themeColor="text1"/>
                <w:sz w:val="16"/>
              </w:rPr>
            </w:pPr>
          </w:p>
        </w:tc>
        <w:tc>
          <w:tcPr>
            <w:tcW w:w="1975" w:type="dxa"/>
          </w:tcPr>
          <w:p w14:paraId="13FF5931"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Fonds propres/ Quasi-Fonds propres</w:t>
            </w:r>
          </w:p>
        </w:tc>
        <w:tc>
          <w:tcPr>
            <w:tcW w:w="5618" w:type="dxa"/>
          </w:tcPr>
          <w:p w14:paraId="460D6B11" w14:textId="2EEA61F4" w:rsidR="000B68A2" w:rsidRPr="00DB05A8" w:rsidRDefault="000B68A2" w:rsidP="002133B7">
            <w:pPr>
              <w:pStyle w:val="Tabletext"/>
              <w:keepNext/>
              <w:keepLines/>
              <w:rPr>
                <w:color w:val="000000" w:themeColor="text1"/>
                <w:szCs w:val="16"/>
              </w:rPr>
            </w:pPr>
            <w:proofErr w:type="spellStart"/>
            <w:r w:rsidRPr="00DB05A8">
              <w:rPr>
                <w:color w:val="000000" w:themeColor="text1"/>
                <w:szCs w:val="16"/>
              </w:rPr>
              <w:t>EnRciT</w:t>
            </w:r>
            <w:proofErr w:type="spellEnd"/>
            <w:r w:rsidRPr="00DB05A8">
              <w:rPr>
                <w:color w:val="000000" w:themeColor="text1"/>
                <w:szCs w:val="16"/>
              </w:rPr>
              <w:t>, Bpifrance, Banque des Territoires, REV3 financement</w:t>
            </w:r>
            <w:r w:rsidR="009C0686">
              <w:rPr>
                <w:color w:val="000000" w:themeColor="text1"/>
                <w:szCs w:val="16"/>
              </w:rPr>
              <w:t xml:space="preserve">, </w:t>
            </w:r>
            <w:r w:rsidR="009C0686" w:rsidRPr="009C0686">
              <w:rPr>
                <w:color w:val="000000" w:themeColor="text1"/>
                <w:szCs w:val="16"/>
              </w:rPr>
              <w:t xml:space="preserve">Plan climat (Bpifrance - Banque des Territoires) </w:t>
            </w:r>
          </w:p>
        </w:tc>
      </w:tr>
      <w:tr w:rsidR="000B68A2" w:rsidRPr="00DB05A8" w14:paraId="3B39DD43" w14:textId="77777777" w:rsidTr="00D70F6D">
        <w:trPr>
          <w:cnfStyle w:val="000000100000" w:firstRow="0" w:lastRow="0" w:firstColumn="0" w:lastColumn="0" w:oddVBand="0" w:evenVBand="0" w:oddHBand="1" w:evenHBand="0" w:firstRowFirstColumn="0" w:firstRowLastColumn="0" w:lastRowFirstColumn="0" w:lastRowLastColumn="0"/>
          <w:trHeight w:val="285"/>
        </w:trPr>
        <w:tc>
          <w:tcPr>
            <w:tcW w:w="1474" w:type="dxa"/>
            <w:vMerge/>
          </w:tcPr>
          <w:p w14:paraId="75FE1FDF" w14:textId="77777777" w:rsidR="000B68A2" w:rsidRPr="00DB05A8" w:rsidRDefault="000B68A2" w:rsidP="002133B7">
            <w:pPr>
              <w:pStyle w:val="Source"/>
              <w:keepNext/>
              <w:keepLines/>
              <w:spacing w:after="0"/>
              <w:rPr>
                <w:b/>
                <w:bCs/>
                <w:color w:val="000000" w:themeColor="text1"/>
                <w:sz w:val="16"/>
              </w:rPr>
            </w:pPr>
          </w:p>
        </w:tc>
        <w:tc>
          <w:tcPr>
            <w:tcW w:w="1975" w:type="dxa"/>
          </w:tcPr>
          <w:p w14:paraId="3119B230"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Prêts</w:t>
            </w:r>
          </w:p>
        </w:tc>
        <w:tc>
          <w:tcPr>
            <w:tcW w:w="5618" w:type="dxa"/>
          </w:tcPr>
          <w:p w14:paraId="41D59ECC" w14:textId="4669A61F" w:rsidR="000B68A2" w:rsidRPr="00DB05A8" w:rsidRDefault="000B68A2" w:rsidP="002133B7">
            <w:pPr>
              <w:pStyle w:val="Tabletext"/>
              <w:keepNext/>
              <w:keepLines/>
              <w:rPr>
                <w:color w:val="000000" w:themeColor="text1"/>
                <w:szCs w:val="16"/>
              </w:rPr>
            </w:pPr>
            <w:r w:rsidRPr="00DB05A8">
              <w:rPr>
                <w:color w:val="000000" w:themeColor="text1"/>
                <w:szCs w:val="16"/>
              </w:rPr>
              <w:t>Banque des territoires, REV3 financement</w:t>
            </w:r>
            <w:r w:rsidR="009C0686">
              <w:rPr>
                <w:color w:val="000000" w:themeColor="text1"/>
                <w:szCs w:val="16"/>
              </w:rPr>
              <w:t xml:space="preserve">, </w:t>
            </w:r>
            <w:r w:rsidR="009C0686" w:rsidRPr="009C0686">
              <w:rPr>
                <w:color w:val="000000" w:themeColor="text1"/>
                <w:szCs w:val="16"/>
              </w:rPr>
              <w:t>Plan climat (Bpifrance - Banque des Territoires)</w:t>
            </w:r>
          </w:p>
        </w:tc>
      </w:tr>
      <w:tr w:rsidR="000B68A2" w:rsidRPr="00DB05A8" w14:paraId="42901DB6" w14:textId="77777777" w:rsidTr="00D70F6D">
        <w:trPr>
          <w:cnfStyle w:val="000000010000" w:firstRow="0" w:lastRow="0" w:firstColumn="0" w:lastColumn="0" w:oddVBand="0" w:evenVBand="0" w:oddHBand="0" w:evenHBand="1" w:firstRowFirstColumn="0" w:firstRowLastColumn="0" w:lastRowFirstColumn="0" w:lastRowLastColumn="0"/>
          <w:trHeight w:val="124"/>
        </w:trPr>
        <w:tc>
          <w:tcPr>
            <w:tcW w:w="1474" w:type="dxa"/>
            <w:vMerge w:val="restart"/>
          </w:tcPr>
          <w:p w14:paraId="35EA356C" w14:textId="77777777" w:rsidR="000B68A2" w:rsidRPr="00DB05A8" w:rsidRDefault="000B68A2" w:rsidP="002133B7">
            <w:pPr>
              <w:pStyle w:val="Source"/>
              <w:keepNext/>
              <w:keepLines/>
              <w:rPr>
                <w:b/>
                <w:bCs/>
                <w:color w:val="000000" w:themeColor="text1"/>
                <w:sz w:val="16"/>
              </w:rPr>
            </w:pPr>
            <w:r w:rsidRPr="00DB05A8">
              <w:rPr>
                <w:b/>
                <w:bCs/>
                <w:color w:val="000000" w:themeColor="text1"/>
                <w:sz w:val="16"/>
              </w:rPr>
              <w:t>Réalisation</w:t>
            </w:r>
          </w:p>
        </w:tc>
        <w:tc>
          <w:tcPr>
            <w:tcW w:w="1975" w:type="dxa"/>
          </w:tcPr>
          <w:p w14:paraId="75104127"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 xml:space="preserve">Subventions, </w:t>
            </w:r>
          </w:p>
          <w:p w14:paraId="0BA07BF8"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Quasi-subventions</w:t>
            </w:r>
          </w:p>
        </w:tc>
        <w:tc>
          <w:tcPr>
            <w:tcW w:w="5618" w:type="dxa"/>
          </w:tcPr>
          <w:p w14:paraId="26C083E1" w14:textId="27302A0A" w:rsidR="000B68A2" w:rsidRPr="00DB05A8" w:rsidRDefault="000B68A2" w:rsidP="002133B7">
            <w:pPr>
              <w:pStyle w:val="Source"/>
              <w:keepNext/>
              <w:keepLines/>
              <w:spacing w:after="0"/>
              <w:rPr>
                <w:color w:val="000000" w:themeColor="text1"/>
                <w:sz w:val="16"/>
              </w:rPr>
            </w:pPr>
            <w:r w:rsidRPr="00DB05A8">
              <w:rPr>
                <w:color w:val="000000" w:themeColor="text1"/>
                <w:sz w:val="16"/>
              </w:rPr>
              <w:t>ADEME, Fonds Chaleur, REV3 financement</w:t>
            </w:r>
          </w:p>
        </w:tc>
      </w:tr>
      <w:tr w:rsidR="000B68A2" w:rsidRPr="00DB05A8" w14:paraId="73BEFF05" w14:textId="77777777" w:rsidTr="00D70F6D">
        <w:trPr>
          <w:cnfStyle w:val="000000100000" w:firstRow="0" w:lastRow="0" w:firstColumn="0" w:lastColumn="0" w:oddVBand="0" w:evenVBand="0" w:oddHBand="1" w:evenHBand="0" w:firstRowFirstColumn="0" w:firstRowLastColumn="0" w:lastRowFirstColumn="0" w:lastRowLastColumn="0"/>
          <w:trHeight w:val="16"/>
        </w:trPr>
        <w:tc>
          <w:tcPr>
            <w:tcW w:w="1474" w:type="dxa"/>
            <w:vMerge/>
          </w:tcPr>
          <w:p w14:paraId="2DD0BA31" w14:textId="77777777" w:rsidR="000B68A2" w:rsidRPr="00DB05A8" w:rsidRDefault="000B68A2" w:rsidP="002133B7">
            <w:pPr>
              <w:pStyle w:val="Source"/>
              <w:keepNext/>
              <w:keepLines/>
              <w:rPr>
                <w:b/>
                <w:bCs/>
                <w:color w:val="000000" w:themeColor="text1"/>
                <w:sz w:val="16"/>
              </w:rPr>
            </w:pPr>
          </w:p>
        </w:tc>
        <w:tc>
          <w:tcPr>
            <w:tcW w:w="1975" w:type="dxa"/>
          </w:tcPr>
          <w:p w14:paraId="3B83B2EE"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 xml:space="preserve">Fonds propres/ Quasi-Fonds propres </w:t>
            </w:r>
          </w:p>
        </w:tc>
        <w:tc>
          <w:tcPr>
            <w:tcW w:w="5618" w:type="dxa"/>
          </w:tcPr>
          <w:p w14:paraId="46743917" w14:textId="7C7C48E0" w:rsidR="000B68A2" w:rsidRPr="00DB05A8" w:rsidRDefault="000B68A2" w:rsidP="002133B7">
            <w:pPr>
              <w:pStyle w:val="Source"/>
              <w:keepNext/>
              <w:keepLines/>
              <w:spacing w:after="0"/>
              <w:rPr>
                <w:color w:val="000000" w:themeColor="text1"/>
                <w:sz w:val="16"/>
              </w:rPr>
            </w:pPr>
            <w:r w:rsidRPr="00DB05A8">
              <w:rPr>
                <w:color w:val="000000" w:themeColor="text1"/>
                <w:sz w:val="16"/>
              </w:rPr>
              <w:t>SEM Energies Hauts-de-France, REV3 financement, Énergie Partagée Investissement,</w:t>
            </w:r>
            <w:r>
              <w:rPr>
                <w:color w:val="000000" w:themeColor="text1"/>
                <w:sz w:val="16"/>
              </w:rPr>
              <w:t xml:space="preserve"> </w:t>
            </w:r>
            <w:r w:rsidRPr="00DB05A8">
              <w:rPr>
                <w:color w:val="000000" w:themeColor="text1"/>
                <w:sz w:val="16"/>
              </w:rPr>
              <w:t xml:space="preserve">Financement participatif, </w:t>
            </w:r>
            <w:proofErr w:type="spellStart"/>
            <w:r w:rsidRPr="00DB05A8">
              <w:rPr>
                <w:color w:val="000000" w:themeColor="text1"/>
                <w:sz w:val="16"/>
              </w:rPr>
              <w:t>CIERCs</w:t>
            </w:r>
            <w:proofErr w:type="spellEnd"/>
            <w:r w:rsidR="009C0686">
              <w:rPr>
                <w:color w:val="000000" w:themeColor="text1"/>
                <w:sz w:val="16"/>
              </w:rPr>
              <w:t xml:space="preserve">, </w:t>
            </w:r>
            <w:r w:rsidR="009C0686" w:rsidRPr="009C0686">
              <w:rPr>
                <w:color w:val="000000" w:themeColor="text1"/>
                <w:sz w:val="16"/>
              </w:rPr>
              <w:t xml:space="preserve">Plan climat (Bpifrance - Banque des Territoires) </w:t>
            </w:r>
          </w:p>
        </w:tc>
      </w:tr>
      <w:tr w:rsidR="000B68A2" w:rsidRPr="00DB05A8" w14:paraId="160D7636" w14:textId="77777777" w:rsidTr="00D70F6D">
        <w:trPr>
          <w:cnfStyle w:val="000000010000" w:firstRow="0" w:lastRow="0" w:firstColumn="0" w:lastColumn="0" w:oddVBand="0" w:evenVBand="0" w:oddHBand="0" w:evenHBand="1" w:firstRowFirstColumn="0" w:firstRowLastColumn="0" w:lastRowFirstColumn="0" w:lastRowLastColumn="0"/>
          <w:trHeight w:val="185"/>
        </w:trPr>
        <w:tc>
          <w:tcPr>
            <w:tcW w:w="1474" w:type="dxa"/>
            <w:vMerge/>
          </w:tcPr>
          <w:p w14:paraId="014A5097" w14:textId="77777777" w:rsidR="000B68A2" w:rsidRPr="00DB05A8" w:rsidRDefault="000B68A2" w:rsidP="002133B7">
            <w:pPr>
              <w:pStyle w:val="Source"/>
              <w:keepNext/>
              <w:keepLines/>
              <w:rPr>
                <w:b/>
                <w:bCs/>
                <w:color w:val="000000" w:themeColor="text1"/>
                <w:sz w:val="16"/>
              </w:rPr>
            </w:pPr>
          </w:p>
        </w:tc>
        <w:tc>
          <w:tcPr>
            <w:tcW w:w="1975" w:type="dxa"/>
          </w:tcPr>
          <w:p w14:paraId="1B026861"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 xml:space="preserve">Prêts </w:t>
            </w:r>
          </w:p>
        </w:tc>
        <w:tc>
          <w:tcPr>
            <w:tcW w:w="5618" w:type="dxa"/>
          </w:tcPr>
          <w:p w14:paraId="466B1B91" w14:textId="2DF7EBB8" w:rsidR="000B68A2" w:rsidRPr="00DB05A8" w:rsidRDefault="000B68A2" w:rsidP="002133B7">
            <w:pPr>
              <w:pStyle w:val="Source"/>
              <w:keepNext/>
              <w:keepLines/>
              <w:spacing w:after="0"/>
              <w:rPr>
                <w:color w:val="000000" w:themeColor="text1"/>
                <w:sz w:val="16"/>
              </w:rPr>
            </w:pPr>
            <w:r w:rsidRPr="00DB05A8">
              <w:rPr>
                <w:color w:val="000000" w:themeColor="text1"/>
                <w:sz w:val="16"/>
              </w:rPr>
              <w:t xml:space="preserve">REV3 financement, Banque des territoires, </w:t>
            </w:r>
            <w:proofErr w:type="spellStart"/>
            <w:r w:rsidRPr="00DB05A8">
              <w:rPr>
                <w:color w:val="000000" w:themeColor="text1"/>
                <w:sz w:val="16"/>
              </w:rPr>
              <w:t>BpiFrance</w:t>
            </w:r>
            <w:proofErr w:type="spellEnd"/>
            <w:r w:rsidR="009C0686">
              <w:rPr>
                <w:color w:val="000000" w:themeColor="text1"/>
                <w:sz w:val="16"/>
              </w:rPr>
              <w:t xml:space="preserve">, </w:t>
            </w:r>
            <w:r w:rsidR="009C0686" w:rsidRPr="009C0686">
              <w:rPr>
                <w:color w:val="000000" w:themeColor="text1"/>
                <w:sz w:val="16"/>
              </w:rPr>
              <w:t>Plan climat (Bpifrance - Banque des Territoires)</w:t>
            </w:r>
          </w:p>
        </w:tc>
      </w:tr>
      <w:tr w:rsidR="000B68A2" w:rsidRPr="00DB05A8" w14:paraId="4E34B821" w14:textId="77777777" w:rsidTr="00D70F6D">
        <w:trPr>
          <w:cnfStyle w:val="000000100000" w:firstRow="0" w:lastRow="0" w:firstColumn="0" w:lastColumn="0" w:oddVBand="0" w:evenVBand="0" w:oddHBand="1" w:evenHBand="0" w:firstRowFirstColumn="0" w:firstRowLastColumn="0" w:lastRowFirstColumn="0" w:lastRowLastColumn="0"/>
          <w:trHeight w:val="13"/>
        </w:trPr>
        <w:tc>
          <w:tcPr>
            <w:tcW w:w="1474" w:type="dxa"/>
            <w:vMerge/>
          </w:tcPr>
          <w:p w14:paraId="1D7CC066" w14:textId="77777777" w:rsidR="000B68A2" w:rsidRPr="00DB05A8" w:rsidRDefault="000B68A2" w:rsidP="002133B7">
            <w:pPr>
              <w:pStyle w:val="Source"/>
              <w:keepNext/>
              <w:keepLines/>
              <w:rPr>
                <w:b/>
                <w:bCs/>
                <w:color w:val="000000" w:themeColor="text1"/>
                <w:sz w:val="16"/>
              </w:rPr>
            </w:pPr>
          </w:p>
        </w:tc>
        <w:tc>
          <w:tcPr>
            <w:tcW w:w="1975" w:type="dxa"/>
          </w:tcPr>
          <w:p w14:paraId="55EDC72B"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Garantie</w:t>
            </w:r>
          </w:p>
        </w:tc>
        <w:tc>
          <w:tcPr>
            <w:tcW w:w="5618" w:type="dxa"/>
          </w:tcPr>
          <w:p w14:paraId="1DFEACB7" w14:textId="2C36B3B3" w:rsidR="000B68A2" w:rsidRPr="00DB05A8" w:rsidRDefault="00C64FE5" w:rsidP="002133B7">
            <w:pPr>
              <w:pStyle w:val="Source"/>
              <w:keepNext/>
              <w:keepLines/>
              <w:spacing w:after="0"/>
              <w:rPr>
                <w:color w:val="000000" w:themeColor="text1"/>
                <w:sz w:val="16"/>
              </w:rPr>
            </w:pPr>
            <w:r w:rsidRPr="00DB05A8">
              <w:rPr>
                <w:color w:val="000000" w:themeColor="text1"/>
                <w:sz w:val="16"/>
              </w:rPr>
              <w:t>Mécanismes</w:t>
            </w:r>
            <w:r w:rsidR="000B68A2" w:rsidRPr="00DB05A8">
              <w:rPr>
                <w:color w:val="000000" w:themeColor="text1"/>
                <w:sz w:val="16"/>
              </w:rPr>
              <w:t xml:space="preserve"> nationaux, Fonds de garantie géothermie</w:t>
            </w:r>
          </w:p>
        </w:tc>
      </w:tr>
      <w:tr w:rsidR="000B68A2" w:rsidRPr="00DB05A8" w14:paraId="51638775" w14:textId="77777777" w:rsidTr="00D70F6D">
        <w:trPr>
          <w:cnfStyle w:val="000000010000" w:firstRow="0" w:lastRow="0" w:firstColumn="0" w:lastColumn="0" w:oddVBand="0" w:evenVBand="0" w:oddHBand="0" w:evenHBand="1" w:firstRowFirstColumn="0" w:firstRowLastColumn="0" w:lastRowFirstColumn="0" w:lastRowLastColumn="0"/>
          <w:trHeight w:val="185"/>
        </w:trPr>
        <w:tc>
          <w:tcPr>
            <w:tcW w:w="1474" w:type="dxa"/>
            <w:vMerge w:val="restart"/>
          </w:tcPr>
          <w:p w14:paraId="5788A70C" w14:textId="77777777" w:rsidR="000B68A2" w:rsidRPr="00DB05A8" w:rsidRDefault="000B68A2" w:rsidP="002133B7">
            <w:pPr>
              <w:pStyle w:val="Source"/>
              <w:keepNext/>
              <w:keepLines/>
              <w:rPr>
                <w:b/>
                <w:bCs/>
                <w:color w:val="000000" w:themeColor="text1"/>
                <w:sz w:val="16"/>
              </w:rPr>
            </w:pPr>
            <w:r w:rsidRPr="00DB05A8">
              <w:rPr>
                <w:b/>
                <w:bCs/>
                <w:color w:val="000000" w:themeColor="text1"/>
                <w:sz w:val="16"/>
              </w:rPr>
              <w:t>Exploitation</w:t>
            </w:r>
          </w:p>
        </w:tc>
        <w:tc>
          <w:tcPr>
            <w:tcW w:w="1975" w:type="dxa"/>
          </w:tcPr>
          <w:p w14:paraId="307D6821"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Fonds propres/ Quasi-Fonds propres</w:t>
            </w:r>
          </w:p>
        </w:tc>
        <w:tc>
          <w:tcPr>
            <w:tcW w:w="5618" w:type="dxa"/>
          </w:tcPr>
          <w:p w14:paraId="56107BA0" w14:textId="77777777" w:rsidR="000B68A2" w:rsidRPr="00DB05A8" w:rsidRDefault="000B68A2" w:rsidP="002133B7">
            <w:pPr>
              <w:pStyle w:val="Source"/>
              <w:keepNext/>
              <w:keepLines/>
              <w:spacing w:after="0"/>
              <w:rPr>
                <w:color w:val="000000" w:themeColor="text1"/>
                <w:sz w:val="16"/>
              </w:rPr>
            </w:pPr>
            <w:r w:rsidRPr="00DB05A8">
              <w:rPr>
                <w:color w:val="000000" w:themeColor="text1"/>
                <w:sz w:val="16"/>
              </w:rPr>
              <w:t xml:space="preserve">Entreprises privées, banques privées </w:t>
            </w:r>
          </w:p>
        </w:tc>
      </w:tr>
      <w:tr w:rsidR="000B68A2" w:rsidRPr="00DB05A8" w14:paraId="2C58F55D" w14:textId="77777777" w:rsidTr="00D70F6D">
        <w:trPr>
          <w:cnfStyle w:val="000000100000" w:firstRow="0" w:lastRow="0" w:firstColumn="0" w:lastColumn="0" w:oddVBand="0" w:evenVBand="0" w:oddHBand="1" w:evenHBand="0" w:firstRowFirstColumn="0" w:firstRowLastColumn="0" w:lastRowFirstColumn="0" w:lastRowLastColumn="0"/>
          <w:trHeight w:val="185"/>
        </w:trPr>
        <w:tc>
          <w:tcPr>
            <w:tcW w:w="1474" w:type="dxa"/>
            <w:vMerge/>
          </w:tcPr>
          <w:p w14:paraId="725087A4" w14:textId="77777777" w:rsidR="000B68A2" w:rsidRPr="00DB05A8" w:rsidRDefault="000B68A2" w:rsidP="002133B7">
            <w:pPr>
              <w:pStyle w:val="Source"/>
              <w:keepNext/>
              <w:keepLines/>
              <w:rPr>
                <w:b/>
                <w:bCs/>
                <w:color w:val="000000" w:themeColor="text1"/>
                <w:sz w:val="16"/>
              </w:rPr>
            </w:pPr>
          </w:p>
        </w:tc>
        <w:tc>
          <w:tcPr>
            <w:tcW w:w="1975" w:type="dxa"/>
          </w:tcPr>
          <w:p w14:paraId="16708D40"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Garantie</w:t>
            </w:r>
          </w:p>
        </w:tc>
        <w:tc>
          <w:tcPr>
            <w:tcW w:w="5618" w:type="dxa"/>
          </w:tcPr>
          <w:p w14:paraId="76E78EAA" w14:textId="77777777" w:rsidR="000B68A2" w:rsidRPr="00DB05A8" w:rsidRDefault="000B68A2" w:rsidP="002133B7">
            <w:pPr>
              <w:pStyle w:val="Source"/>
              <w:keepNext/>
              <w:keepLines/>
              <w:spacing w:after="0"/>
              <w:rPr>
                <w:color w:val="000000" w:themeColor="text1"/>
                <w:sz w:val="16"/>
              </w:rPr>
            </w:pPr>
            <w:r w:rsidRPr="00DB05A8">
              <w:rPr>
                <w:color w:val="000000" w:themeColor="text1"/>
                <w:sz w:val="16"/>
              </w:rPr>
              <w:t>Mécanismes nationaux</w:t>
            </w:r>
          </w:p>
        </w:tc>
      </w:tr>
    </w:tbl>
    <w:p w14:paraId="65518392" w14:textId="45C8E944" w:rsidR="000B68A2" w:rsidRPr="00445773" w:rsidRDefault="000B68A2" w:rsidP="002133B7">
      <w:pPr>
        <w:pStyle w:val="Source"/>
      </w:pPr>
      <w:r>
        <w:t>Source Technopolis</w:t>
      </w:r>
    </w:p>
    <w:p w14:paraId="03316849" w14:textId="77777777" w:rsidR="000B68A2" w:rsidRDefault="000B68A2" w:rsidP="00B9287A">
      <w:pPr>
        <w:pStyle w:val="Heading5"/>
        <w:ind w:left="0" w:firstLine="0"/>
      </w:pPr>
      <w:r>
        <w:t>Financement de la phase d’amorçage et de développement des projets</w:t>
      </w:r>
    </w:p>
    <w:p w14:paraId="197A6FBF" w14:textId="24C260B1" w:rsidR="000B68A2" w:rsidRDefault="000B68A2" w:rsidP="00E72DF0">
      <w:pPr>
        <w:pStyle w:val="BodyText"/>
      </w:pPr>
      <w:r>
        <w:t xml:space="preserve">La </w:t>
      </w:r>
      <w:r w:rsidRPr="00DD2CBB">
        <w:rPr>
          <w:b/>
        </w:rPr>
        <w:t xml:space="preserve">phase de développement des projets </w:t>
      </w:r>
      <w:proofErr w:type="spellStart"/>
      <w:r w:rsidRPr="00DD2CBB">
        <w:rPr>
          <w:b/>
        </w:rPr>
        <w:t>EnR</w:t>
      </w:r>
      <w:proofErr w:type="spellEnd"/>
      <w:r w:rsidRPr="00DD2CBB">
        <w:rPr>
          <w:b/>
        </w:rPr>
        <w:t xml:space="preserve"> est à la fois, la plus risquée et la plus difficile à financer</w:t>
      </w:r>
      <w:r>
        <w:t>. Plusieurs dispositifs existent et permettent de financer cette phase amont. Le</w:t>
      </w:r>
      <w:r w:rsidR="00C5102C">
        <w:t>s</w:t>
      </w:r>
      <w:r>
        <w:t xml:space="preserve"> dispositif</w:t>
      </w:r>
      <w:r w:rsidR="00C5102C">
        <w:t>s</w:t>
      </w:r>
      <w:r>
        <w:t xml:space="preserve"> </w:t>
      </w:r>
      <w:r w:rsidR="00C5102C" w:rsidRPr="00C5102C">
        <w:rPr>
          <w:b/>
          <w:bCs/>
        </w:rPr>
        <w:t>REV3 financement, FRATRI,</w:t>
      </w:r>
      <w:r w:rsidRPr="00C5102C">
        <w:rPr>
          <w:b/>
        </w:rPr>
        <w:t xml:space="preserve"> </w:t>
      </w:r>
      <w:proofErr w:type="spellStart"/>
      <w:r w:rsidRPr="000B526E">
        <w:rPr>
          <w:b/>
          <w:bCs/>
        </w:rPr>
        <w:t>EnRciT</w:t>
      </w:r>
      <w:proofErr w:type="spellEnd"/>
      <w:r>
        <w:rPr>
          <w:b/>
          <w:bCs/>
        </w:rPr>
        <w:t xml:space="preserve"> et les </w:t>
      </w:r>
      <w:r w:rsidR="00C5102C">
        <w:rPr>
          <w:b/>
          <w:bCs/>
        </w:rPr>
        <w:t>aides</w:t>
      </w:r>
      <w:r>
        <w:rPr>
          <w:b/>
          <w:bCs/>
        </w:rPr>
        <w:t xml:space="preserve"> l’ADEME jouent un rôle essentiel à cette étape </w:t>
      </w:r>
      <w:r w:rsidRPr="00AE4925">
        <w:t>et</w:t>
      </w:r>
      <w:r>
        <w:rPr>
          <w:b/>
          <w:bCs/>
        </w:rPr>
        <w:t xml:space="preserve"> </w:t>
      </w:r>
      <w:r>
        <w:t xml:space="preserve">facilitent </w:t>
      </w:r>
      <w:r w:rsidRPr="000B526E">
        <w:t>l</w:t>
      </w:r>
      <w:r>
        <w:t>a concrétisation d</w:t>
      </w:r>
      <w:r w:rsidRPr="000B526E">
        <w:t>es projets d’énergies renouvelables (</w:t>
      </w:r>
      <w:proofErr w:type="spellStart"/>
      <w:r w:rsidRPr="000B526E">
        <w:t>EnR</w:t>
      </w:r>
      <w:proofErr w:type="spellEnd"/>
      <w:r w:rsidRPr="000B526E">
        <w:t xml:space="preserve">). </w:t>
      </w:r>
    </w:p>
    <w:p w14:paraId="091DA0D9" w14:textId="285F5FAA" w:rsidR="000B68A2" w:rsidRDefault="000B68A2" w:rsidP="000B68A2">
      <w:pPr>
        <w:pStyle w:val="Caption"/>
      </w:pPr>
      <w:r>
        <w:t xml:space="preserve">Encadré </w:t>
      </w:r>
      <w:r>
        <w:fldChar w:fldCharType="begin"/>
      </w:r>
      <w:r>
        <w:instrText xml:space="preserve"> SEQ Encadré \* ARABIC </w:instrText>
      </w:r>
      <w:r>
        <w:fldChar w:fldCharType="separate"/>
      </w:r>
      <w:r w:rsidR="009F0282">
        <w:rPr>
          <w:noProof/>
        </w:rPr>
        <w:t>11</w:t>
      </w:r>
      <w:r>
        <w:fldChar w:fldCharType="end"/>
      </w:r>
      <w:r>
        <w:t xml:space="preserve"> Outils en subventions et quasi-subventions pour le développement de projets </w:t>
      </w:r>
      <w:proofErr w:type="spellStart"/>
      <w:r>
        <w:t>EnR</w:t>
      </w:r>
      <w:proofErr w:type="spellEnd"/>
    </w:p>
    <w:tbl>
      <w:tblPr>
        <w:tblStyle w:val="TechnopolisTable21"/>
        <w:tblW w:w="0" w:type="auto"/>
        <w:tblLook w:val="0480" w:firstRow="0" w:lastRow="0" w:firstColumn="1" w:lastColumn="0" w:noHBand="0" w:noVBand="1"/>
      </w:tblPr>
      <w:tblGrid>
        <w:gridCol w:w="9062"/>
      </w:tblGrid>
      <w:tr w:rsidR="000B68A2" w14:paraId="75E75438"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50B060A0" w14:textId="77777777" w:rsidR="000B68A2" w:rsidRPr="006B506B" w:rsidRDefault="000B68A2" w:rsidP="0004542A">
            <w:pPr>
              <w:pStyle w:val="Tablebullet1"/>
            </w:pPr>
            <w:r w:rsidRPr="0004542A">
              <w:t>Fonds Régional d’Amplification de la Troisième Révolution Industrielle</w:t>
            </w:r>
            <w:r w:rsidRPr="006B506B">
              <w:t xml:space="preserve"> (</w:t>
            </w:r>
            <w:proofErr w:type="spellStart"/>
            <w:r w:rsidRPr="006B506B">
              <w:t>cf</w:t>
            </w:r>
            <w:proofErr w:type="spellEnd"/>
            <w:r w:rsidRPr="006B506B">
              <w:t xml:space="preserve"> Encadré 1)</w:t>
            </w:r>
          </w:p>
          <w:p w14:paraId="1977B205" w14:textId="57C2A6AC" w:rsidR="000B68A2" w:rsidRDefault="00864C61" w:rsidP="0004542A">
            <w:pPr>
              <w:pStyle w:val="Tablebullet1"/>
            </w:pPr>
            <w:r>
              <w:t xml:space="preserve">la </w:t>
            </w:r>
            <w:r w:rsidR="000B68A2" w:rsidRPr="0004542A">
              <w:t xml:space="preserve">Banque des </w:t>
            </w:r>
            <w:r>
              <w:t>T</w:t>
            </w:r>
            <w:r w:rsidR="000B68A2" w:rsidRPr="0004542A">
              <w:t>erritoires</w:t>
            </w:r>
            <w:r w:rsidR="000B68A2" w:rsidRPr="000B526E">
              <w:t xml:space="preserve"> propose des avances en compte courant proportionnel au pourcentage de participation</w:t>
            </w:r>
            <w:r w:rsidR="00467A7A">
              <w:t xml:space="preserve"> </w:t>
            </w:r>
            <w:r w:rsidR="00292B61">
              <w:t xml:space="preserve">des Collectivités à destination des SEM, SA/SAS </w:t>
            </w:r>
            <w:r w:rsidR="00BB2AA0">
              <w:t xml:space="preserve">développant des </w:t>
            </w:r>
            <w:proofErr w:type="spellStart"/>
            <w:r w:rsidR="00BB2AA0">
              <w:t>EnR</w:t>
            </w:r>
            <w:proofErr w:type="spellEnd"/>
            <w:r w:rsidR="000B68A2" w:rsidRPr="000B526E">
              <w:t xml:space="preserve">. </w:t>
            </w:r>
          </w:p>
          <w:p w14:paraId="1FF51FC4" w14:textId="5DE6BE99" w:rsidR="000B68A2" w:rsidRDefault="000B68A2" w:rsidP="0004542A">
            <w:pPr>
              <w:pStyle w:val="Tablebullet1"/>
            </w:pPr>
            <w:r w:rsidRPr="0004542A">
              <w:t xml:space="preserve">Aides de </w:t>
            </w:r>
            <w:r w:rsidR="00D62D7F" w:rsidRPr="0004542A">
              <w:t>l’ADEME</w:t>
            </w:r>
            <w:r w:rsidRPr="0004542A">
              <w:t xml:space="preserve"> : </w:t>
            </w:r>
            <w:r w:rsidRPr="003218F4">
              <w:t>l</w:t>
            </w:r>
            <w:r>
              <w:t xml:space="preserve">’ADEME apporte des aides sous formes de subventions/quais subventions pour financer les dépenses engagées en phase de développement. Au nombre des aides disponibles au niveau de l’ADEME pour </w:t>
            </w:r>
            <w:r w:rsidRPr="0004542A">
              <w:t>l</w:t>
            </w:r>
            <w:r w:rsidR="00CE055D">
              <w:t>a</w:t>
            </w:r>
            <w:r w:rsidRPr="0004542A">
              <w:t xml:space="preserve"> phase amont</w:t>
            </w:r>
            <w:r>
              <w:t xml:space="preserve"> des projets </w:t>
            </w:r>
            <w:r w:rsidR="000E4AA9">
              <w:t>mature</w:t>
            </w:r>
            <w:r>
              <w:t>s, on peut citer :</w:t>
            </w:r>
          </w:p>
          <w:p w14:paraId="19D073A7" w14:textId="732C1AD8" w:rsidR="000B68A2" w:rsidRPr="0004542A" w:rsidRDefault="00CE055D" w:rsidP="0004542A">
            <w:pPr>
              <w:pStyle w:val="Tablebullet2"/>
              <w:rPr>
                <w:szCs w:val="16"/>
              </w:rPr>
            </w:pPr>
            <w:r>
              <w:rPr>
                <w:szCs w:val="16"/>
              </w:rPr>
              <w:t>l</w:t>
            </w:r>
            <w:r w:rsidR="000B68A2" w:rsidRPr="0004542A">
              <w:rPr>
                <w:szCs w:val="16"/>
              </w:rPr>
              <w:t>e dispositif d’aide à la décision de l’ADEME : il permet de financer les études de diagnostic (50 k€ maximum) et les études d’accompagnement de projet (missions de conseil permettant d’accompagner le maître d’ouvrage dans la réalisation de projets et notamment la détermination de sa faisabilité) jusqu’à 100 k€</w:t>
            </w:r>
          </w:p>
          <w:p w14:paraId="6CF19226" w14:textId="2DAAF7A1" w:rsidR="000B68A2" w:rsidRPr="0004542A" w:rsidRDefault="00CE055D" w:rsidP="0004542A">
            <w:pPr>
              <w:pStyle w:val="Tablebullet2"/>
              <w:rPr>
                <w:szCs w:val="16"/>
              </w:rPr>
            </w:pPr>
            <w:r>
              <w:rPr>
                <w:szCs w:val="16"/>
              </w:rPr>
              <w:t>l</w:t>
            </w:r>
            <w:r w:rsidR="000B68A2" w:rsidRPr="0004542A">
              <w:rPr>
                <w:szCs w:val="16"/>
              </w:rPr>
              <w:t xml:space="preserve">e dispositif de subvention pour la réalisation d’un diagnostic du potentiel de déploiement de l’hydrogène sur un territoire : ce dispositif est ouvert aux collectivités, entreprises ou associations </w:t>
            </w:r>
            <w:r w:rsidR="00CE7D9D">
              <w:rPr>
                <w:szCs w:val="16"/>
              </w:rPr>
              <w:t xml:space="preserve">pour </w:t>
            </w:r>
            <w:r w:rsidR="000B68A2" w:rsidRPr="0004542A">
              <w:rPr>
                <w:szCs w:val="16"/>
              </w:rPr>
              <w:t xml:space="preserve">initier ou approfondir </w:t>
            </w:r>
            <w:r w:rsidR="00CE7D9D">
              <w:rPr>
                <w:szCs w:val="16"/>
              </w:rPr>
              <w:t>les</w:t>
            </w:r>
            <w:r w:rsidR="000B68A2" w:rsidRPr="0004542A">
              <w:rPr>
                <w:szCs w:val="16"/>
              </w:rPr>
              <w:t xml:space="preserve"> étude</w:t>
            </w:r>
            <w:r w:rsidR="00CE7D9D">
              <w:rPr>
                <w:szCs w:val="16"/>
              </w:rPr>
              <w:t>s</w:t>
            </w:r>
            <w:r w:rsidR="000B68A2" w:rsidRPr="0004542A">
              <w:rPr>
                <w:szCs w:val="16"/>
              </w:rPr>
              <w:t xml:space="preserve"> préalable</w:t>
            </w:r>
            <w:r w:rsidR="00CE7D9D">
              <w:rPr>
                <w:szCs w:val="16"/>
              </w:rPr>
              <w:t>s</w:t>
            </w:r>
            <w:r w:rsidR="000B68A2" w:rsidRPr="0004542A">
              <w:rPr>
                <w:szCs w:val="16"/>
              </w:rPr>
              <w:t xml:space="preserve"> et à préparer un projet d’investissement éligible pour une candidature à l’appel à projets « Écosystèmes territoriaux hydrogène ». Les études préalables peuvent ainsi être subventionnées jusqu’à 70 % des dépenses éligibles (taux variable selon le commanditaire de l’étude). L’assiette des dépenses éligibles est plafonnée à 100 k€ pour une étude préalable complète incluant une phase de diagnostic et une phase d’étude de faisabilité. </w:t>
            </w:r>
          </w:p>
          <w:p w14:paraId="0A80BCC3" w14:textId="38007F29" w:rsidR="000B68A2" w:rsidRPr="0004542A" w:rsidRDefault="00CE055D" w:rsidP="0004542A">
            <w:pPr>
              <w:pStyle w:val="Tablebullet2"/>
              <w:rPr>
                <w:szCs w:val="16"/>
              </w:rPr>
            </w:pPr>
            <w:r>
              <w:rPr>
                <w:szCs w:val="16"/>
              </w:rPr>
              <w:t>l</w:t>
            </w:r>
            <w:r w:rsidR="000B68A2" w:rsidRPr="0004542A">
              <w:rPr>
                <w:szCs w:val="16"/>
              </w:rPr>
              <w:t>e dispositif d’études préalables à la construction d’une installation de méthanisation : il permet de financer i) les études de diagnostic et d’accompagnement de projets (dont études de faisabilité) des unités de méthanisation à la ferme, centralisées, en industries agro-alimentaires ou station d’épuration urbaines (STEU) ; ii) les études de raccordement au réseau public de gaz (pour les projets d’injection, voir plus bas en détail, certaines études seulement sont éligibles). L’intensité de l’aide varie de 50</w:t>
            </w:r>
            <w:r w:rsidR="00E753D2">
              <w:rPr>
                <w:szCs w:val="16"/>
              </w:rPr>
              <w:t> </w:t>
            </w:r>
            <w:r w:rsidR="000B68A2" w:rsidRPr="0004542A">
              <w:rPr>
                <w:szCs w:val="16"/>
              </w:rPr>
              <w:t>% à 70</w:t>
            </w:r>
            <w:r w:rsidR="00E753D2">
              <w:rPr>
                <w:szCs w:val="16"/>
              </w:rPr>
              <w:t> %</w:t>
            </w:r>
            <w:r w:rsidR="000B68A2" w:rsidRPr="0004542A">
              <w:rPr>
                <w:szCs w:val="16"/>
              </w:rPr>
              <w:t xml:space="preserve"> dans une limite de 100 k€</w:t>
            </w:r>
          </w:p>
          <w:p w14:paraId="07D6292F" w14:textId="545EA20A" w:rsidR="000B68A2" w:rsidRPr="0004542A" w:rsidRDefault="000B68A2" w:rsidP="0004542A">
            <w:pPr>
              <w:pStyle w:val="Tablebullet2"/>
              <w:rPr>
                <w:szCs w:val="16"/>
              </w:rPr>
            </w:pPr>
            <w:r w:rsidRPr="0004542A">
              <w:rPr>
                <w:szCs w:val="16"/>
              </w:rPr>
              <w:t>Il existe également de nombreuses autres aides pour le financement des études telles que les études de faisabilité d'installation solaire thermique, études de réseaux de chaleur et de froid</w:t>
            </w:r>
            <w:r w:rsidR="00C86569">
              <w:rPr>
                <w:szCs w:val="16"/>
              </w:rPr>
              <w:t>.</w:t>
            </w:r>
          </w:p>
          <w:p w14:paraId="3A7A038F" w14:textId="56B48BD7" w:rsidR="000B68A2" w:rsidRPr="00B44622" w:rsidRDefault="000B68A2" w:rsidP="00B44622">
            <w:pPr>
              <w:pStyle w:val="BodyText"/>
              <w:rPr>
                <w:sz w:val="16"/>
                <w:szCs w:val="16"/>
              </w:rPr>
            </w:pPr>
            <w:r w:rsidRPr="0004542A">
              <w:rPr>
                <w:sz w:val="16"/>
                <w:szCs w:val="16"/>
              </w:rPr>
              <w:t>Ces aides peuvent passer par des mécanismes d’appels à projet. C’est le cas par exemple </w:t>
            </w:r>
            <w:r w:rsidR="00B44622">
              <w:rPr>
                <w:sz w:val="16"/>
                <w:szCs w:val="16"/>
              </w:rPr>
              <w:t xml:space="preserve">de </w:t>
            </w:r>
            <w:r w:rsidR="00B44622" w:rsidRPr="00B44622">
              <w:rPr>
                <w:sz w:val="16"/>
                <w:szCs w:val="16"/>
              </w:rPr>
              <w:t>l’</w:t>
            </w:r>
            <w:r w:rsidRPr="00B44622">
              <w:rPr>
                <w:sz w:val="16"/>
                <w:szCs w:val="16"/>
              </w:rPr>
              <w:t>AAP Audit et réhabilitation d'installations solaires thermiques collectives</w:t>
            </w:r>
            <w:r w:rsidR="00B44622">
              <w:rPr>
                <w:sz w:val="16"/>
                <w:szCs w:val="16"/>
              </w:rPr>
              <w:t>. Cet AAP s’inscrit</w:t>
            </w:r>
            <w:r>
              <w:rPr>
                <w:sz w:val="16"/>
                <w:szCs w:val="16"/>
              </w:rPr>
              <w:t xml:space="preserve"> </w:t>
            </w:r>
            <w:r w:rsidRPr="00B44622">
              <w:rPr>
                <w:sz w:val="16"/>
                <w:szCs w:val="16"/>
              </w:rPr>
              <w:t xml:space="preserve">dans le cadre du plan de relance, </w:t>
            </w:r>
            <w:r w:rsidR="00B44622">
              <w:rPr>
                <w:sz w:val="16"/>
                <w:szCs w:val="16"/>
              </w:rPr>
              <w:t>et</w:t>
            </w:r>
            <w:r w:rsidRPr="00B44622">
              <w:rPr>
                <w:sz w:val="16"/>
                <w:szCs w:val="16"/>
              </w:rPr>
              <w:t xml:space="preserve"> vise à accompagner de manière expérimentale sur une durée de 2,5 ans, les Maitres d’Ouvrages (</w:t>
            </w:r>
            <w:proofErr w:type="spellStart"/>
            <w:r w:rsidRPr="00B44622">
              <w:rPr>
                <w:sz w:val="16"/>
                <w:szCs w:val="16"/>
              </w:rPr>
              <w:t>MOa</w:t>
            </w:r>
            <w:proofErr w:type="spellEnd"/>
            <w:r w:rsidRPr="00B44622">
              <w:rPr>
                <w:sz w:val="16"/>
                <w:szCs w:val="16"/>
              </w:rPr>
              <w:t>) qui le souhaitent, à la mise en place d’audits des installations qui présentent des dysfonctionnements, suivi d’une phase de réhabilitation permettant la mise en œuvre d’un contrat de maintenance avec un engagement de bon fonctionnement ou un contrat de performance selon le souhait de la maîtrise d’ouvrage. Il s’agit d’actions visant l’amélioration de la qualité et de la compétitivité des installations solaires thermiques collectives, dans une démarche de collaboration entre les acteurs de la profession.</w:t>
            </w:r>
          </w:p>
        </w:tc>
      </w:tr>
    </w:tbl>
    <w:p w14:paraId="4696EF4A" w14:textId="22756AA4" w:rsidR="000B68A2" w:rsidRDefault="000B68A2" w:rsidP="000B68A2">
      <w:pPr>
        <w:pStyle w:val="Caption"/>
      </w:pPr>
      <w:r>
        <w:t xml:space="preserve">Encadré </w:t>
      </w:r>
      <w:r>
        <w:fldChar w:fldCharType="begin"/>
      </w:r>
      <w:r>
        <w:instrText xml:space="preserve"> SEQ Encadré \* ARABIC </w:instrText>
      </w:r>
      <w:r>
        <w:fldChar w:fldCharType="separate"/>
      </w:r>
      <w:r w:rsidR="009F0282">
        <w:rPr>
          <w:noProof/>
        </w:rPr>
        <w:t>12</w:t>
      </w:r>
      <w:r>
        <w:fldChar w:fldCharType="end"/>
      </w:r>
      <w:r>
        <w:t xml:space="preserve"> Outils de fonds propres pour l'amorçage et du développement de projets </w:t>
      </w:r>
      <w:proofErr w:type="spellStart"/>
      <w:r>
        <w:t>EnR</w:t>
      </w:r>
      <w:proofErr w:type="spellEnd"/>
    </w:p>
    <w:tbl>
      <w:tblPr>
        <w:tblStyle w:val="TechnopolisTable21"/>
        <w:tblW w:w="0" w:type="auto"/>
        <w:tblLook w:val="0480" w:firstRow="0" w:lastRow="0" w:firstColumn="1" w:lastColumn="0" w:noHBand="0" w:noVBand="1"/>
      </w:tblPr>
      <w:tblGrid>
        <w:gridCol w:w="9062"/>
      </w:tblGrid>
      <w:tr w:rsidR="000B68A2" w:rsidRPr="000B526E" w14:paraId="1F946BB7"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2766C8F8" w14:textId="63407431" w:rsidR="000B68A2" w:rsidRDefault="000B68A2" w:rsidP="0004542A">
            <w:pPr>
              <w:pStyle w:val="Tablebullet1"/>
            </w:pPr>
            <w:proofErr w:type="spellStart"/>
            <w:r w:rsidRPr="000B526E">
              <w:rPr>
                <w:b/>
              </w:rPr>
              <w:t>EnRciT</w:t>
            </w:r>
            <w:proofErr w:type="spellEnd"/>
            <w:r w:rsidRPr="0004542A">
              <w:t xml:space="preserve"> : </w:t>
            </w:r>
            <w:r w:rsidRPr="000B526E">
              <w:t xml:space="preserve">il s’agit d’un dispositif de financement géré par Énergie Partagée. L’outil est doté de </w:t>
            </w:r>
            <w:r w:rsidRPr="0004542A">
              <w:t>10</w:t>
            </w:r>
            <w:r w:rsidR="0069563F">
              <w:t> </w:t>
            </w:r>
            <w:r w:rsidRPr="0004542A">
              <w:t>M</w:t>
            </w:r>
            <w:r w:rsidRPr="000B526E">
              <w:t>€ par la Caisse des Dépôts, l’Ircantec et le Crédit Coopératif et intervient en fonds propres (jusqu’à 49 %) dans les sociétés de projets citoyens en phase de développement. Ce dispositif doit permettre de financer environ 150 projets sur 10</w:t>
            </w:r>
            <w:r w:rsidR="00FB053B">
              <w:t> </w:t>
            </w:r>
            <w:r w:rsidRPr="000B526E">
              <w:t xml:space="preserve">ans. En </w:t>
            </w:r>
            <w:proofErr w:type="spellStart"/>
            <w:r w:rsidRPr="000B526E">
              <w:t>co</w:t>
            </w:r>
            <w:proofErr w:type="spellEnd"/>
            <w:r w:rsidRPr="000B526E">
              <w:t>-investissant aux côtés de citoyens et/ou de collectivités (au minimum 40</w:t>
            </w:r>
            <w:r w:rsidR="00DC0949">
              <w:t> </w:t>
            </w:r>
            <w:r w:rsidRPr="000B526E">
              <w:t>% du projet, dont 20</w:t>
            </w:r>
            <w:r w:rsidR="00DC0949">
              <w:t> </w:t>
            </w:r>
            <w:r w:rsidRPr="000B526E">
              <w:t xml:space="preserve">% minimum de citoyens) et des autres actionnaires, il vise à apporter des moyens financiers à la sécurisation de la phase de développement de projets notamment éoliens et photovoltaïques (sols et toitures) de minimum </w:t>
            </w:r>
            <w:r w:rsidRPr="0004542A">
              <w:t>1</w:t>
            </w:r>
            <w:r w:rsidR="002910A5">
              <w:t> </w:t>
            </w:r>
            <w:r w:rsidRPr="0004542A">
              <w:t>MW</w:t>
            </w:r>
            <w:r w:rsidRPr="000B526E">
              <w:t xml:space="preserve"> en prenant des participations minoritaires (100</w:t>
            </w:r>
            <w:r w:rsidR="00FF23CD">
              <w:t xml:space="preserve"> </w:t>
            </w:r>
            <w:r w:rsidRPr="0004542A">
              <w:t>-</w:t>
            </w:r>
            <w:r w:rsidR="00FF23CD">
              <w:t xml:space="preserve"> </w:t>
            </w:r>
            <w:r w:rsidRPr="0004542A">
              <w:t>300</w:t>
            </w:r>
            <w:r w:rsidR="002910A5">
              <w:t> </w:t>
            </w:r>
            <w:r w:rsidRPr="0004542A">
              <w:t>K</w:t>
            </w:r>
            <w:r w:rsidRPr="000B526E">
              <w:t xml:space="preserve">€) en phase de développement, cédées ultérieurement au profit de l’écosystème territorial. </w:t>
            </w:r>
          </w:p>
          <w:p w14:paraId="2D3898D4" w14:textId="21EDA7DD" w:rsidR="000B68A2" w:rsidRPr="000B526E" w:rsidRDefault="000B68A2" w:rsidP="0004542A">
            <w:pPr>
              <w:pStyle w:val="Tablebullet1"/>
            </w:pPr>
            <w:r w:rsidRPr="008B3F5D">
              <w:rPr>
                <w:b/>
              </w:rPr>
              <w:t>Fonds France Investissement Énergie Environnement</w:t>
            </w:r>
            <w:r w:rsidRPr="000B526E">
              <w:rPr>
                <w:bCs/>
              </w:rPr>
              <w:t xml:space="preserve"> (</w:t>
            </w:r>
            <w:r w:rsidRPr="0004542A">
              <w:t>FIEE</w:t>
            </w:r>
            <w:r w:rsidRPr="000B526E">
              <w:rPr>
                <w:bCs/>
              </w:rPr>
              <w:t xml:space="preserve">) de </w:t>
            </w:r>
            <w:r w:rsidRPr="000B526E">
              <w:t>Bpifrance </w:t>
            </w:r>
            <w:r w:rsidRPr="000B526E">
              <w:rPr>
                <w:bCs/>
              </w:rPr>
              <w:t>:</w:t>
            </w:r>
            <w:r w:rsidRPr="000B526E">
              <w:t xml:space="preserve"> Fonds géré sur fonds propres Bpifrance, il intervient en capital développement et transmission sur la transition énergétique par des prises de participations minoritaires en fonds propres ou quasi-fonds propres dans les entreprises (PME et ETI) françaises disposant de 3</w:t>
            </w:r>
            <w:r w:rsidR="00AE0447">
              <w:t> </w:t>
            </w:r>
            <w:r w:rsidRPr="000B526E">
              <w:t xml:space="preserve">ans d’ancienneté (exceptionnellement 2 ans) et relevant du secteur de la Transition Énergétique et Écologique, dont les énergies renouvelables. Le montant d’investissement varie entre 0,5 à </w:t>
            </w:r>
            <w:r w:rsidRPr="0004542A">
              <w:t>6</w:t>
            </w:r>
            <w:r w:rsidR="00865875">
              <w:t> </w:t>
            </w:r>
            <w:r w:rsidRPr="0004542A">
              <w:t>M</w:t>
            </w:r>
            <w:r w:rsidRPr="000B526E">
              <w:t xml:space="preserve">€. Le fonds est doté de </w:t>
            </w:r>
            <w:r w:rsidRPr="0004542A">
              <w:t>150</w:t>
            </w:r>
            <w:r w:rsidR="007E716D">
              <w:t> </w:t>
            </w:r>
            <w:r w:rsidRPr="0004542A">
              <w:t>M</w:t>
            </w:r>
            <w:r w:rsidRPr="000B526E">
              <w:t>€. Les entreprises soutenues doivent avoir un chiffre d’affaires minimum de 2 M€ (sur le dernier exercice écoulé), être structurellement rentables (minimum de 2 exercices bénéficiaires sur les 3 derniers exercices).</w:t>
            </w:r>
            <w:r w:rsidRPr="0004542A">
              <w:t xml:space="preserve"> </w:t>
            </w:r>
            <w:r w:rsidRPr="000B526E">
              <w:rPr>
                <w:bCs/>
              </w:rPr>
              <w:t>Le dispositif sera reconduit après épuisement de la première enveloppe de 150 M€. Le volume d’investissement sur la période 2020-2022 est estimé à 60 M€.</w:t>
            </w:r>
          </w:p>
          <w:p w14:paraId="6F4BC279" w14:textId="77777777" w:rsidR="000B68A2" w:rsidRPr="000B526E" w:rsidRDefault="000B68A2" w:rsidP="0004542A">
            <w:pPr>
              <w:pStyle w:val="Tablebullet1"/>
            </w:pPr>
            <w:r w:rsidRPr="008B3F5D">
              <w:rPr>
                <w:b/>
              </w:rPr>
              <w:t xml:space="preserve">Fonds </w:t>
            </w:r>
            <w:proofErr w:type="spellStart"/>
            <w:r w:rsidRPr="000B526E">
              <w:rPr>
                <w:b/>
                <w:bCs/>
              </w:rPr>
              <w:t>Mid</w:t>
            </w:r>
            <w:proofErr w:type="spellEnd"/>
            <w:r w:rsidRPr="000B526E">
              <w:rPr>
                <w:b/>
                <w:bCs/>
              </w:rPr>
              <w:t xml:space="preserve"> &amp; Large Cap</w:t>
            </w:r>
            <w:r w:rsidRPr="0004542A">
              <w:t xml:space="preserve"> </w:t>
            </w:r>
            <w:r w:rsidRPr="000B526E">
              <w:t>de</w:t>
            </w:r>
            <w:r w:rsidRPr="0004542A">
              <w:t xml:space="preserve"> </w:t>
            </w:r>
            <w:r w:rsidRPr="000B526E">
              <w:t>Bpifrance</w:t>
            </w:r>
            <w:r w:rsidRPr="0004542A">
              <w:t xml:space="preserve"> : </w:t>
            </w:r>
            <w:r w:rsidRPr="000B526E">
              <w:t xml:space="preserve">Fonds direct géré par Bpifrance investit dans les Entreprises de Taille Intermédiaire (« ETI »), afin d’accompagner leur développement et leur transmission, ainsi que dans les Grandes Entreprises (« GE ») pour stabiliser leur capital ou conforter leur ancrage français. Le fonds vise à renforcer les fonds propres des PME et petites ETI de la Transition énergétique dont les énergies renouvelables. Il s’agit d’un fonds géré sur fonds propres Bpifrance. Bpifrance mobilisera 360 M€ sur la période 2020-2022, sur les entreprises du secteur de la transition (par exemple, en finançant des développeurs d’énergies renouvelables) que sur les entreprises « en transition » (par exemple, en finançant une entreprise industrielle en transition). </w:t>
            </w:r>
          </w:p>
          <w:p w14:paraId="496BEFD5" w14:textId="77777777" w:rsidR="000B68A2" w:rsidRDefault="000B68A2" w:rsidP="0004542A">
            <w:pPr>
              <w:pStyle w:val="Tablebullet1"/>
            </w:pPr>
            <w:r w:rsidRPr="000B526E">
              <w:rPr>
                <w:b/>
              </w:rPr>
              <w:t>Banque des Territoires</w:t>
            </w:r>
            <w:r w:rsidRPr="000B526E">
              <w:t xml:space="preserve"> propose une offre d’investissement dans la production d’énergies renouvelables, sous la forme d’achat d’actions dans les sociétés de projet (entre 30</w:t>
            </w:r>
            <w:r w:rsidR="00A900CE">
              <w:t> </w:t>
            </w:r>
            <w:r w:rsidRPr="000B526E">
              <w:t>% et 49</w:t>
            </w:r>
            <w:r w:rsidR="00A900CE">
              <w:t> </w:t>
            </w:r>
            <w:r w:rsidRPr="000B526E">
              <w:t>% en fonction des risques). Elle peut également investir en fonds propres et quasi-fonds propres (entre 23</w:t>
            </w:r>
            <w:r w:rsidR="00A900CE">
              <w:t> </w:t>
            </w:r>
            <w:r w:rsidRPr="000B526E">
              <w:t>% – 30</w:t>
            </w:r>
            <w:r w:rsidR="00A900CE">
              <w:t> </w:t>
            </w:r>
            <w:r w:rsidRPr="000B526E">
              <w:t>%) dans les SEM.</w:t>
            </w:r>
          </w:p>
          <w:p w14:paraId="48708468" w14:textId="7E0F50F4" w:rsidR="000B68A2" w:rsidRPr="000B526E" w:rsidRDefault="0034700D" w:rsidP="0004542A">
            <w:pPr>
              <w:pStyle w:val="Tablebullet1"/>
            </w:pPr>
            <w:r w:rsidRPr="0034700D">
              <w:t xml:space="preserve">Plan climat (Bpifrance - Banque des Territoires) </w:t>
            </w:r>
            <w:proofErr w:type="spellStart"/>
            <w:r w:rsidRPr="0034700D">
              <w:t>cf</w:t>
            </w:r>
            <w:proofErr w:type="spellEnd"/>
            <w:r w:rsidRPr="0034700D">
              <w:t xml:space="preserve"> Encadré 3</w:t>
            </w:r>
          </w:p>
        </w:tc>
      </w:tr>
    </w:tbl>
    <w:p w14:paraId="1BF50E78" w14:textId="0D88DCD7" w:rsidR="000B68A2" w:rsidRDefault="000B68A2" w:rsidP="000B68A2">
      <w:pPr>
        <w:pStyle w:val="Caption"/>
      </w:pPr>
      <w:r>
        <w:t xml:space="preserve">Encadré </w:t>
      </w:r>
      <w:r>
        <w:fldChar w:fldCharType="begin"/>
      </w:r>
      <w:r>
        <w:instrText xml:space="preserve"> SEQ Encadré \* ARABIC </w:instrText>
      </w:r>
      <w:r>
        <w:fldChar w:fldCharType="separate"/>
      </w:r>
      <w:r w:rsidR="009F0282">
        <w:rPr>
          <w:noProof/>
        </w:rPr>
        <w:t>13</w:t>
      </w:r>
      <w:r>
        <w:fldChar w:fldCharType="end"/>
      </w:r>
      <w:r>
        <w:t xml:space="preserve"> Outils de prêt développement de projets </w:t>
      </w:r>
      <w:proofErr w:type="spellStart"/>
      <w:r>
        <w:t>EnR</w:t>
      </w:r>
      <w:proofErr w:type="spellEnd"/>
    </w:p>
    <w:tbl>
      <w:tblPr>
        <w:tblStyle w:val="TechnopolisTable21"/>
        <w:tblW w:w="0" w:type="auto"/>
        <w:tblLook w:val="0480" w:firstRow="0" w:lastRow="0" w:firstColumn="1" w:lastColumn="0" w:noHBand="0" w:noVBand="1"/>
      </w:tblPr>
      <w:tblGrid>
        <w:gridCol w:w="9062"/>
      </w:tblGrid>
      <w:tr w:rsidR="000B68A2" w14:paraId="56263B9A"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510E7FEB" w14:textId="72B8F200" w:rsidR="000B68A2" w:rsidRDefault="000B68A2" w:rsidP="0004542A">
            <w:pPr>
              <w:pStyle w:val="Tablebullet1"/>
            </w:pPr>
            <w:r w:rsidRPr="000B526E">
              <w:rPr>
                <w:b/>
                <w:bCs/>
              </w:rPr>
              <w:t xml:space="preserve">Banque des </w:t>
            </w:r>
            <w:r w:rsidR="002F144F">
              <w:rPr>
                <w:b/>
                <w:bCs/>
              </w:rPr>
              <w:t>T</w:t>
            </w:r>
            <w:r w:rsidRPr="000B526E">
              <w:rPr>
                <w:b/>
                <w:bCs/>
              </w:rPr>
              <w:t>erritoires</w:t>
            </w:r>
            <w:r>
              <w:t xml:space="preserve"> : </w:t>
            </w:r>
            <w:r w:rsidRPr="000B526E">
              <w:t xml:space="preserve">En prêts, la Banque des </w:t>
            </w:r>
            <w:r w:rsidR="000B2280">
              <w:t>T</w:t>
            </w:r>
            <w:r w:rsidRPr="000B526E">
              <w:t xml:space="preserve">erritoires propose des crédits d’ingénierie aux projets citoyens pour cofinancer les études stratégiques ou d’études d’aide à la décision. Le cofinancement peut se faire dans la limite de </w:t>
            </w:r>
            <w:r w:rsidRPr="0004542A">
              <w:t>50</w:t>
            </w:r>
            <w:r w:rsidR="00380DB1">
              <w:t> </w:t>
            </w:r>
            <w:r w:rsidRPr="0004542A">
              <w:t>K</w:t>
            </w:r>
            <w:r w:rsidRPr="000B526E">
              <w:t>€ par projet et peut aller jusqu’à 50</w:t>
            </w:r>
            <w:r w:rsidR="00380DB1">
              <w:t> </w:t>
            </w:r>
            <w:r w:rsidRPr="000B526E">
              <w:t>% du montant du projet. Plus récemment, elle a mis en place une offre de participations en obligations prioritairement destinés aux projets sans risques. Les tickets sont très variables et sont étudiés au fil de l’eau</w:t>
            </w:r>
          </w:p>
          <w:p w14:paraId="6A451F6C" w14:textId="04832E8C" w:rsidR="000B68A2" w:rsidRDefault="0034700D" w:rsidP="0004542A">
            <w:pPr>
              <w:pStyle w:val="Tablebullet1"/>
            </w:pPr>
            <w:r w:rsidRPr="00C74EDD">
              <w:t>Plan climat (Bpifrance - Banque des Territoires)</w:t>
            </w:r>
            <w:r>
              <w:t xml:space="preserve"> </w:t>
            </w:r>
            <w:proofErr w:type="spellStart"/>
            <w:r>
              <w:t>cf</w:t>
            </w:r>
            <w:proofErr w:type="spellEnd"/>
            <w:r>
              <w:t xml:space="preserve">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2338D3E8" w14:textId="43B666EC" w:rsidR="000B68A2" w:rsidRPr="000B526E" w:rsidRDefault="00A965C3" w:rsidP="0004542A">
            <w:pPr>
              <w:pStyle w:val="Tablebullet1"/>
            </w:pPr>
            <w:r>
              <w:t>Prêts dans le cadre du deuxième et troisième pilier du Mécanisme de Transition Juste (</w:t>
            </w:r>
            <w:proofErr w:type="spellStart"/>
            <w:r>
              <w:t>cf</w:t>
            </w:r>
            <w:proofErr w:type="spellEnd"/>
            <w:r>
              <w:t xml:space="preserve"> Encadré 1)</w:t>
            </w:r>
          </w:p>
        </w:tc>
      </w:tr>
    </w:tbl>
    <w:p w14:paraId="13C9785C" w14:textId="77777777" w:rsidR="000B68A2" w:rsidRPr="00445773" w:rsidRDefault="000B68A2" w:rsidP="00E72DF0">
      <w:pPr>
        <w:pStyle w:val="BodyText"/>
      </w:pPr>
    </w:p>
    <w:p w14:paraId="331B2D1A" w14:textId="77777777" w:rsidR="000B68A2" w:rsidRDefault="000B68A2" w:rsidP="00B9287A">
      <w:pPr>
        <w:pStyle w:val="Heading5"/>
        <w:ind w:left="0" w:firstLine="0"/>
      </w:pPr>
      <w:r>
        <w:t>Financement de la phase de réalisation des projets</w:t>
      </w:r>
    </w:p>
    <w:p w14:paraId="349E0375" w14:textId="77777777" w:rsidR="000B68A2" w:rsidRPr="002B53C8" w:rsidRDefault="000B68A2" w:rsidP="000B68A2">
      <w:pPr>
        <w:pStyle w:val="BodyText"/>
      </w:pPr>
      <w:r>
        <w:t xml:space="preserve">La </w:t>
      </w:r>
      <w:r w:rsidRPr="00847E65">
        <w:rPr>
          <w:b/>
        </w:rPr>
        <w:t>participation citoyenne</w:t>
      </w:r>
      <w:r>
        <w:t xml:space="preserve"> à la réalisation des projets d’EnR est de plus en plus forte, même si les données indiquent que la France reste en-dessous du niveau déjà atteint par d’autres pays européens. Les récentes évolutions législatives permettent aux collectivités et citoyens de pouvoir jouer un rôle de plus en central dans l’accélération des investissements en énergies renouvelables. Nous avons identifié la </w:t>
      </w:r>
      <w:r w:rsidRPr="00EF6B01">
        <w:rPr>
          <w:b/>
        </w:rPr>
        <w:t>SEM Energies Hauts-de-France et Énergie Partagée Investissement</w:t>
      </w:r>
      <w:r>
        <w:t xml:space="preserve"> comme des outils forts de mobilisation de capitaux. </w:t>
      </w:r>
    </w:p>
    <w:p w14:paraId="2CF75E25" w14:textId="379D5E44" w:rsidR="000B68A2" w:rsidRDefault="000B68A2" w:rsidP="00B9287A">
      <w:pPr>
        <w:pStyle w:val="Caption"/>
        <w:keepLines/>
      </w:pPr>
      <w:r>
        <w:t xml:space="preserve">Encadré </w:t>
      </w:r>
      <w:r>
        <w:fldChar w:fldCharType="begin"/>
      </w:r>
      <w:r>
        <w:instrText xml:space="preserve"> SEQ Encadré \* ARABIC </w:instrText>
      </w:r>
      <w:r>
        <w:fldChar w:fldCharType="separate"/>
      </w:r>
      <w:r w:rsidR="009F0282">
        <w:rPr>
          <w:noProof/>
        </w:rPr>
        <w:t>14</w:t>
      </w:r>
      <w:r>
        <w:fldChar w:fldCharType="end"/>
      </w:r>
      <w:r>
        <w:t xml:space="preserve"> Outils en subvention pour la réalisation des projets </w:t>
      </w:r>
      <w:proofErr w:type="spellStart"/>
      <w:r>
        <w:t>EnR</w:t>
      </w:r>
      <w:proofErr w:type="spellEnd"/>
    </w:p>
    <w:tbl>
      <w:tblPr>
        <w:tblStyle w:val="TechnopolisTable"/>
        <w:tblW w:w="0" w:type="auto"/>
        <w:tblLook w:val="0480" w:firstRow="0" w:lastRow="0" w:firstColumn="1" w:lastColumn="0" w:noHBand="0" w:noVBand="1"/>
      </w:tblPr>
      <w:tblGrid>
        <w:gridCol w:w="9062"/>
      </w:tblGrid>
      <w:tr w:rsidR="000B68A2" w:rsidRPr="003218F4" w14:paraId="64630C6F"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28E38596" w14:textId="77777777" w:rsidR="000B68A2" w:rsidRPr="006B506B" w:rsidRDefault="000B68A2" w:rsidP="003941B4">
            <w:pPr>
              <w:pStyle w:val="Tablebullet1"/>
              <w:keepNext/>
              <w:keepLines/>
            </w:pPr>
            <w:r w:rsidRPr="0004542A">
              <w:t>Fonds Régional d’Amplification de la Troisième Révolution Industrielle</w:t>
            </w:r>
            <w:r w:rsidRPr="006B506B">
              <w:t xml:space="preserve"> (</w:t>
            </w:r>
            <w:proofErr w:type="spellStart"/>
            <w:r w:rsidRPr="006B506B">
              <w:t>cf</w:t>
            </w:r>
            <w:proofErr w:type="spellEnd"/>
            <w:r w:rsidRPr="006B506B">
              <w:t xml:space="preserve"> Encadré 1)</w:t>
            </w:r>
          </w:p>
          <w:p w14:paraId="0421A0B8" w14:textId="3C3FF8E3" w:rsidR="000B68A2" w:rsidRPr="00DE4AF0" w:rsidRDefault="000B68A2" w:rsidP="00F523C8">
            <w:pPr>
              <w:pStyle w:val="Tablebullet1"/>
              <w:keepNext/>
              <w:keepLines/>
            </w:pPr>
            <w:r w:rsidRPr="00DE4AF0">
              <w:rPr>
                <w:b/>
              </w:rPr>
              <w:t xml:space="preserve">Aides de </w:t>
            </w:r>
            <w:r w:rsidR="003941B4" w:rsidRPr="00DE4AF0">
              <w:rPr>
                <w:b/>
                <w:bCs/>
              </w:rPr>
              <w:t>l’ADEME</w:t>
            </w:r>
            <w:r w:rsidRPr="00DE4AF0">
              <w:rPr>
                <w:b/>
              </w:rPr>
              <w:t xml:space="preserve"> : </w:t>
            </w:r>
            <w:r w:rsidRPr="00DE4AF0">
              <w:t>le soutien de l’ADEME peut se présenter sous diverses formes. Les soutiens financiers s’inscrivant dans le cadre d’appels à projets nationaux avec des cahiers des charges spécifiques. C‘est par exemple le cas de </w:t>
            </w:r>
            <w:r w:rsidRPr="000B7736">
              <w:t>AAP Energie CSR 2021 pour produire de l’énergie à partir de Combustibles Solides de Récupération</w:t>
            </w:r>
            <w:r>
              <w:t>.</w:t>
            </w:r>
            <w:r w:rsidR="00F523C8">
              <w:t xml:space="preserve"> </w:t>
            </w:r>
            <w:r w:rsidRPr="00DE4AF0">
              <w:t xml:space="preserve">En dehors des AAP, </w:t>
            </w:r>
            <w:r w:rsidR="00F523C8" w:rsidRPr="00F523C8">
              <w:t>l’ADEME</w:t>
            </w:r>
            <w:r w:rsidRPr="00DE4AF0">
              <w:t xml:space="preserve"> accorde également des aides à l’investissement s’inscrivant dans le cadre du dispositif « gré à gré » dont les critères varient principalement en fonction du type de projet et de l’entité porteuse. Il existe également de nombreuses autres aides telles que celles destinées au financement d’installations de boucles d’eau tempérée géothermiques de production de chaleur et de froid, </w:t>
            </w:r>
            <w:r>
              <w:t>d’</w:t>
            </w:r>
            <w:r w:rsidRPr="00DE4AF0">
              <w:t>installations de récupération de chaleur</w:t>
            </w:r>
            <w:r>
              <w:t xml:space="preserve">, </w:t>
            </w:r>
            <w:r w:rsidRPr="00DE4AF0">
              <w:t>installations géothermiques de production de chaleur et de froid</w:t>
            </w:r>
            <w:r>
              <w:t xml:space="preserve">, </w:t>
            </w:r>
            <w:r w:rsidRPr="000B7736">
              <w:t>installations de production d'eau chaude solaire</w:t>
            </w:r>
            <w:r>
              <w:t>, i</w:t>
            </w:r>
            <w:r w:rsidRPr="000B7736">
              <w:t>nstallations de production de chaleur à partir de biomasse/bois</w:t>
            </w:r>
            <w:r>
              <w:t>, le développement des</w:t>
            </w:r>
            <w:r w:rsidRPr="000B7736">
              <w:t xml:space="preserve"> énergies renouvelables thermiques et de récupérations sur </w:t>
            </w:r>
            <w:r>
              <w:t>les</w:t>
            </w:r>
            <w:r w:rsidRPr="000B7736">
              <w:t xml:space="preserve"> territoire</w:t>
            </w:r>
            <w:r>
              <w:t>s/</w:t>
            </w:r>
            <w:r w:rsidRPr="000B7736">
              <w:t>patrimoine</w:t>
            </w:r>
            <w:r>
              <w:t xml:space="preserve">, </w:t>
            </w:r>
            <w:r w:rsidRPr="004E1A78">
              <w:t>investissements de réseaux de chaleur ou de froid</w:t>
            </w:r>
            <w:r>
              <w:t>, l’a</w:t>
            </w:r>
            <w:r w:rsidRPr="00AD2C2E">
              <w:t>ide au développement de l’offre de combustibles bois pour la valorisation en chaufferies</w:t>
            </w:r>
            <w:r>
              <w:t xml:space="preserve">, </w:t>
            </w:r>
          </w:p>
          <w:p w14:paraId="191F6499" w14:textId="02099C30" w:rsidR="000B68A2" w:rsidRPr="003218F4" w:rsidRDefault="000B68A2" w:rsidP="003941B4">
            <w:pPr>
              <w:pStyle w:val="Tablebullet1"/>
              <w:keepNext/>
              <w:keepLines/>
            </w:pPr>
            <w:r w:rsidRPr="003218F4">
              <w:rPr>
                <w:b/>
                <w:bCs/>
              </w:rPr>
              <w:t>Fonds Chaleur</w:t>
            </w:r>
            <w:r w:rsidRPr="003218F4">
              <w:t xml:space="preserve"> : Géré par </w:t>
            </w:r>
            <w:r w:rsidR="00F523C8" w:rsidRPr="0004542A">
              <w:t>l’ADEME</w:t>
            </w:r>
            <w:r w:rsidRPr="003218F4">
              <w:t>, ce dispositif de soutien financier au développement de la production renouvelable</w:t>
            </w:r>
            <w:r w:rsidRPr="003218F4">
              <w:rPr>
                <w:bCs/>
              </w:rPr>
              <w:t xml:space="preserve"> de chaleur accorde des aides par le biais de plusieurs mécanismes. Avec les a</w:t>
            </w:r>
            <w:r w:rsidRPr="003218F4">
              <w:t xml:space="preserve">ppels à projets régionaux, </w:t>
            </w:r>
            <w:r w:rsidRPr="003218F4">
              <w:rPr>
                <w:bCs/>
              </w:rPr>
              <w:t>le Fonds Chaleur apporte des soutiens aux collectivités et entreprises afin de leur permettre de réaliser leur transition énergétique par un recours massif à la chaleur renouvelable. Les secteurs concernés sont les bâtiments publics, l’habitat collectif, du tertiaire, l’industrie et l’agriculture. Il apporte des d’aides au financement des installations ayant recours aux énergies renouvelables et de récupération (</w:t>
            </w:r>
            <w:proofErr w:type="spellStart"/>
            <w:r w:rsidRPr="003218F4">
              <w:rPr>
                <w:bCs/>
              </w:rPr>
              <w:t>EnR&amp;R</w:t>
            </w:r>
            <w:proofErr w:type="spellEnd"/>
            <w:r w:rsidRPr="003218F4">
              <w:rPr>
                <w:bCs/>
              </w:rPr>
              <w:t>) telles que la biomasse (y compris le biogaz), l’énergie solaire thermique (surface inférieure à 1500 m</w:t>
            </w:r>
            <w:r w:rsidRPr="003218F4">
              <w:rPr>
                <w:bCs/>
                <w:vertAlign w:val="superscript"/>
              </w:rPr>
              <w:t>2</w:t>
            </w:r>
            <w:r w:rsidRPr="003218F4">
              <w:rPr>
                <w:bCs/>
              </w:rPr>
              <w:t xml:space="preserve">), la géothermie et l’énergie de l’eau de mer (valorisée directement ou par l’intermédiaire de pompes à chaleur), la chaleur de récupération (chaleur « fatale » issue des UIOM, de process industriels, ou des eaux usées) ainsi que les boucles d’eau tempérée géothermiques et les réseaux de chaleur permettant le transport de ces </w:t>
            </w:r>
            <w:proofErr w:type="spellStart"/>
            <w:r w:rsidRPr="003218F4">
              <w:rPr>
                <w:bCs/>
              </w:rPr>
              <w:t>EnR&amp;R</w:t>
            </w:r>
            <w:proofErr w:type="spellEnd"/>
            <w:r w:rsidRPr="003218F4">
              <w:rPr>
                <w:bCs/>
              </w:rPr>
              <w:t xml:space="preserve">. C’est le cas par exemple de i) AAP </w:t>
            </w:r>
            <w:proofErr w:type="spellStart"/>
            <w:r w:rsidRPr="003218F4">
              <w:rPr>
                <w:bCs/>
              </w:rPr>
              <w:t>Géotherm</w:t>
            </w:r>
            <w:proofErr w:type="spellEnd"/>
            <w:r w:rsidRPr="003218F4">
              <w:rPr>
                <w:bCs/>
              </w:rPr>
              <w:t xml:space="preserve"> :  vise à aider au financement des installations produisant et distribuant la chaleur renouvelable ou du froid renouvelable. La nouvelle loi de la PPE prévoit un renforcement du budget annuel du fonds chaleur (350M€ en 2020 et 2021par exemple). Elle prévoit également d’en simplifier l’utilisation. Les </w:t>
            </w:r>
            <w:r w:rsidRPr="003218F4">
              <w:t>AAP nationaux,</w:t>
            </w:r>
            <w:r w:rsidRPr="003218F4">
              <w:rPr>
                <w:bCs/>
              </w:rPr>
              <w:t xml:space="preserve"> gérés par l’entité nationale de </w:t>
            </w:r>
            <w:r w:rsidR="00F523C8" w:rsidRPr="0004542A">
              <w:t>l’ADEME</w:t>
            </w:r>
            <w:r w:rsidRPr="0004542A">
              <w:t>.</w:t>
            </w:r>
            <w:r w:rsidRPr="003218F4">
              <w:rPr>
                <w:bCs/>
              </w:rPr>
              <w:t xml:space="preserve"> On peut citer par exemple, i) </w:t>
            </w:r>
            <w:r w:rsidRPr="003218F4">
              <w:t>AAP « Biomasse Chaleur Industrie Agriculture et Tertiaire » qui soutient les entreprises dans leurs projets de financement des installations de production chaleur, à partir de biomasse, supérieure à 12</w:t>
            </w:r>
            <w:r w:rsidR="00A462E7">
              <w:t> </w:t>
            </w:r>
            <w:proofErr w:type="spellStart"/>
            <w:r w:rsidR="00A462E7">
              <w:t>G</w:t>
            </w:r>
            <w:r w:rsidRPr="0004542A">
              <w:t>wh</w:t>
            </w:r>
            <w:proofErr w:type="spellEnd"/>
            <w:r w:rsidRPr="003218F4">
              <w:t xml:space="preserve"> /an ; ii) AAP « Grandes installations solaire thermique de production d’eau chaude » permettant d’obtenir des aides pour financer les installations de production chaleur, moyenne température (inf110°C) à partir d’énergie solaire. Il concerne les installations dont la production énergétique est supérieure à 200 MWh/an ou 500 m</w:t>
            </w:r>
            <w:r w:rsidRPr="003218F4">
              <w:rPr>
                <w:vertAlign w:val="superscript"/>
              </w:rPr>
              <w:t>2</w:t>
            </w:r>
            <w:r w:rsidRPr="003218F4">
              <w:t xml:space="preserve"> de capteurs pour l’industrie, les secteurs tertiaires et agricoles, et 700 MWh/an ou 1500 m</w:t>
            </w:r>
            <w:r w:rsidRPr="009D7B72">
              <w:rPr>
                <w:vertAlign w:val="superscript"/>
              </w:rPr>
              <w:t>2</w:t>
            </w:r>
            <w:r w:rsidRPr="003218F4">
              <w:t xml:space="preserve"> de capteurs pour les installations couplées à un réseau de chaleur avec stockage.</w:t>
            </w:r>
          </w:p>
        </w:tc>
      </w:tr>
    </w:tbl>
    <w:p w14:paraId="46E0E9C5" w14:textId="2B363364" w:rsidR="000B68A2" w:rsidRDefault="000B68A2" w:rsidP="000B68A2">
      <w:pPr>
        <w:pStyle w:val="Caption"/>
      </w:pPr>
      <w:r>
        <w:t xml:space="preserve">Encadré </w:t>
      </w:r>
      <w:r>
        <w:fldChar w:fldCharType="begin"/>
      </w:r>
      <w:r>
        <w:instrText xml:space="preserve"> SEQ Encadré \* ARABIC </w:instrText>
      </w:r>
      <w:r>
        <w:fldChar w:fldCharType="separate"/>
      </w:r>
      <w:r w:rsidR="009F0282">
        <w:rPr>
          <w:noProof/>
        </w:rPr>
        <w:t>15</w:t>
      </w:r>
      <w:r>
        <w:fldChar w:fldCharType="end"/>
      </w:r>
      <w:r>
        <w:t xml:space="preserve"> </w:t>
      </w:r>
      <w:r w:rsidRPr="00624047">
        <w:t xml:space="preserve">Outils en </w:t>
      </w:r>
      <w:r>
        <w:t>fonds propres</w:t>
      </w:r>
      <w:r w:rsidRPr="00624047">
        <w:t xml:space="preserve"> pour la réalisation des projets </w:t>
      </w:r>
      <w:proofErr w:type="spellStart"/>
      <w:r w:rsidRPr="00624047">
        <w:t>EnR</w:t>
      </w:r>
      <w:proofErr w:type="spellEnd"/>
    </w:p>
    <w:tbl>
      <w:tblPr>
        <w:tblStyle w:val="TechnopolisTable"/>
        <w:tblW w:w="0" w:type="auto"/>
        <w:tblLook w:val="0480" w:firstRow="0" w:lastRow="0" w:firstColumn="1" w:lastColumn="0" w:noHBand="0" w:noVBand="1"/>
      </w:tblPr>
      <w:tblGrid>
        <w:gridCol w:w="9062"/>
      </w:tblGrid>
      <w:tr w:rsidR="000B68A2" w:rsidRPr="00710468" w14:paraId="437A9BC8"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3D75168A" w14:textId="126000DC" w:rsidR="000B68A2" w:rsidRPr="00333357" w:rsidRDefault="000B68A2" w:rsidP="0004542A">
            <w:pPr>
              <w:pStyle w:val="Tablebullet1"/>
              <w:rPr>
                <w:bCs/>
              </w:rPr>
            </w:pPr>
            <w:r w:rsidRPr="00333357">
              <w:rPr>
                <w:b/>
              </w:rPr>
              <w:t>SEM Energies Hauts-de-France</w:t>
            </w:r>
            <w:r w:rsidRPr="00333357">
              <w:rPr>
                <w:bCs/>
              </w:rPr>
              <w:t xml:space="preserve"> : Créée en 2015 pour accompagner le développement des projets d’EnR (mono ou mul</w:t>
            </w:r>
            <w:r w:rsidR="00D4611C">
              <w:rPr>
                <w:bCs/>
              </w:rPr>
              <w:t>t</w:t>
            </w:r>
            <w:r w:rsidRPr="00333357">
              <w:rPr>
                <w:bCs/>
              </w:rPr>
              <w:t xml:space="preserve">i énergies), la SEM </w:t>
            </w:r>
            <w:r w:rsidR="009274B0">
              <w:rPr>
                <w:bCs/>
              </w:rPr>
              <w:t>E</w:t>
            </w:r>
            <w:r w:rsidRPr="00333357">
              <w:rPr>
                <w:bCs/>
              </w:rPr>
              <w:t xml:space="preserve">nergies dispose d’un capital social de 5,2 M€ réparti entre des actionnaires publics et privés que sont la  Région Hauts-de-France (38,56%), la Caisse des Dépôts et Consignation 20 %, la Fédération Départementale de l’Énergie du Pas de Calais (11,57%), Communauté d’Agglomération du Pays de Saint-Omer, plusieurs communautés de communes, Crédit Agricole, Crédit Coopératif et Energie Partagée soit </w:t>
            </w:r>
            <w:r w:rsidRPr="0004542A">
              <w:t>environ 70</w:t>
            </w:r>
            <w:r w:rsidR="00A40C76">
              <w:t> </w:t>
            </w:r>
            <w:r w:rsidRPr="0004542A">
              <w:t>% de fonds publics</w:t>
            </w:r>
            <w:r w:rsidRPr="00333357">
              <w:rPr>
                <w:bCs/>
              </w:rPr>
              <w:t xml:space="preserve">. Elle intervient en capital et compte courant d’associés sur l’ensemble des ENR sauf éolien (notamment la méthanisation, la chaufferie biomasse, le solaire PV, la chaleur fatale, l’hydroélectricité, la géothermie, EmR, etc.). Elle peut également intervenir sur d’autres énergies comme l’hydrogène (hors projets d’innovation). La stratégie d’investissement est basée sur le </w:t>
            </w:r>
            <w:proofErr w:type="spellStart"/>
            <w:r w:rsidRPr="00333357">
              <w:rPr>
                <w:bCs/>
              </w:rPr>
              <w:t>co</w:t>
            </w:r>
            <w:proofErr w:type="spellEnd"/>
            <w:r w:rsidRPr="00333357">
              <w:rPr>
                <w:bCs/>
              </w:rPr>
              <w:t>-investissement dans les sociétés de projet (de façon minoritaire, 50 % maximum). Les tickets d’investissement varient de 100 k€ à 1 M€.</w:t>
            </w:r>
          </w:p>
          <w:p w14:paraId="4FEE7C28" w14:textId="25B6869C" w:rsidR="000B68A2" w:rsidRPr="0004542A" w:rsidRDefault="000B68A2" w:rsidP="0004542A">
            <w:pPr>
              <w:pStyle w:val="Tablebullet1"/>
            </w:pPr>
            <w:r w:rsidRPr="00710468">
              <w:rPr>
                <w:b/>
                <w:bCs/>
              </w:rPr>
              <w:t>Énergie Partagée Investissement</w:t>
            </w:r>
            <w:r w:rsidRPr="00710468">
              <w:t xml:space="preserve"> : Société en Commandite par Actions (SCA) composé d’actionnaires citoyens (6200 souscripteurs chiffres de juillet 2020), Énergie Partagée Investissement est un outil de </w:t>
            </w:r>
            <w:proofErr w:type="spellStart"/>
            <w:r w:rsidRPr="00710468">
              <w:t>co</w:t>
            </w:r>
            <w:proofErr w:type="spellEnd"/>
            <w:r w:rsidRPr="00710468">
              <w:t>-investissement en fonds propres, qui finance les projets renouvelables portés par des citoyens et des collectivités locales, au bénéfice de leur territoire et de ses habitants. Les projets financés sont les parcs éoliens, chaufferie-bois, centrales solaires, centrales hydroélectriques, la méthanisation. Selon la technologie, les investissements varient de 20 à 50</w:t>
            </w:r>
            <w:r w:rsidR="00764AD6">
              <w:t> </w:t>
            </w:r>
            <w:r w:rsidRPr="00710468">
              <w:t xml:space="preserve">% du budget total d’un projet de production d’énergie renouvelable et conditionnent l’octroi d’un prêt bancaire. Énergie Partagée Investissement est une société à capital variable. Cette forme juridique lui permet de collecter des capitaux en permanence et de répondre, au fil de l’eau, aux besoins d’investissement dans des projets d’énergie renouvelables et ou d’efficacité énergétique. La société est à capital variable. Ce choix juridique permet de collecter en capital de manière permanente et de répondre, au fil de l’eau, aux besoins d’investissement dans des projets d’énergie renouvelables et ou d’efficacité énergétique. En 2020, le montant des investissements s’élève à </w:t>
            </w:r>
            <w:r w:rsidRPr="0004542A">
              <w:t>19</w:t>
            </w:r>
            <w:r w:rsidRPr="00710468">
              <w:t xml:space="preserve"> </w:t>
            </w:r>
            <w:r w:rsidRPr="0004542A">
              <w:t xml:space="preserve">M€ </w:t>
            </w:r>
            <w:r w:rsidRPr="00710468">
              <w:t>(96 investissements ont été réalisés).</w:t>
            </w:r>
          </w:p>
          <w:p w14:paraId="0B1DE413" w14:textId="0D766262" w:rsidR="000B68A2" w:rsidRDefault="000B68A2" w:rsidP="0004542A">
            <w:pPr>
              <w:pStyle w:val="Tablebullet1"/>
            </w:pPr>
            <w:r w:rsidRPr="00F53D7D">
              <w:rPr>
                <w:b/>
                <w:bCs/>
              </w:rPr>
              <w:t>Financement participatif</w:t>
            </w:r>
            <w:r w:rsidRPr="00F53D7D">
              <w:t xml:space="preserve"> : les particuliers s’impliquent de plus en plus fortement dans les projets d’énergies renouvelables à travers l’apport en capital, le financement de la dette. Pour ce faire, ils passent par des plateformes de financement participatif</w:t>
            </w:r>
            <w:r w:rsidR="00862399">
              <w:t xml:space="preserve"> (ex. : </w:t>
            </w:r>
            <w:proofErr w:type="spellStart"/>
            <w:r w:rsidR="00862399">
              <w:t>Lumo</w:t>
            </w:r>
            <w:proofErr w:type="spellEnd"/>
            <w:r w:rsidR="00862399">
              <w:t xml:space="preserve">, </w:t>
            </w:r>
            <w:proofErr w:type="spellStart"/>
            <w:r w:rsidR="00862399">
              <w:t>Lendosphère</w:t>
            </w:r>
            <w:proofErr w:type="spellEnd"/>
            <w:r w:rsidR="00862399">
              <w:t>)</w:t>
            </w:r>
            <w:r w:rsidRPr="00F53D7D">
              <w:t xml:space="preserve">. La participation peut se faire avec ou sans gouvernance. Dans le cas d’une participation avec gouvernance, les particuliers participent directement au capital de la société et peuvent y rester </w:t>
            </w:r>
            <w:r w:rsidRPr="0004542A">
              <w:t>dur</w:t>
            </w:r>
            <w:r w:rsidR="001E7D56">
              <w:t>ant</w:t>
            </w:r>
            <w:r w:rsidRPr="00F53D7D">
              <w:t xml:space="preserve"> toute la vie du projet ou investir indirectement en prenant des parts dans une société d’investissement intermédiaire. Il peut s’agir de participation sans gouvernance (achat d’obligations, prêts à termes, dépôts à terme) sur une durée allant de 2 à 6 ans.  Le financement participatif est une source de financement importante pour les projets d’EnR car ces derniers nécessitent des investissements de départ importants. </w:t>
            </w:r>
            <w:r w:rsidR="002774CB">
              <w:t xml:space="preserve">A titre d’illustration, depuis 2014, </w:t>
            </w:r>
            <w:proofErr w:type="spellStart"/>
            <w:r w:rsidR="002774CB">
              <w:t>Lendosphere</w:t>
            </w:r>
            <w:proofErr w:type="spellEnd"/>
            <w:r w:rsidR="002774CB">
              <w:t xml:space="preserve">, acteur majeur du financement participatif </w:t>
            </w:r>
            <w:r w:rsidR="002774CB" w:rsidRPr="00CE49B9">
              <w:t>dédié à la transition énergétique et écologique</w:t>
            </w:r>
            <w:r w:rsidR="002774CB">
              <w:t xml:space="preserve">, a permis de financer 300 projets pour un total supérieur à 100M€ </w:t>
            </w:r>
            <w:r w:rsidR="006F6012">
              <w:t>au niveau national. Parmi ceux-ci,</w:t>
            </w:r>
            <w:r w:rsidR="002774CB">
              <w:t xml:space="preserve"> 19 projets citoyens </w:t>
            </w:r>
            <w:r w:rsidR="006F6012">
              <w:t xml:space="preserve">ont été financés </w:t>
            </w:r>
            <w:r w:rsidR="002774CB">
              <w:t>sur le territoire des Hauts-de-France ayant été financés à hauteur de 12M€.</w:t>
            </w:r>
          </w:p>
          <w:p w14:paraId="14C362B4" w14:textId="77777777" w:rsidR="000B68A2" w:rsidRPr="004B6BB1" w:rsidRDefault="000B68A2" w:rsidP="0004542A">
            <w:pPr>
              <w:pStyle w:val="Tablebullet1"/>
            </w:pPr>
            <w:r w:rsidRPr="006B506B">
              <w:t xml:space="preserve">Les </w:t>
            </w:r>
            <w:r w:rsidRPr="004B6BB1">
              <w:rPr>
                <w:b/>
                <w:bCs/>
              </w:rPr>
              <w:t>Clubs d’Investissement dans les Energies Renouvelables Citoyennes</w:t>
            </w:r>
            <w:r w:rsidRPr="006B506B">
              <w:t xml:space="preserve"> : très proche du modèle de financement participatif, les </w:t>
            </w:r>
            <w:proofErr w:type="spellStart"/>
            <w:r w:rsidRPr="006B506B">
              <w:t>CIERC</w:t>
            </w:r>
            <w:r>
              <w:t>s</w:t>
            </w:r>
            <w:proofErr w:type="spellEnd"/>
            <w:r w:rsidRPr="006B506B">
              <w:t xml:space="preserve"> sont des groupes de personnes qui s’unissent pour investir dans des sociétés de développement ou d’exploitation dans les énergies renouvelables. Les financements sont dirigés vers les projets citoyens d’EnR.</w:t>
            </w:r>
          </w:p>
          <w:p w14:paraId="26AE56E7" w14:textId="77777777" w:rsidR="000B68A2" w:rsidRPr="00BD3813" w:rsidRDefault="000B68A2" w:rsidP="0004542A">
            <w:pPr>
              <w:pStyle w:val="Tablebullet1"/>
            </w:pPr>
            <w:r w:rsidRPr="00710468">
              <w:rPr>
                <w:b/>
                <w:bCs/>
              </w:rPr>
              <w:t>Fonds</w:t>
            </w:r>
            <w:r w:rsidRPr="008B3F5D">
              <w:rPr>
                <w:b/>
              </w:rPr>
              <w:t xml:space="preserve"> Eiffel Gaz Vert</w:t>
            </w:r>
            <w:r w:rsidRPr="00710468">
              <w:t xml:space="preserve"> : Doté de plus de 115 M€ (objectif 200 M€) par Eiffel Investment Group, la Banque des Territoires, GRTgaz, Société Générale Assurances et ADEME Investissement, ce fonds a pour objectif de participer activement au développement de la filière du gaz renouvelable en France et en Europe en finançant de 50 à 100 unités de méthanisation via des prises de participation minoritaires et d’autres apports en capital ou quasi-capital. Les tickets d’investissement varient de </w:t>
            </w:r>
            <w:r w:rsidRPr="0004542A">
              <w:t>100 k€ à 10 M€.</w:t>
            </w:r>
          </w:p>
          <w:p w14:paraId="524BFBAA" w14:textId="77777777" w:rsidR="000B68A2" w:rsidRDefault="000B68A2" w:rsidP="0004542A">
            <w:pPr>
              <w:pStyle w:val="Tablebullet1"/>
            </w:pPr>
            <w:r>
              <w:t>Autres</w:t>
            </w:r>
            <w:r w:rsidRPr="00BD3813">
              <w:t xml:space="preserve"> </w:t>
            </w:r>
            <w:r w:rsidRPr="008B3F5D">
              <w:rPr>
                <w:b/>
              </w:rPr>
              <w:t>fonds d’investissement privés</w:t>
            </w:r>
            <w:r w:rsidRPr="00BD3813">
              <w:t xml:space="preserve"> présent à l’échelle nationale ou régionale comme le fonds Noria Capital spécialisé en Énergie.</w:t>
            </w:r>
          </w:p>
          <w:p w14:paraId="0948A8A6" w14:textId="0FD9D534" w:rsidR="000B68A2" w:rsidRPr="00BD3813" w:rsidRDefault="0034700D" w:rsidP="0004542A">
            <w:pPr>
              <w:pStyle w:val="Tablebullet1"/>
            </w:pPr>
            <w:r w:rsidRPr="00C74EDD">
              <w:t>Plan climat (Bpifrance - Banque des Territoires)</w:t>
            </w:r>
            <w:r>
              <w:t xml:space="preserve"> </w:t>
            </w:r>
            <w:proofErr w:type="spellStart"/>
            <w:r>
              <w:t>cf</w:t>
            </w:r>
            <w:proofErr w:type="spellEnd"/>
            <w:r>
              <w:t xml:space="preserve"> </w:t>
            </w:r>
            <w:r>
              <w:fldChar w:fldCharType="begin"/>
            </w:r>
            <w:r>
              <w:instrText xml:space="preserve"> REF _Ref76062027 \h </w:instrText>
            </w:r>
            <w:r>
              <w:fldChar w:fldCharType="separate"/>
            </w:r>
            <w:r w:rsidR="009F0282">
              <w:t xml:space="preserve">Encadré </w:t>
            </w:r>
            <w:r w:rsidR="009F0282">
              <w:rPr>
                <w:noProof/>
              </w:rPr>
              <w:t>6</w:t>
            </w:r>
            <w:r>
              <w:fldChar w:fldCharType="end"/>
            </w:r>
          </w:p>
        </w:tc>
      </w:tr>
    </w:tbl>
    <w:p w14:paraId="51B71954" w14:textId="32D4E822" w:rsidR="000B68A2" w:rsidRDefault="000B68A2" w:rsidP="000B68A2">
      <w:pPr>
        <w:pStyle w:val="Caption"/>
      </w:pPr>
      <w:r>
        <w:t xml:space="preserve">Encadré </w:t>
      </w:r>
      <w:r>
        <w:fldChar w:fldCharType="begin"/>
      </w:r>
      <w:r>
        <w:instrText xml:space="preserve"> SEQ Encadré \* ARABIC </w:instrText>
      </w:r>
      <w:r>
        <w:fldChar w:fldCharType="separate"/>
      </w:r>
      <w:r w:rsidR="009F0282">
        <w:rPr>
          <w:noProof/>
        </w:rPr>
        <w:t>16</w:t>
      </w:r>
      <w:r>
        <w:fldChar w:fldCharType="end"/>
      </w:r>
      <w:r>
        <w:t xml:space="preserve"> Outils en dette pour le financement de la réalisation de projets </w:t>
      </w:r>
      <w:proofErr w:type="spellStart"/>
      <w:r>
        <w:t>EnR</w:t>
      </w:r>
      <w:proofErr w:type="spellEnd"/>
    </w:p>
    <w:tbl>
      <w:tblPr>
        <w:tblStyle w:val="TechnopolisTable"/>
        <w:tblW w:w="0" w:type="auto"/>
        <w:tblLook w:val="0480" w:firstRow="0" w:lastRow="0" w:firstColumn="1" w:lastColumn="0" w:noHBand="0" w:noVBand="1"/>
      </w:tblPr>
      <w:tblGrid>
        <w:gridCol w:w="9062"/>
      </w:tblGrid>
      <w:tr w:rsidR="000B68A2" w:rsidRPr="00F53D7D" w14:paraId="2511ACD0"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785384E7" w14:textId="2CDA3BB1" w:rsidR="000B68A2" w:rsidRDefault="000B68A2" w:rsidP="0004542A">
            <w:pPr>
              <w:pStyle w:val="Tablebullet1"/>
            </w:pPr>
            <w:r w:rsidRPr="00F53D7D">
              <w:rPr>
                <w:b/>
                <w:bCs/>
              </w:rPr>
              <w:t xml:space="preserve">Banque des </w:t>
            </w:r>
            <w:r w:rsidR="0052014E">
              <w:rPr>
                <w:b/>
                <w:bCs/>
              </w:rPr>
              <w:t>T</w:t>
            </w:r>
            <w:r w:rsidRPr="00F53D7D">
              <w:rPr>
                <w:b/>
                <w:bCs/>
              </w:rPr>
              <w:t>erritoires</w:t>
            </w:r>
            <w:r>
              <w:rPr>
                <w:bCs/>
              </w:rPr>
              <w:t xml:space="preserve"> : elle propose </w:t>
            </w:r>
            <w:r w:rsidRPr="00F53D7D">
              <w:rPr>
                <w:bCs/>
              </w:rPr>
              <w:t xml:space="preserve">le </w:t>
            </w:r>
            <w:r w:rsidRPr="00F53D7D">
              <w:t>« </w:t>
            </w:r>
            <w:r w:rsidRPr="0004542A">
              <w:t>Prêt</w:t>
            </w:r>
            <w:r w:rsidRPr="00F53D7D">
              <w:t xml:space="preserve"> Croissance Verte » destiné </w:t>
            </w:r>
            <w:r w:rsidRPr="00F53D7D">
              <w:rPr>
                <w:bCs/>
              </w:rPr>
              <w:t>aux collectivités loc</w:t>
            </w:r>
            <w:r w:rsidRPr="00F53D7D">
              <w:t xml:space="preserve">ales pour le financement des projets citoyens de valorisation des déchets, la biomasse, la Géothermie, l’éolien, le photovoltaïque, etc. Entre 2014 et 2017, 700 Prêts Croissance Verte ont été octroyés pour un montant total de 3 Md€. </w:t>
            </w:r>
          </w:p>
          <w:p w14:paraId="371E8682" w14:textId="7675AFDB" w:rsidR="000B68A2" w:rsidRPr="00F53D7D" w:rsidRDefault="000B68A2" w:rsidP="0004542A">
            <w:pPr>
              <w:pStyle w:val="Tablebullet1"/>
            </w:pPr>
            <w:proofErr w:type="spellStart"/>
            <w:r w:rsidRPr="00F53D7D">
              <w:rPr>
                <w:b/>
                <w:bCs/>
              </w:rPr>
              <w:t>BpiFrance</w:t>
            </w:r>
            <w:proofErr w:type="spellEnd"/>
            <w:r w:rsidRPr="0004542A">
              <w:t> </w:t>
            </w:r>
            <w:r w:rsidRPr="00F53D7D">
              <w:rPr>
                <w:bCs/>
              </w:rPr>
              <w:t>:</w:t>
            </w:r>
            <w:r>
              <w:rPr>
                <w:bCs/>
              </w:rPr>
              <w:t xml:space="preserve"> elle </w:t>
            </w:r>
            <w:r w:rsidRPr="00F53D7D">
              <w:rPr>
                <w:bCs/>
              </w:rPr>
              <w:t xml:space="preserve">accorde des prêts à long terme allant jusqu’à </w:t>
            </w:r>
            <w:r w:rsidRPr="0004542A">
              <w:t>18</w:t>
            </w:r>
            <w:r w:rsidR="005830D4">
              <w:t> </w:t>
            </w:r>
            <w:r w:rsidRPr="0004542A">
              <w:t>ans</w:t>
            </w:r>
            <w:r w:rsidRPr="00F53D7D">
              <w:rPr>
                <w:bCs/>
              </w:rPr>
              <w:t>, pour le développement des énergies renouvelables.</w:t>
            </w:r>
            <w:r w:rsidRPr="00F53D7D">
              <w:t xml:space="preserve"> Sur les énergies marines renouvelables, son positionnement est plus sur l’éolien off-shore avec pour stratégie d’accompagner les PME/ETI qui seront sous-traitant des grands groupes lauréats des appels d’offres. </w:t>
            </w:r>
          </w:p>
          <w:p w14:paraId="291AF4FB" w14:textId="21BEA511" w:rsidR="000B68A2" w:rsidRPr="0004542A" w:rsidRDefault="000B68A2" w:rsidP="0004542A">
            <w:pPr>
              <w:pStyle w:val="Tablebullet1"/>
            </w:pPr>
            <w:r w:rsidRPr="00F53D7D">
              <w:t xml:space="preserve">Les </w:t>
            </w:r>
            <w:r w:rsidRPr="008B3F5D">
              <w:rPr>
                <w:b/>
              </w:rPr>
              <w:t>banques commerciales</w:t>
            </w:r>
            <w:r w:rsidRPr="00F53D7D">
              <w:t> : Elles peuvent financer jusqu’à 100 % des investissements en photovoltaïque, au sol ou en toiture (environ 100</w:t>
            </w:r>
            <w:r w:rsidR="00E53929">
              <w:t xml:space="preserve"> </w:t>
            </w:r>
            <w:r w:rsidRPr="00F53D7D">
              <w:t xml:space="preserve">-300 </w:t>
            </w:r>
            <w:r w:rsidR="00E53929">
              <w:t>k€</w:t>
            </w:r>
            <w:r w:rsidRPr="0004542A">
              <w:t>).</w:t>
            </w:r>
            <w:r w:rsidRPr="00F53D7D">
              <w:t xml:space="preserve"> </w:t>
            </w:r>
            <w:r w:rsidRPr="00F53D7D">
              <w:rPr>
                <w:bCs/>
              </w:rPr>
              <w:t>En ce qui concerne</w:t>
            </w:r>
            <w:r w:rsidRPr="00F53D7D">
              <w:t xml:space="preserve"> le financement des EmR, leur aversion au risque reste forte en raison de la volatilité des investissements en technologies marines qui ne sont pas encore matures. Toutefois des exemples de financement commencent à émerger, à l’image du financement du projet parc éolien offshore de 487 MW au large de la côte belge porté par </w:t>
            </w:r>
            <w:proofErr w:type="spellStart"/>
            <w:r w:rsidRPr="00F53D7D">
              <w:t>SeaMade</w:t>
            </w:r>
            <w:proofErr w:type="spellEnd"/>
            <w:r w:rsidRPr="00F53D7D">
              <w:t xml:space="preserve"> auquel ont participé plusieurs groupes bancaires dont BNP Paribas, Société Générale et </w:t>
            </w:r>
            <w:proofErr w:type="spellStart"/>
            <w:r w:rsidRPr="00F53D7D">
              <w:t>Triodos</w:t>
            </w:r>
            <w:proofErr w:type="spellEnd"/>
            <w:r w:rsidRPr="00F53D7D">
              <w:t>.</w:t>
            </w:r>
            <w:r w:rsidRPr="0004542A">
              <w:t xml:space="preserve"> </w:t>
            </w:r>
          </w:p>
          <w:p w14:paraId="0A350D2A" w14:textId="73F8C861" w:rsidR="000B68A2" w:rsidRDefault="000B68A2" w:rsidP="0004542A">
            <w:pPr>
              <w:pStyle w:val="Tablebullet1"/>
            </w:pPr>
            <w:r w:rsidRPr="00F53D7D">
              <w:t xml:space="preserve">Les </w:t>
            </w:r>
            <w:r w:rsidRPr="008B3F5D">
              <w:rPr>
                <w:b/>
              </w:rPr>
              <w:t>institutions multilatérales</w:t>
            </w:r>
            <w:r w:rsidRPr="00F53D7D">
              <w:t xml:space="preserve"> : </w:t>
            </w:r>
            <w:r w:rsidRPr="00F53D7D">
              <w:rPr>
                <w:bCs/>
              </w:rPr>
              <w:t>la Banque Européenne d’Investissement (</w:t>
            </w:r>
            <w:r w:rsidRPr="0004542A">
              <w:t>BEI</w:t>
            </w:r>
            <w:r w:rsidRPr="00F53D7D">
              <w:t xml:space="preserve">), </w:t>
            </w:r>
            <w:r w:rsidRPr="00F53D7D">
              <w:rPr>
                <w:bCs/>
              </w:rPr>
              <w:t>banque européenne du climat</w:t>
            </w:r>
            <w:r w:rsidRPr="00F53D7D">
              <w:t>, finance les infrastructures énergétiques. Sur la période 2015 – 2019, le montant des investissements s’élève à 62</w:t>
            </w:r>
            <w:r w:rsidR="009F164B">
              <w:t> </w:t>
            </w:r>
            <w:r w:rsidRPr="00F53D7D">
              <w:t>Md€ dont 53 Md€ consacrés à des projets relatifs aux énergies renouvelables, à l’efficacité énergétique et aux réseaux électriques en Europe et ailleurs dans le monde. En novembre 2019, la Banque a annoncé qu’elle cesserait progressivement, d’ici la fin 2021, de financer des projets énergétiques recourant aux combustibles fossiles traditionnels (y compris au gaz naturel). En revanche, la banque envisage de prioriser les énergies renouvelables, la production et l’intégration de gaz à faibles émissions de carbone (tels que l’hydrogène) et efficacité énergétique, ainsi que le développement des réseaux électriques.</w:t>
            </w:r>
          </w:p>
          <w:p w14:paraId="707EB1D1" w14:textId="2731B029" w:rsidR="000B68A2" w:rsidRDefault="000B68A2" w:rsidP="0004542A">
            <w:pPr>
              <w:pStyle w:val="Tablebullet1"/>
            </w:pPr>
            <w:r w:rsidRPr="00ED6B03">
              <w:t xml:space="preserve">Livret REV3 (cf. </w:t>
            </w:r>
            <w:r w:rsidRPr="00ED6B03">
              <w:fldChar w:fldCharType="begin"/>
            </w:r>
            <w:r w:rsidRPr="00ED6B03">
              <w:instrText xml:space="preserve"> REF _Ref74306146 \h </w:instrText>
            </w:r>
            <w:r>
              <w:instrText xml:space="preserve"> \* MERGEFORMAT </w:instrText>
            </w:r>
            <w:r w:rsidRPr="00ED6B03">
              <w:fldChar w:fldCharType="separate"/>
            </w:r>
            <w:r w:rsidR="009F0282">
              <w:t xml:space="preserve">Encadré </w:t>
            </w:r>
            <w:r w:rsidR="009F0282">
              <w:rPr>
                <w:noProof/>
              </w:rPr>
              <w:t>5</w:t>
            </w:r>
            <w:r w:rsidRPr="00ED6B03">
              <w:fldChar w:fldCharType="end"/>
            </w:r>
            <w:r w:rsidRPr="00ED6B03">
              <w:t>)</w:t>
            </w:r>
          </w:p>
          <w:p w14:paraId="6A3053DC" w14:textId="07185B16" w:rsidR="000B68A2" w:rsidRDefault="0034700D" w:rsidP="0004542A">
            <w:pPr>
              <w:pStyle w:val="Tablebullet1"/>
            </w:pPr>
            <w:r w:rsidRPr="00C74EDD">
              <w:t>Plan climat (Bpifrance - Banque des Territoires)</w:t>
            </w:r>
            <w:r>
              <w:t xml:space="preserve"> </w:t>
            </w:r>
            <w:proofErr w:type="spellStart"/>
            <w:r>
              <w:t>cf</w:t>
            </w:r>
            <w:proofErr w:type="spellEnd"/>
            <w:r>
              <w:t xml:space="preserve">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49B2A311" w14:textId="189D6E28" w:rsidR="00B4598B" w:rsidRPr="00B4598B" w:rsidRDefault="00B4598B" w:rsidP="00B4598B">
            <w:pPr>
              <w:pStyle w:val="Tablebullet1"/>
            </w:pPr>
            <w:r w:rsidRPr="00B4598B">
              <w:t xml:space="preserve">Un </w:t>
            </w:r>
            <w:r w:rsidRPr="00B4598B">
              <w:rPr>
                <w:rFonts w:ascii="AppleSystemUIFontBold" w:hAnsi="AppleSystemUIFontBold" w:cs="AppleSystemUIFontBold"/>
                <w:b/>
                <w:bCs/>
              </w:rPr>
              <w:t>dispositif spécifique dans le cadre d’</w:t>
            </w:r>
            <w:proofErr w:type="spellStart"/>
            <w:r w:rsidRPr="00B4598B">
              <w:rPr>
                <w:rFonts w:ascii="AppleSystemUIFontBold" w:hAnsi="AppleSystemUIFontBold" w:cs="AppleSystemUIFontBold"/>
                <w:b/>
                <w:bCs/>
              </w:rPr>
              <w:t>InvestEU</w:t>
            </w:r>
            <w:proofErr w:type="spellEnd"/>
            <w:r w:rsidRPr="00B4598B">
              <w:t xml:space="preserve"> (dispositif de prêts garantis par le budget de l’Union</w:t>
            </w:r>
            <w:r>
              <w:t xml:space="preserve"> dans le cadre du deuxième </w:t>
            </w:r>
            <w:proofErr w:type="spellStart"/>
            <w:r>
              <w:t>pillier</w:t>
            </w:r>
            <w:proofErr w:type="spellEnd"/>
            <w:r>
              <w:t xml:space="preserve"> du Mécanisme de Transition Juste (</w:t>
            </w:r>
            <w:proofErr w:type="spellStart"/>
            <w:r>
              <w:t>cf</w:t>
            </w:r>
            <w:proofErr w:type="spellEnd"/>
            <w:r>
              <w:t xml:space="preserve"> Encadré 1)</w:t>
            </w:r>
            <w:r w:rsidRPr="00B4598B">
              <w:t xml:space="preserve">, qui couvrira des projets relatifs aux infrastructures d’énergie et de transport (dont infrastructures gazières et chauffage urbain) </w:t>
            </w:r>
          </w:p>
          <w:p w14:paraId="652693CC" w14:textId="2A9C42E9" w:rsidR="00B4598B" w:rsidRDefault="00B4598B" w:rsidP="00790D3C">
            <w:pPr>
              <w:pStyle w:val="Tablebullet1"/>
            </w:pPr>
            <w:r>
              <w:t xml:space="preserve">Une </w:t>
            </w:r>
            <w:r w:rsidRPr="00B4598B">
              <w:rPr>
                <w:rFonts w:ascii="AppleSystemUIFontBold" w:hAnsi="AppleSystemUIFontBold" w:cs="AppleSystemUIFontBold"/>
                <w:b/>
                <w:bCs/>
              </w:rPr>
              <w:t>facilité de prêt</w:t>
            </w:r>
            <w:r>
              <w:t xml:space="preserve"> au secteur public via la Banque européenne d’investissement (BEI) dans le cadre du troisième </w:t>
            </w:r>
            <w:proofErr w:type="spellStart"/>
            <w:r>
              <w:t>pillier</w:t>
            </w:r>
            <w:proofErr w:type="spellEnd"/>
            <w:r>
              <w:t xml:space="preserve"> du Mécanisme de Transition Juste (</w:t>
            </w:r>
            <w:proofErr w:type="spellStart"/>
            <w:r>
              <w:t>cf</w:t>
            </w:r>
            <w:proofErr w:type="spellEnd"/>
            <w:r>
              <w:t xml:space="preserve"> Encadré 1) pour des projets relatifs aussi aux infrastructures d’énergie et de transport, aux réseaux de chauffage urbain.</w:t>
            </w:r>
          </w:p>
          <w:p w14:paraId="65F94AD2" w14:textId="77777777" w:rsidR="00B4598B" w:rsidRDefault="00B4598B" w:rsidP="00DD3EE3">
            <w:pPr>
              <w:pStyle w:val="Tablebullet1"/>
              <w:numPr>
                <w:ilvl w:val="0"/>
                <w:numId w:val="0"/>
              </w:numPr>
            </w:pPr>
          </w:p>
          <w:p w14:paraId="3046BEC7" w14:textId="16384DB4" w:rsidR="000B68A2" w:rsidRPr="00F53D7D" w:rsidRDefault="00A965C3" w:rsidP="0004542A">
            <w:pPr>
              <w:pStyle w:val="Tablebullet1"/>
            </w:pPr>
            <w:r>
              <w:t xml:space="preserve">Prêts dans le cadre du deuxième et troisième pilier du Mécanisme de Transition Juste ( </w:t>
            </w:r>
            <w:proofErr w:type="spellStart"/>
            <w:r>
              <w:t>cf</w:t>
            </w:r>
            <w:proofErr w:type="spellEnd"/>
            <w:r>
              <w:t xml:space="preserve"> Encadré 1)</w:t>
            </w:r>
          </w:p>
        </w:tc>
      </w:tr>
    </w:tbl>
    <w:p w14:paraId="321F7D35" w14:textId="16974E76" w:rsidR="000B68A2" w:rsidRDefault="000B68A2" w:rsidP="000B68A2">
      <w:pPr>
        <w:pStyle w:val="Caption"/>
      </w:pPr>
      <w:r>
        <w:t xml:space="preserve">Encadré </w:t>
      </w:r>
      <w:r>
        <w:fldChar w:fldCharType="begin"/>
      </w:r>
      <w:r>
        <w:instrText xml:space="preserve"> SEQ Encadré \* ARABIC </w:instrText>
      </w:r>
      <w:r>
        <w:fldChar w:fldCharType="separate"/>
      </w:r>
      <w:r w:rsidR="009F0282">
        <w:rPr>
          <w:noProof/>
        </w:rPr>
        <w:t>17</w:t>
      </w:r>
      <w:r>
        <w:fldChar w:fldCharType="end"/>
      </w:r>
      <w:r>
        <w:t xml:space="preserve"> Outils en garantie de financement de la réalisation des projets </w:t>
      </w:r>
      <w:proofErr w:type="spellStart"/>
      <w:r>
        <w:t>EnR</w:t>
      </w:r>
      <w:proofErr w:type="spellEnd"/>
    </w:p>
    <w:tbl>
      <w:tblPr>
        <w:tblStyle w:val="TechnopolisTable"/>
        <w:tblW w:w="0" w:type="auto"/>
        <w:tblLook w:val="0480" w:firstRow="0" w:lastRow="0" w:firstColumn="1" w:lastColumn="0" w:noHBand="0" w:noVBand="1"/>
      </w:tblPr>
      <w:tblGrid>
        <w:gridCol w:w="9062"/>
      </w:tblGrid>
      <w:tr w:rsidR="000B68A2" w:rsidRPr="00F53D7D" w14:paraId="3116AF55"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7D132554" w14:textId="5ECFD33C" w:rsidR="000B68A2" w:rsidRPr="000836A4" w:rsidRDefault="000B68A2" w:rsidP="000836A4">
            <w:pPr>
              <w:pStyle w:val="Tablebullet1"/>
            </w:pPr>
            <w:r w:rsidRPr="00F53D7D">
              <w:t xml:space="preserve">Les mécanismes nationaux de soutien aux </w:t>
            </w:r>
            <w:proofErr w:type="spellStart"/>
            <w:r w:rsidRPr="00F53D7D">
              <w:t>EnR</w:t>
            </w:r>
            <w:proofErr w:type="spellEnd"/>
            <w:r w:rsidRPr="00F53D7D">
              <w:t xml:space="preserve"> garantissent aux producteurs un revenu stable. Les appels à projets sont le principal moyen de financement des filières par l’Etat, par l’intermédiaire de l’ADEME.</w:t>
            </w:r>
            <w:r w:rsidRPr="000836A4">
              <w:t xml:space="preserve"> La part du prêt peut aller à 100</w:t>
            </w:r>
            <w:r w:rsidR="008A4C24" w:rsidRPr="000836A4">
              <w:t> </w:t>
            </w:r>
            <w:r w:rsidRPr="000836A4">
              <w:t xml:space="preserve">% pour les projets d’un montant inférieur ou égal à 5 M€ et 50 % pour les projets d’un montant supérieur. </w:t>
            </w:r>
            <w:r w:rsidR="003E6524" w:rsidRPr="000836A4">
              <w:t xml:space="preserve">En raison de la baisse des coûts </w:t>
            </w:r>
            <w:r w:rsidR="009D50F9" w:rsidRPr="000836A4">
              <w:t xml:space="preserve">d’investissements pour certaines énergies (PV) et </w:t>
            </w:r>
            <w:r w:rsidR="00320735" w:rsidRPr="000836A4">
              <w:t xml:space="preserve">le souhait </w:t>
            </w:r>
            <w:r w:rsidR="000450DD" w:rsidRPr="000836A4">
              <w:t>politique d’accélérer la compétitivité d’</w:t>
            </w:r>
            <w:r w:rsidR="005005DE" w:rsidRPr="000836A4">
              <w:t>autres</w:t>
            </w:r>
            <w:r w:rsidR="000450DD" w:rsidRPr="000836A4">
              <w:t xml:space="preserve"> (méthanisation)</w:t>
            </w:r>
            <w:r w:rsidR="005005DE" w:rsidRPr="000836A4">
              <w:t xml:space="preserve">, ces </w:t>
            </w:r>
            <w:r w:rsidR="00861069" w:rsidRPr="000836A4">
              <w:t>mécanismes sont soumis</w:t>
            </w:r>
            <w:r w:rsidR="00B148A5" w:rsidRPr="000836A4">
              <w:t xml:space="preserve"> ces dernières années à des évolutions fortes.</w:t>
            </w:r>
          </w:p>
          <w:p w14:paraId="628C07DE" w14:textId="77777777" w:rsidR="000B68A2" w:rsidRPr="00F53D7D" w:rsidRDefault="000B68A2" w:rsidP="0004542A">
            <w:pPr>
              <w:pStyle w:val="Tablebullet1"/>
              <w:rPr>
                <w:b/>
              </w:rPr>
            </w:pPr>
            <w:r w:rsidRPr="00F53D7D">
              <w:rPr>
                <w:bCs/>
              </w:rPr>
              <w:t xml:space="preserve">Le </w:t>
            </w:r>
            <w:r w:rsidRPr="00F53D7D">
              <w:rPr>
                <w:b/>
              </w:rPr>
              <w:t>Fonds de garantie</w:t>
            </w:r>
            <w:r w:rsidRPr="008B3F5D">
              <w:rPr>
                <w:b/>
              </w:rPr>
              <w:t xml:space="preserve"> </w:t>
            </w:r>
            <w:r w:rsidRPr="00F53D7D">
              <w:rPr>
                <w:b/>
                <w:bCs/>
              </w:rPr>
              <w:t>géothermie</w:t>
            </w:r>
            <w:r w:rsidRPr="00F53D7D">
              <w:t xml:space="preserve"> pour les aquifères profonds, géré par la SAF-Environnement, permet d’assurer les investisseurs contre le risque géologique. Deux formes de garanties sont proposées à savoir </w:t>
            </w:r>
            <w:r w:rsidRPr="0004542A">
              <w:t>i)</w:t>
            </w:r>
            <w:r w:rsidRPr="00F53D7D">
              <w:t xml:space="preserve"> la garantie à court terme (garantie sur la réussite du premier forage effectué) et </w:t>
            </w:r>
            <w:r w:rsidRPr="0004542A">
              <w:t>ii) </w:t>
            </w:r>
            <w:r w:rsidRPr="00F53D7D">
              <w:t>: La garantie à long terme (garantie sur la pérennité de la ressource et les risques de tarissement total ou partiel, et les dommages sur les installations, sur une durée de 20 ans d’exploitation).</w:t>
            </w:r>
          </w:p>
        </w:tc>
      </w:tr>
    </w:tbl>
    <w:p w14:paraId="4E5127FE" w14:textId="77777777" w:rsidR="000B68A2" w:rsidRDefault="000B68A2" w:rsidP="000B68A2">
      <w:pPr>
        <w:pStyle w:val="BodyText"/>
      </w:pPr>
    </w:p>
    <w:p w14:paraId="1A782C7E" w14:textId="77777777" w:rsidR="000B68A2" w:rsidRDefault="000B68A2" w:rsidP="00B9287A">
      <w:pPr>
        <w:pStyle w:val="Heading5"/>
        <w:ind w:left="0" w:firstLine="0"/>
      </w:pPr>
      <w:r>
        <w:t>Financement de la phase d’exploitation</w:t>
      </w:r>
    </w:p>
    <w:p w14:paraId="0F4FA2DC" w14:textId="64F09EE0" w:rsidR="000B68A2" w:rsidRPr="00DD3EE3" w:rsidRDefault="000B68A2" w:rsidP="00E72DF0">
      <w:pPr>
        <w:pStyle w:val="BodyText"/>
        <w:rPr>
          <w:bCs/>
        </w:rPr>
      </w:pPr>
      <w:r w:rsidRPr="00DB306B">
        <w:rPr>
          <w:bCs/>
        </w:rPr>
        <w:t xml:space="preserve">A cette phase </w:t>
      </w:r>
      <w:r w:rsidRPr="004E1131">
        <w:rPr>
          <w:b/>
        </w:rPr>
        <w:t>les investisseurs parviennent à mobiliser facilement sur le marché</w:t>
      </w:r>
      <w:r w:rsidR="009B41B2">
        <w:t>,</w:t>
      </w:r>
      <w:r w:rsidRPr="00DB306B">
        <w:rPr>
          <w:bCs/>
        </w:rPr>
        <w:t xml:space="preserve"> les dépôts à terme dédié par partenariat bancaire, la dette bancaire ou encore du financement participatif (prêt)</w:t>
      </w:r>
      <w:r>
        <w:rPr>
          <w:bCs/>
        </w:rPr>
        <w:t xml:space="preserve">. Par ailleurs </w:t>
      </w:r>
      <w:r w:rsidRPr="004E1131">
        <w:rPr>
          <w:b/>
        </w:rPr>
        <w:t>certains mécanismes nationaux jouent un rôle de sécurisation des modèles économiques</w:t>
      </w:r>
      <w:r w:rsidRPr="00DD3EE3">
        <w:rPr>
          <w:bCs/>
        </w:rPr>
        <w:t xml:space="preserve">. </w:t>
      </w:r>
      <w:r w:rsidR="00161C43" w:rsidRPr="00DD3EE3">
        <w:rPr>
          <w:bCs/>
        </w:rPr>
        <w:t xml:space="preserve">La </w:t>
      </w:r>
      <w:r w:rsidR="00793148" w:rsidRPr="00DD3EE3">
        <w:rPr>
          <w:bCs/>
        </w:rPr>
        <w:t>C</w:t>
      </w:r>
      <w:r w:rsidR="00161C43" w:rsidRPr="00DD3EE3">
        <w:rPr>
          <w:bCs/>
        </w:rPr>
        <w:t>ommission de Régulation de l’Energie</w:t>
      </w:r>
      <w:r w:rsidR="00793148">
        <w:rPr>
          <w:bCs/>
        </w:rPr>
        <w:t xml:space="preserve"> (CRE)</w:t>
      </w:r>
      <w:r w:rsidR="00161C43" w:rsidRPr="00DD3EE3">
        <w:rPr>
          <w:bCs/>
        </w:rPr>
        <w:t xml:space="preserve"> à travers la publication d’appels d’offres</w:t>
      </w:r>
      <w:r w:rsidR="00793148" w:rsidRPr="00DD3EE3">
        <w:rPr>
          <w:bCs/>
        </w:rPr>
        <w:t xml:space="preserve"> </w:t>
      </w:r>
      <w:r w:rsidR="00793148">
        <w:rPr>
          <w:bCs/>
        </w:rPr>
        <w:t xml:space="preserve">soutient la production d’énergie renouvelable. </w:t>
      </w:r>
      <w:r w:rsidR="004106D9">
        <w:rPr>
          <w:bCs/>
        </w:rPr>
        <w:t>Ces appels d’</w:t>
      </w:r>
      <w:r w:rsidR="00494CEC">
        <w:rPr>
          <w:bCs/>
        </w:rPr>
        <w:t>o</w:t>
      </w:r>
      <w:r w:rsidR="004106D9">
        <w:rPr>
          <w:bCs/>
        </w:rPr>
        <w:t xml:space="preserve">ffres </w:t>
      </w:r>
      <w:r w:rsidR="004106D9" w:rsidRPr="004106D9">
        <w:rPr>
          <w:bCs/>
        </w:rPr>
        <w:t>définissent le cadre d’attribution et les modalités du soutien pour les filières photovoltaïque, éolienne terrestre et hydroélectricité sur les cinq prochaines années.</w:t>
      </w:r>
      <w:r w:rsidR="00946550">
        <w:rPr>
          <w:bCs/>
        </w:rPr>
        <w:t xml:space="preserve"> </w:t>
      </w:r>
      <w:r w:rsidR="00946550" w:rsidRPr="00946550">
        <w:rPr>
          <w:bCs/>
        </w:rPr>
        <w:t>Ces appels d’offres représentent un enjeu majeur dans l’accompagnement du développement de ces filières, dans le cadre des objectifs fixés par la Programmation Pluriannuelle de l’Énergie à horizon 2028 ; celle-ci prévoit en effet un volume d’environ 100 GW pour ces trois filières. A la fin de l’année 2020, 54 GW sont installés.</w:t>
      </w:r>
    </w:p>
    <w:p w14:paraId="7D279787" w14:textId="45A9BD37" w:rsidR="000B68A2" w:rsidRDefault="000B68A2" w:rsidP="000B68A2">
      <w:pPr>
        <w:pStyle w:val="Caption"/>
      </w:pPr>
      <w:r>
        <w:t xml:space="preserve">Encadré </w:t>
      </w:r>
      <w:r>
        <w:fldChar w:fldCharType="begin"/>
      </w:r>
      <w:r>
        <w:instrText xml:space="preserve"> SEQ Encadré \* ARABIC </w:instrText>
      </w:r>
      <w:r>
        <w:fldChar w:fldCharType="separate"/>
      </w:r>
      <w:r w:rsidR="009F0282">
        <w:rPr>
          <w:noProof/>
        </w:rPr>
        <w:t>18</w:t>
      </w:r>
      <w:r>
        <w:fldChar w:fldCharType="end"/>
      </w:r>
      <w:r>
        <w:t xml:space="preserve"> Outils en garantie de financement de l’exploitation des projets </w:t>
      </w:r>
      <w:proofErr w:type="spellStart"/>
      <w:r>
        <w:t>EnR</w:t>
      </w:r>
      <w:proofErr w:type="spellEnd"/>
    </w:p>
    <w:tbl>
      <w:tblPr>
        <w:tblStyle w:val="TechnopolisTable"/>
        <w:tblW w:w="0" w:type="auto"/>
        <w:tblLook w:val="0480" w:firstRow="0" w:lastRow="0" w:firstColumn="1" w:lastColumn="0" w:noHBand="0" w:noVBand="1"/>
      </w:tblPr>
      <w:tblGrid>
        <w:gridCol w:w="9062"/>
      </w:tblGrid>
      <w:tr w:rsidR="000B68A2" w:rsidRPr="002B53C8" w14:paraId="6812B823"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09D3029F" w14:textId="243F5F1F" w:rsidR="006463BF" w:rsidRPr="002B53C8" w:rsidRDefault="009A2AE7" w:rsidP="00EF267D">
            <w:pPr>
              <w:pStyle w:val="Tablebullet1"/>
            </w:pPr>
            <w:r>
              <w:t xml:space="preserve">Les </w:t>
            </w:r>
            <w:r w:rsidR="006463BF" w:rsidRPr="00EC13F6">
              <w:rPr>
                <w:b/>
              </w:rPr>
              <w:t>obligations d’achat</w:t>
            </w:r>
            <w:r w:rsidR="00EC13F6">
              <w:rPr>
                <w:b/>
              </w:rPr>
              <w:t> :</w:t>
            </w:r>
            <w:r w:rsidR="00EC13F6" w:rsidRPr="005B68B0">
              <w:rPr>
                <w:bCs/>
              </w:rPr>
              <w:t xml:space="preserve"> </w:t>
            </w:r>
            <w:r w:rsidR="005B68B0" w:rsidRPr="005B68B0">
              <w:rPr>
                <w:bCs/>
              </w:rPr>
              <w:t>elles</w:t>
            </w:r>
            <w:r w:rsidR="005B68B0">
              <w:rPr>
                <w:b/>
              </w:rPr>
              <w:t xml:space="preserve"> </w:t>
            </w:r>
            <w:r w:rsidR="005B68B0">
              <w:rPr>
                <w:bCs/>
              </w:rPr>
              <w:t xml:space="preserve">garantissent au producteur que </w:t>
            </w:r>
            <w:r w:rsidR="005B68B0" w:rsidRPr="005B68B0">
              <w:rPr>
                <w:bCs/>
              </w:rPr>
              <w:t xml:space="preserve">tout </w:t>
            </w:r>
            <w:r w:rsidR="005B68B0">
              <w:rPr>
                <w:bCs/>
              </w:rPr>
              <w:t>KW</w:t>
            </w:r>
            <w:r w:rsidR="005B68B0" w:rsidRPr="005B68B0">
              <w:rPr>
                <w:bCs/>
              </w:rPr>
              <w:t xml:space="preserve"> injecté sur le réseau public est acheté par un acheteur obligé à un tarif d’achat, fixé à l’avance. </w:t>
            </w:r>
            <w:r w:rsidR="00C436E4">
              <w:rPr>
                <w:bCs/>
              </w:rPr>
              <w:t>C</w:t>
            </w:r>
            <w:r w:rsidR="005B68B0">
              <w:rPr>
                <w:bCs/>
              </w:rPr>
              <w:t>e</w:t>
            </w:r>
            <w:r w:rsidR="00C436E4">
              <w:rPr>
                <w:bCs/>
              </w:rPr>
              <w:t xml:space="preserve"> mécanisme vise principalement </w:t>
            </w:r>
            <w:r w:rsidR="005B68B0" w:rsidRPr="005B68B0">
              <w:rPr>
                <w:bCs/>
              </w:rPr>
              <w:t xml:space="preserve">les installations de petites tailles. </w:t>
            </w:r>
            <w:r w:rsidR="00B472F5">
              <w:rPr>
                <w:bCs/>
              </w:rPr>
              <w:t>S</w:t>
            </w:r>
            <w:r w:rsidR="00C436E4">
              <w:rPr>
                <w:bCs/>
              </w:rPr>
              <w:t xml:space="preserve">elon </w:t>
            </w:r>
            <w:r w:rsidR="00EE45AF">
              <w:rPr>
                <w:bCs/>
              </w:rPr>
              <w:t>le code de l’énergie en vigueur au 30 juin 2021 sont</w:t>
            </w:r>
            <w:r w:rsidR="00B472F5">
              <w:rPr>
                <w:bCs/>
              </w:rPr>
              <w:t xml:space="preserve"> concernées</w:t>
            </w:r>
            <w:r w:rsidR="00EE45AF">
              <w:rPr>
                <w:bCs/>
              </w:rPr>
              <w:t xml:space="preserve"> : </w:t>
            </w:r>
            <w:r w:rsidR="00B472F5">
              <w:rPr>
                <w:bCs/>
              </w:rPr>
              <w:t xml:space="preserve">les </w:t>
            </w:r>
            <w:r w:rsidR="00B472F5" w:rsidRPr="00B472F5">
              <w:rPr>
                <w:bCs/>
              </w:rPr>
              <w:t>installations qui valorisent des déchets ménagers ou assimilés</w:t>
            </w:r>
            <w:r w:rsidR="00340316">
              <w:rPr>
                <w:bCs/>
              </w:rPr>
              <w:t xml:space="preserve"> ou alimentant les </w:t>
            </w:r>
            <w:r w:rsidR="00340316" w:rsidRPr="00340316">
              <w:rPr>
                <w:bCs/>
              </w:rPr>
              <w:t>réseau</w:t>
            </w:r>
            <w:r w:rsidR="00340316">
              <w:rPr>
                <w:bCs/>
              </w:rPr>
              <w:t>x</w:t>
            </w:r>
            <w:r w:rsidR="00340316" w:rsidRPr="00340316">
              <w:rPr>
                <w:bCs/>
              </w:rPr>
              <w:t xml:space="preserve"> de chaleur</w:t>
            </w:r>
            <w:r w:rsidR="00340316">
              <w:rPr>
                <w:bCs/>
              </w:rPr>
              <w:t xml:space="preserve">, </w:t>
            </w:r>
            <w:r w:rsidR="00773118">
              <w:rPr>
                <w:bCs/>
              </w:rPr>
              <w:t xml:space="preserve">les </w:t>
            </w:r>
            <w:r w:rsidR="00773118" w:rsidRPr="00773118">
              <w:rPr>
                <w:bCs/>
              </w:rPr>
              <w:t>installations de production d'électricité qui utilisent des énergies renouvelables</w:t>
            </w:r>
            <w:r w:rsidR="00D35EE6">
              <w:rPr>
                <w:bCs/>
              </w:rPr>
              <w:t xml:space="preserve"> </w:t>
            </w:r>
            <w:r w:rsidR="00BC0231">
              <w:rPr>
                <w:bCs/>
              </w:rPr>
              <w:t>(</w:t>
            </w:r>
            <w:r w:rsidR="00D35EE6">
              <w:rPr>
                <w:bCs/>
              </w:rPr>
              <w:t>à l’exception de</w:t>
            </w:r>
            <w:r w:rsidR="00BC0231">
              <w:rPr>
                <w:bCs/>
              </w:rPr>
              <w:t>s</w:t>
            </w:r>
            <w:r w:rsidR="00D35EE6">
              <w:rPr>
                <w:bCs/>
              </w:rPr>
              <w:t xml:space="preserve"> </w:t>
            </w:r>
            <w:r w:rsidR="00BC0231" w:rsidRPr="00BC0231">
              <w:rPr>
                <w:bCs/>
              </w:rPr>
              <w:t xml:space="preserve">installations </w:t>
            </w:r>
            <w:r w:rsidR="00D35EE6">
              <w:rPr>
                <w:bCs/>
              </w:rPr>
              <w:t xml:space="preserve">de </w:t>
            </w:r>
            <w:r w:rsidR="00BC0231" w:rsidRPr="00BC0231">
              <w:rPr>
                <w:bCs/>
              </w:rPr>
              <w:t>production d'électricité utilisant l'énergie mécanique du vent qui sont implantées</w:t>
            </w:r>
            <w:r w:rsidR="004E4578">
              <w:rPr>
                <w:bCs/>
              </w:rPr>
              <w:t xml:space="preserve"> </w:t>
            </w:r>
            <w:r w:rsidR="00C031EB">
              <w:rPr>
                <w:bCs/>
              </w:rPr>
              <w:t xml:space="preserve">à </w:t>
            </w:r>
            <w:r w:rsidR="00BC0231" w:rsidRPr="00BC0231">
              <w:rPr>
                <w:bCs/>
              </w:rPr>
              <w:t>terre ou qui sont implantées sur le domaine public maritime ou dans la zone économique exclusive et les installations qui utilisent l'énergie marine, l'énergie solaire thermique ou l'énergie géothermique ou hydrothermique</w:t>
            </w:r>
            <w:r w:rsidR="00BC0231">
              <w:rPr>
                <w:bCs/>
              </w:rPr>
              <w:t xml:space="preserve">), les installations </w:t>
            </w:r>
            <w:r w:rsidR="00822F93" w:rsidRPr="00822F93">
              <w:rPr>
                <w:bCs/>
              </w:rPr>
              <w:t>qui mettent en œuvre des techniques performantes en termes d'efficacité énergétique telles que la cogénération</w:t>
            </w:r>
            <w:r w:rsidR="00582697">
              <w:rPr>
                <w:bCs/>
              </w:rPr>
              <w:t>, etc.</w:t>
            </w:r>
          </w:p>
          <w:p w14:paraId="72ED0C6D" w14:textId="6E01E458" w:rsidR="000B68A2" w:rsidRPr="002B53C8" w:rsidRDefault="000B68A2" w:rsidP="0004542A">
            <w:pPr>
              <w:pStyle w:val="Tablebullet1"/>
            </w:pPr>
            <w:r w:rsidRPr="002B53C8">
              <w:t xml:space="preserve">Le </w:t>
            </w:r>
            <w:r w:rsidRPr="008B3F5D">
              <w:rPr>
                <w:b/>
              </w:rPr>
              <w:t>complément de rémunération</w:t>
            </w:r>
            <w:r w:rsidRPr="002B53C8">
              <w:t xml:space="preserve"> : prime de compensation accordée au producteur pour combler l’écart entre les revenus tirés de cette vente et un niveau de rémunération de référence. Ce niveau de référence est fixé selon le type d’installations par la puissance publique dans le cadre d’un arrêté tarifaire ou par le producteur dans le cadre d’une procédure de mise en concurrence. </w:t>
            </w:r>
            <w:r w:rsidR="002816A9">
              <w:t>Sont concernées, les installations</w:t>
            </w:r>
            <w:r w:rsidR="002816A9" w:rsidRPr="002816A9">
              <w:t xml:space="preserve"> de puissance supérieure à 500 kW, ou 3 MW ou 3 unités de production pour la filière éolienne</w:t>
            </w:r>
            <w:r w:rsidR="002816A9">
              <w:t xml:space="preserve">. </w:t>
            </w:r>
          </w:p>
          <w:p w14:paraId="016057BE" w14:textId="77777777" w:rsidR="000B68A2" w:rsidRPr="002B53C8" w:rsidRDefault="000B68A2" w:rsidP="0004542A">
            <w:pPr>
              <w:pStyle w:val="Tablebullet1"/>
            </w:pPr>
            <w:r w:rsidRPr="002B53C8">
              <w:t xml:space="preserve">Le </w:t>
            </w:r>
            <w:r w:rsidRPr="00E63476">
              <w:rPr>
                <w:b/>
              </w:rPr>
              <w:t>refinancement des fonds propres</w:t>
            </w:r>
            <w:r w:rsidRPr="002B53C8">
              <w:rPr>
                <w:bCs/>
              </w:rPr>
              <w:t xml:space="preserve"> investis</w:t>
            </w:r>
            <w:r w:rsidRPr="002B53C8">
              <w:t xml:space="preserve"> par l’exploitant ou de la société de projet ou par ouverture du capital</w:t>
            </w:r>
          </w:p>
        </w:tc>
      </w:tr>
    </w:tbl>
    <w:p w14:paraId="312F05B0" w14:textId="77777777" w:rsidR="000B68A2" w:rsidRDefault="000B68A2" w:rsidP="00E72DF0">
      <w:pPr>
        <w:pStyle w:val="BodyText"/>
      </w:pPr>
    </w:p>
    <w:p w14:paraId="5682B3BF" w14:textId="1BCCB13D" w:rsidR="000B68A2" w:rsidRPr="00B9287A" w:rsidRDefault="000B68A2" w:rsidP="00E72DF0">
      <w:pPr>
        <w:pStyle w:val="BodyText"/>
        <w:rPr>
          <w:bCs/>
        </w:rPr>
      </w:pPr>
      <w:r>
        <w:rPr>
          <w:bCs/>
        </w:rPr>
        <w:t>Soulignons qu’à</w:t>
      </w:r>
      <w:r w:rsidRPr="00D67FAB">
        <w:rPr>
          <w:bCs/>
        </w:rPr>
        <w:t xml:space="preserve"> la demande de la Direction générale de la concurrence de la Commission européenne, </w:t>
      </w:r>
      <w:r>
        <w:rPr>
          <w:bCs/>
        </w:rPr>
        <w:t xml:space="preserve">le dispositif de </w:t>
      </w:r>
      <w:r w:rsidRPr="00D67FAB">
        <w:rPr>
          <w:bCs/>
        </w:rPr>
        <w:t xml:space="preserve">soutien </w:t>
      </w:r>
      <w:r>
        <w:rPr>
          <w:bCs/>
        </w:rPr>
        <w:t>aux projets participatifs « </w:t>
      </w:r>
      <w:r w:rsidRPr="00D67FAB">
        <w:rPr>
          <w:b/>
        </w:rPr>
        <w:t>bonus participatif</w:t>
      </w:r>
      <w:r>
        <w:rPr>
          <w:bCs/>
        </w:rPr>
        <w:t xml:space="preserve"> » est appelé à évoluer. En effet, introduit à partir de 2016 dans les </w:t>
      </w:r>
      <w:r w:rsidRPr="00D67FAB">
        <w:rPr>
          <w:bCs/>
        </w:rPr>
        <w:t>appels d’offres nationaux de la CRE</w:t>
      </w:r>
      <w:r>
        <w:rPr>
          <w:bCs/>
        </w:rPr>
        <w:t xml:space="preserve">, ce dispositif donnait </w:t>
      </w:r>
      <w:r w:rsidRPr="00D67FAB">
        <w:rPr>
          <w:bCs/>
        </w:rPr>
        <w:t xml:space="preserve">droit à un bonus de rémunération de 1 €/MWh à condition que le porteur de projet s’engage à ce que 10 % du financement total du projet (fonds propres et dette) soient apportés par des collectivités locales et/ou citoyens résidant à proximité du projet </w:t>
      </w:r>
      <w:r>
        <w:rPr>
          <w:bCs/>
        </w:rPr>
        <w:t xml:space="preserve"> et </w:t>
      </w:r>
      <w:r w:rsidRPr="00D67FAB">
        <w:rPr>
          <w:bCs/>
        </w:rPr>
        <w:t>3 €/MWh à condition que le porteur de projet s’engage à ce que 40 % des fonds propres soient apportés par des collectivités locales et/ou citoyens résidant à proximité du projet, sous la forme d’actions assorties de droits de vote.</w:t>
      </w:r>
      <w:r>
        <w:rPr>
          <w:bCs/>
        </w:rPr>
        <w:t xml:space="preserve"> Les réflexions sont en cours au niveau de l</w:t>
      </w:r>
      <w:r w:rsidRPr="00D67FAB">
        <w:rPr>
          <w:bCs/>
        </w:rPr>
        <w:t xml:space="preserve">a Direction Générale de l’Energie et du Climat </w:t>
      </w:r>
      <w:r>
        <w:rPr>
          <w:bCs/>
        </w:rPr>
        <w:t xml:space="preserve">pour trouver une autre forme de soutien </w:t>
      </w:r>
      <w:r w:rsidRPr="00D67FAB">
        <w:rPr>
          <w:bCs/>
        </w:rPr>
        <w:t>aux projets participatifs et citoyens dans les AO sous la forme d’un nombre de points accordé selon le caractère participatif ou citoyen du projet.</w:t>
      </w:r>
    </w:p>
    <w:p w14:paraId="4F9EC3AE" w14:textId="77777777" w:rsidR="000B68A2" w:rsidRPr="00B201E9" w:rsidRDefault="000B68A2" w:rsidP="00E72DF0">
      <w:pPr>
        <w:pStyle w:val="BodyText"/>
      </w:pPr>
      <w:r>
        <w:t>D</w:t>
      </w:r>
      <w:r w:rsidR="008602C2">
        <w:t>’autres m</w:t>
      </w:r>
      <w:r w:rsidR="000316DB">
        <w:t xml:space="preserve">oyens </w:t>
      </w:r>
      <w:r>
        <w:t xml:space="preserve">spécifiques </w:t>
      </w:r>
      <w:r w:rsidR="000316DB">
        <w:t xml:space="preserve">de financement </w:t>
      </w:r>
      <w:r w:rsidR="008602C2">
        <w:t xml:space="preserve">de </w:t>
      </w:r>
      <w:r w:rsidR="008602C2" w:rsidRPr="008602C2">
        <w:t xml:space="preserve">la mobilité durable et les smart </w:t>
      </w:r>
      <w:proofErr w:type="spellStart"/>
      <w:r w:rsidR="008602C2" w:rsidRPr="008602C2">
        <w:t>grids</w:t>
      </w:r>
      <w:proofErr w:type="spellEnd"/>
      <w:r w:rsidR="008602C2" w:rsidRPr="008602C2">
        <w:t xml:space="preserve"> </w:t>
      </w:r>
      <w:r>
        <w:t>sont également a</w:t>
      </w:r>
      <w:r w:rsidR="008602C2">
        <w:t xml:space="preserve">bordés </w:t>
      </w:r>
      <w:r>
        <w:t>ci-dessous :</w:t>
      </w:r>
    </w:p>
    <w:p w14:paraId="18C5CD32" w14:textId="77777777" w:rsidR="000B68A2" w:rsidRDefault="000B68A2" w:rsidP="000807EC">
      <w:pPr>
        <w:pStyle w:val="Heading5"/>
        <w:ind w:left="0" w:firstLine="0"/>
      </w:pPr>
      <w:r>
        <w:t>Financement de la mobilité durable</w:t>
      </w:r>
    </w:p>
    <w:p w14:paraId="775DA89D" w14:textId="16B824DD" w:rsidR="000B68A2" w:rsidRPr="00012050" w:rsidRDefault="000B68A2" w:rsidP="00E72DF0">
      <w:pPr>
        <w:pStyle w:val="BodyText"/>
      </w:pPr>
      <w:r>
        <w:t xml:space="preserve">Il existe plusieurs dispositifs publics et privés permettant de financer les projets de RDI et/ou d’investissement en mobilité durable. Nous en avons évoqué un certain nombre plus haut (AAP entrant dans le cadre du PIA 4, aides ADEME, Stratégie nationale pour le développement de l’hydrogène décarboné en France, guichet Tremplin pour la transition écologique des PME, Banque des Territoires, Bpifrance, fonds </w:t>
      </w:r>
      <w:proofErr w:type="spellStart"/>
      <w:r>
        <w:t>FiveTHydrogen</w:t>
      </w:r>
      <w:proofErr w:type="spellEnd"/>
      <w:r>
        <w:t>). Ces outils sont des instruments de subvention, de fonds et de prêts. En complément des outils déjà évoqué</w:t>
      </w:r>
      <w:r w:rsidR="007B3A1F">
        <w:t>s</w:t>
      </w:r>
      <w:r>
        <w:t xml:space="preserve"> précédemment, nous indiquons ici quelques outils spécifiques à la mobilité durable. </w:t>
      </w:r>
    </w:p>
    <w:p w14:paraId="5F1A8ABD" w14:textId="316AF280" w:rsidR="000B68A2" w:rsidRDefault="000B68A2" w:rsidP="00173163">
      <w:pPr>
        <w:pStyle w:val="Caption"/>
        <w:keepLines/>
      </w:pPr>
      <w:r>
        <w:t xml:space="preserve">Encadré </w:t>
      </w:r>
      <w:r>
        <w:fldChar w:fldCharType="begin"/>
      </w:r>
      <w:r>
        <w:instrText xml:space="preserve"> SEQ Encadré \* ARABIC </w:instrText>
      </w:r>
      <w:r>
        <w:fldChar w:fldCharType="separate"/>
      </w:r>
      <w:r w:rsidR="009F0282">
        <w:rPr>
          <w:noProof/>
        </w:rPr>
        <w:t>19</w:t>
      </w:r>
      <w:r>
        <w:fldChar w:fldCharType="end"/>
      </w:r>
      <w:r>
        <w:t xml:space="preserve"> Offre de financement de la mobilité durable</w:t>
      </w:r>
    </w:p>
    <w:tbl>
      <w:tblPr>
        <w:tblStyle w:val="TechnopolisTable"/>
        <w:tblW w:w="9227" w:type="dxa"/>
        <w:tblLook w:val="0480" w:firstRow="0" w:lastRow="0" w:firstColumn="1" w:lastColumn="0" w:noHBand="0" w:noVBand="1"/>
      </w:tblPr>
      <w:tblGrid>
        <w:gridCol w:w="9227"/>
      </w:tblGrid>
      <w:tr w:rsidR="004E6E21" w:rsidRPr="00285B9F" w14:paraId="3DC0B01C" w14:textId="77777777" w:rsidTr="007B2F7D">
        <w:trPr>
          <w:cnfStyle w:val="000000100000" w:firstRow="0" w:lastRow="0" w:firstColumn="0" w:lastColumn="0" w:oddVBand="0" w:evenVBand="0" w:oddHBand="1" w:evenHBand="0" w:firstRowFirstColumn="0" w:firstRowLastColumn="0" w:lastRowFirstColumn="0" w:lastRowLastColumn="0"/>
          <w:trHeight w:val="13"/>
        </w:trPr>
        <w:tc>
          <w:tcPr>
            <w:tcW w:w="9227" w:type="dxa"/>
          </w:tcPr>
          <w:p w14:paraId="184970AB" w14:textId="77777777" w:rsidR="004E6E21" w:rsidRPr="008B3F5D" w:rsidRDefault="004E6E21" w:rsidP="007B2F7D">
            <w:pPr>
              <w:pStyle w:val="Tabletext"/>
              <w:keepNext/>
              <w:keepLines/>
              <w:jc w:val="both"/>
              <w:rPr>
                <w:szCs w:val="16"/>
              </w:rPr>
            </w:pPr>
            <w:r w:rsidRPr="008B3F5D">
              <w:rPr>
                <w:szCs w:val="16"/>
              </w:rPr>
              <w:t xml:space="preserve">Les outils de </w:t>
            </w:r>
            <w:r w:rsidRPr="008B3F5D">
              <w:rPr>
                <w:b/>
                <w:szCs w:val="16"/>
              </w:rPr>
              <w:t>subvention</w:t>
            </w:r>
            <w:r>
              <w:rPr>
                <w:b/>
                <w:szCs w:val="16"/>
              </w:rPr>
              <w:t>s</w:t>
            </w:r>
            <w:r w:rsidRPr="008B3F5D">
              <w:rPr>
                <w:szCs w:val="16"/>
              </w:rPr>
              <w:t> :</w:t>
            </w:r>
          </w:p>
          <w:p w14:paraId="54741B33" w14:textId="77777777" w:rsidR="002E27C3" w:rsidRPr="002E27C3" w:rsidRDefault="004E6E21" w:rsidP="00EF4B18">
            <w:pPr>
              <w:pStyle w:val="Tablebullet1"/>
            </w:pPr>
            <w:r w:rsidRPr="00285B9F">
              <w:t>Programme ADVENIR : Le dispositif ADVENIR offre une aide financière pour le déploiement de points de recharge en voirie (dont les points de recharge dédiés aux 2 roues), en entreprise (parking privé à destination de flottes, parking privé ouvert au public, parking privé ouvert au public jusqu’à 5 points de recharge et 36 kVA hors projet de réseau) et dans les copropriétés (individuel, partagé, infrastructure collective). Doté d’une enveloppe de 100</w:t>
            </w:r>
            <w:r>
              <w:t> </w:t>
            </w:r>
            <w:r w:rsidRPr="00285B9F">
              <w:t xml:space="preserve">M€ il vise à financer plus de 45 000 nouveaux points de recharge d’ici à fin 2023. Ce programme finance les projets d’installation de points de recharge desservant une place de stationnement et en recharge simultanée. Les financements couvrent fourniture et l’installation (raccordement en aval du point de livraison) de points de de recharge, maintenance…). </w:t>
            </w:r>
          </w:p>
          <w:p w14:paraId="696422EB" w14:textId="2CC72B21" w:rsidR="00EF4B18" w:rsidRPr="00EF4B18" w:rsidRDefault="00EF4B18" w:rsidP="00EF4B18">
            <w:pPr>
              <w:pStyle w:val="Tablebullet1"/>
            </w:pPr>
            <w:r w:rsidRPr="000949DB">
              <w:rPr>
                <w:b/>
                <w:bCs/>
              </w:rPr>
              <w:t xml:space="preserve">Programme </w:t>
            </w:r>
            <w:proofErr w:type="spellStart"/>
            <w:r w:rsidRPr="000949DB">
              <w:rPr>
                <w:b/>
                <w:bCs/>
              </w:rPr>
              <w:t>MoēBUS</w:t>
            </w:r>
            <w:proofErr w:type="spellEnd"/>
            <w:r w:rsidRPr="000949DB">
              <w:rPr>
                <w:b/>
                <w:bCs/>
              </w:rPr>
              <w:t xml:space="preserve"> : </w:t>
            </w:r>
            <w:r w:rsidRPr="00FF3B8A">
              <w:t>dans le but d’accélérer la conversion des flottes de transports collectifs vers des véhicules à faibles émissions</w:t>
            </w:r>
            <w:r>
              <w:t xml:space="preserve"> par des aides financières accordées aux autorités organisatrices de la mobilité, les opérateurs, les exploitants ou toute entreprise privée souhaitant acquérir les autobus électriques. En parallèle de cette acquisition, le programme propose de prendre en charge les coûts des travaux d’électrification inhérents à cette conversion. L’aide financière est sous la forme de prime incitative versée au moment de la commande. Cette prime couvre une partie du coût d’acquisition des véhicules de transport collectifs fonctionnant à l’énergie électrique chargé de leur pack initial de batteries ainsi qu’une part des coûts des travaux liés à l’installation de bornes électriques ou la modification des ateliers de charge électrique. Les travaux d’infrastructure de recharge comprennent la fourniture des bornes, la mise à niveau de l’installation électrique et le raccordement, les travaux de génie civil et les travaux liés à la sécurité. </w:t>
            </w:r>
          </w:p>
          <w:p w14:paraId="05444D85" w14:textId="77777777" w:rsidR="00592586" w:rsidRPr="00592586" w:rsidRDefault="004E6E21" w:rsidP="00EF4B18">
            <w:pPr>
              <w:pStyle w:val="Tablebullet1"/>
            </w:pPr>
            <w:proofErr w:type="spellStart"/>
            <w:r w:rsidRPr="00285B9F">
              <w:t>Blending</w:t>
            </w:r>
            <w:proofErr w:type="spellEnd"/>
            <w:r w:rsidRPr="00285B9F">
              <w:t xml:space="preserve"> Facility</w:t>
            </w:r>
            <w:r>
              <w:t xml:space="preserve"> : il s’agit d’une aide européenne permettant de </w:t>
            </w:r>
            <w:r w:rsidRPr="00285B9F">
              <w:t>financer les projets inscrits dans le réseau central du RTE-T (réseau transeuropéen de transport) ou à une distance maximale de 10 km des trajectoires du réseau central. Notons que les projets de déploiement de carburants alternatifs sont éligibles, s’ils sont utilisés sur le réseau de transport européen. Une enveloppe de 99 M€ a</w:t>
            </w:r>
            <w:r>
              <w:t>vait</w:t>
            </w:r>
            <w:r w:rsidRPr="00285B9F">
              <w:t xml:space="preserve"> été consacrée au déploiement de ces carburants alternatifs (infrastructures et véhicules). L’échéance de</w:t>
            </w:r>
            <w:r>
              <w:t>s</w:t>
            </w:r>
            <w:r w:rsidRPr="00285B9F">
              <w:t xml:space="preserve"> candidature</w:t>
            </w:r>
            <w:r>
              <w:t>s</w:t>
            </w:r>
            <w:r w:rsidRPr="00285B9F">
              <w:t xml:space="preserve"> ét</w:t>
            </w:r>
            <w:r>
              <w:t>ait</w:t>
            </w:r>
            <w:r w:rsidRPr="00285B9F">
              <w:t xml:space="preserve"> fixée au 31 mars 2021 </w:t>
            </w:r>
            <w:r>
              <w:t>et</w:t>
            </w:r>
            <w:r w:rsidRPr="00285B9F">
              <w:t xml:space="preserve"> l’échéance de consommation des subventions au 31 décembre 2023. </w:t>
            </w:r>
          </w:p>
          <w:p w14:paraId="06D3D200" w14:textId="04A33B65" w:rsidR="00552AA2" w:rsidRPr="00552AA2" w:rsidRDefault="00552AA2" w:rsidP="00552AA2">
            <w:pPr>
              <w:pStyle w:val="Tablebullet1"/>
            </w:pPr>
            <w:r w:rsidRPr="00C74EDD">
              <w:t>Plan climat (Bpifrance - Banque des Territoires)</w:t>
            </w:r>
            <w:r>
              <w:t xml:space="preserve"> </w:t>
            </w:r>
            <w:proofErr w:type="spellStart"/>
            <w:r>
              <w:t>cf</w:t>
            </w:r>
            <w:proofErr w:type="spellEnd"/>
            <w:r>
              <w:t xml:space="preserve">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285EA090" w14:textId="77777777" w:rsidR="004E6E21" w:rsidRPr="00285B9F" w:rsidRDefault="004E6E21" w:rsidP="007B2F7D">
            <w:pPr>
              <w:pStyle w:val="Tabletext"/>
              <w:keepNext/>
              <w:keepLines/>
              <w:jc w:val="both"/>
              <w:rPr>
                <w:szCs w:val="16"/>
              </w:rPr>
            </w:pPr>
            <w:r w:rsidRPr="00285B9F">
              <w:rPr>
                <w:szCs w:val="16"/>
              </w:rPr>
              <w:t xml:space="preserve">Les outils de </w:t>
            </w:r>
            <w:r w:rsidRPr="00285B9F">
              <w:rPr>
                <w:b/>
                <w:szCs w:val="16"/>
              </w:rPr>
              <w:t>fonds propres</w:t>
            </w:r>
            <w:r w:rsidRPr="00285B9F">
              <w:rPr>
                <w:szCs w:val="16"/>
              </w:rPr>
              <w:t> :</w:t>
            </w:r>
          </w:p>
          <w:p w14:paraId="51428576" w14:textId="77777777" w:rsidR="004E6E21" w:rsidRPr="00285B9F" w:rsidRDefault="004E6E21" w:rsidP="00EF4B18">
            <w:pPr>
              <w:pStyle w:val="Tablebullet1"/>
            </w:pPr>
            <w:r w:rsidRPr="00285B9F">
              <w:t xml:space="preserve">Banque des Territoires, avec la solution « Investissements pour les Territoires d’industrie » qui dispose </w:t>
            </w:r>
            <w:r w:rsidRPr="008B3F5D">
              <w:t>de</w:t>
            </w:r>
            <w:r>
              <w:t xml:space="preserve"> </w:t>
            </w:r>
            <w:r w:rsidRPr="008B3F5D">
              <w:t>100</w:t>
            </w:r>
            <w:r w:rsidRPr="00285B9F">
              <w:t xml:space="preserve"> M</w:t>
            </w:r>
            <w:r w:rsidRPr="008B3F5D">
              <w:t>€</w:t>
            </w:r>
            <w:r>
              <w:t>/</w:t>
            </w:r>
            <w:r w:rsidRPr="00285B9F">
              <w:t xml:space="preserve">an, peut intervenir en fonds propres sur les projets d’avitaillement en énergie propre (GNV, hydrogène). Les bénéficiaires visés sont les collectivités locales ou regroupement, Société d’Economie Mixte (SEM), entreprises industrielles. Les tickets d’investissement ne sont pas précisés. </w:t>
            </w:r>
          </w:p>
          <w:p w14:paraId="0006CED9" w14:textId="77777777" w:rsidR="00592586" w:rsidRPr="00592586" w:rsidRDefault="004E6E21" w:rsidP="00EF4B18">
            <w:pPr>
              <w:pStyle w:val="Tablebullet1"/>
            </w:pPr>
            <w:r w:rsidRPr="00285B9F">
              <w:t xml:space="preserve">Bpifrance accompagne beaucoup de projets portant l’hydrogène à travers des appels à projets de démonstration et également des startups ou des PME dans leurs projets d’innovation et de développement technologiques. </w:t>
            </w:r>
          </w:p>
          <w:p w14:paraId="09D16DE5" w14:textId="43BD3C7F" w:rsidR="00552AA2" w:rsidRPr="00552AA2" w:rsidRDefault="00552AA2" w:rsidP="00552AA2">
            <w:pPr>
              <w:pStyle w:val="Tablebullet1"/>
            </w:pPr>
            <w:r w:rsidRPr="00C74EDD">
              <w:t>Plan climat (Bpifrance - Banque des Territoires)</w:t>
            </w:r>
            <w:r>
              <w:t xml:space="preserve"> </w:t>
            </w:r>
            <w:proofErr w:type="spellStart"/>
            <w:r>
              <w:t>cf</w:t>
            </w:r>
            <w:proofErr w:type="spellEnd"/>
            <w:r>
              <w:t xml:space="preserve">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2039F92E" w14:textId="77777777" w:rsidR="004E6E21" w:rsidRDefault="004E6E21" w:rsidP="007B2F7D">
            <w:pPr>
              <w:pStyle w:val="Tablebullet1"/>
              <w:keepNext/>
              <w:keepLines/>
              <w:numPr>
                <w:ilvl w:val="0"/>
                <w:numId w:val="0"/>
              </w:numPr>
            </w:pPr>
            <w:r>
              <w:t xml:space="preserve">Les outils de </w:t>
            </w:r>
            <w:r w:rsidRPr="00E63476">
              <w:rPr>
                <w:b/>
              </w:rPr>
              <w:t>dette</w:t>
            </w:r>
            <w:r>
              <w:t> :</w:t>
            </w:r>
          </w:p>
          <w:p w14:paraId="6B1922D7" w14:textId="77777777" w:rsidR="004E6E21" w:rsidRPr="00285B9F" w:rsidRDefault="004E6E21" w:rsidP="00EF4B18">
            <w:pPr>
              <w:pStyle w:val="Tablebullet1"/>
            </w:pPr>
            <w:r w:rsidRPr="00285B9F">
              <w:t xml:space="preserve">Banque des Territoires : la banque des territoires propose plusieurs instruments de prêts destinés à l’accélération de la transition énergétique : </w:t>
            </w:r>
            <w:proofErr w:type="spellStart"/>
            <w:r w:rsidRPr="00285B9F">
              <w:t>Oblibus</w:t>
            </w:r>
            <w:proofErr w:type="spellEnd"/>
            <w:r w:rsidRPr="00285B9F">
              <w:t xml:space="preserve">, </w:t>
            </w:r>
            <w:proofErr w:type="spellStart"/>
            <w:r w:rsidRPr="00285B9F">
              <w:t>Mobi</w:t>
            </w:r>
            <w:proofErr w:type="spellEnd"/>
            <w:r w:rsidRPr="00285B9F">
              <w:t xml:space="preserve"> Prêt, Financement des infrastructures d’avitaillement GNV/GNC et/ ou GPL, </w:t>
            </w:r>
          </w:p>
          <w:p w14:paraId="3E5A845F" w14:textId="77777777" w:rsidR="004E6E21" w:rsidRDefault="004E6E21" w:rsidP="00EF4B18">
            <w:pPr>
              <w:pStyle w:val="Tablebullet1"/>
            </w:pPr>
            <w:r w:rsidRPr="00285B9F">
              <w:t>Bpifrance accorde des prêts d’innovation pour lancer sur le marché des produits et services innovants et des prêts d’amorçage pour préparer et accompagner les levées de fonds.</w:t>
            </w:r>
          </w:p>
          <w:p w14:paraId="64DDFBF1" w14:textId="77777777" w:rsidR="004E6E21" w:rsidRDefault="004E6E21" w:rsidP="00EF4B18">
            <w:pPr>
              <w:pStyle w:val="Tablebullet1"/>
            </w:pPr>
            <w:r>
              <w:t>Institutions bancaires privées, principalement sur l’acquisition de matériels roulant</w:t>
            </w:r>
          </w:p>
          <w:p w14:paraId="5970BFED" w14:textId="5B54D2BF" w:rsidR="004E6E21" w:rsidRDefault="00552AA2" w:rsidP="00552AA2">
            <w:pPr>
              <w:pStyle w:val="Tablebullet1"/>
            </w:pPr>
            <w:r w:rsidRPr="00C74EDD">
              <w:t>Plan climat (Bpifrance - Banque des Territoires)</w:t>
            </w:r>
            <w:r>
              <w:t xml:space="preserve"> </w:t>
            </w:r>
            <w:proofErr w:type="spellStart"/>
            <w:r>
              <w:t>cf</w:t>
            </w:r>
            <w:proofErr w:type="spellEnd"/>
            <w:r>
              <w:t xml:space="preserve">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31950A80" w14:textId="02B29AE1" w:rsidR="004E6E21" w:rsidRPr="00285B9F" w:rsidRDefault="00B4598B" w:rsidP="00552AA2">
            <w:pPr>
              <w:pStyle w:val="Tablebullet1"/>
            </w:pPr>
            <w:r>
              <w:t xml:space="preserve">Dispositifs de prêts du deuxième et troisième </w:t>
            </w:r>
            <w:proofErr w:type="spellStart"/>
            <w:r>
              <w:t>pilliers</w:t>
            </w:r>
            <w:proofErr w:type="spellEnd"/>
            <w:r>
              <w:t xml:space="preserve"> du Mécanisme de Transition Juste (</w:t>
            </w:r>
            <w:proofErr w:type="spellStart"/>
            <w:r>
              <w:t>cf</w:t>
            </w:r>
            <w:proofErr w:type="spellEnd"/>
            <w:r>
              <w:t xml:space="preserve"> Encadré 1)</w:t>
            </w:r>
          </w:p>
        </w:tc>
      </w:tr>
    </w:tbl>
    <w:p w14:paraId="2430F352" w14:textId="77777777" w:rsidR="004E6E21" w:rsidRPr="00CD2F06" w:rsidRDefault="004E6E21" w:rsidP="004E6E21">
      <w:pPr>
        <w:pStyle w:val="List2"/>
        <w:ind w:left="0" w:firstLine="0"/>
      </w:pPr>
    </w:p>
    <w:p w14:paraId="04F35FC4" w14:textId="77777777" w:rsidR="004E6E21" w:rsidRDefault="004E6E21" w:rsidP="004E6E21">
      <w:pPr>
        <w:pStyle w:val="Heading5"/>
        <w:ind w:left="0" w:firstLine="0"/>
      </w:pPr>
      <w:r>
        <w:t xml:space="preserve">Financement des réseaux intelligents </w:t>
      </w:r>
    </w:p>
    <w:p w14:paraId="07ADA6EB" w14:textId="6025DFB2" w:rsidR="004E6E21" w:rsidRPr="008A603E" w:rsidRDefault="004E6E21" w:rsidP="004E6E21">
      <w:pPr>
        <w:pStyle w:val="BodyText"/>
        <w:keepNext/>
        <w:keepLines/>
      </w:pPr>
      <w:r>
        <w:t>Certains dispositifs permettent de financer le développement des réseaux intelligents</w:t>
      </w:r>
      <w:r w:rsidR="00E45CAD">
        <w:t>, en particulier en subventions et fonds propres.</w:t>
      </w:r>
    </w:p>
    <w:p w14:paraId="2BE92824" w14:textId="2803A89A" w:rsidR="004E6E21" w:rsidRDefault="004E6E21" w:rsidP="004E6E21">
      <w:pPr>
        <w:pStyle w:val="Caption"/>
        <w:keepLines/>
      </w:pPr>
      <w:r>
        <w:t xml:space="preserve">Encadré </w:t>
      </w:r>
      <w:r>
        <w:fldChar w:fldCharType="begin"/>
      </w:r>
      <w:r>
        <w:instrText xml:space="preserve"> SEQ Encadré \* ARABIC </w:instrText>
      </w:r>
      <w:r>
        <w:fldChar w:fldCharType="separate"/>
      </w:r>
      <w:r w:rsidR="009F0282">
        <w:rPr>
          <w:noProof/>
        </w:rPr>
        <w:t>20</w:t>
      </w:r>
      <w:r>
        <w:fldChar w:fldCharType="end"/>
      </w:r>
      <w:r>
        <w:t xml:space="preserve"> Offre de financement des smart </w:t>
      </w:r>
      <w:proofErr w:type="spellStart"/>
      <w:r>
        <w:t>grids</w:t>
      </w:r>
      <w:proofErr w:type="spellEnd"/>
    </w:p>
    <w:tbl>
      <w:tblPr>
        <w:tblStyle w:val="TechnopolisTable"/>
        <w:tblW w:w="0" w:type="auto"/>
        <w:tblLook w:val="0480" w:firstRow="0" w:lastRow="0" w:firstColumn="1" w:lastColumn="0" w:noHBand="0" w:noVBand="1"/>
      </w:tblPr>
      <w:tblGrid>
        <w:gridCol w:w="9062"/>
      </w:tblGrid>
      <w:tr w:rsidR="004E6E21" w:rsidRPr="00285B9F" w14:paraId="25392FB9" w14:textId="77777777" w:rsidTr="007B2F7D">
        <w:trPr>
          <w:cnfStyle w:val="000000100000" w:firstRow="0" w:lastRow="0" w:firstColumn="0" w:lastColumn="0" w:oddVBand="0" w:evenVBand="0" w:oddHBand="1" w:evenHBand="0" w:firstRowFirstColumn="0" w:firstRowLastColumn="0" w:lastRowFirstColumn="0" w:lastRowLastColumn="0"/>
        </w:trPr>
        <w:tc>
          <w:tcPr>
            <w:tcW w:w="9062" w:type="dxa"/>
          </w:tcPr>
          <w:p w14:paraId="2AB5AB58" w14:textId="77777777" w:rsidR="004E6E21" w:rsidRPr="00285B9F" w:rsidRDefault="004E6E21" w:rsidP="007B2F7D">
            <w:pPr>
              <w:keepNext/>
              <w:keepLines/>
              <w:jc w:val="both"/>
            </w:pPr>
            <w:r w:rsidRPr="00285B9F">
              <w:t xml:space="preserve">Les outils de </w:t>
            </w:r>
            <w:r w:rsidRPr="00285B9F">
              <w:rPr>
                <w:b/>
                <w:bCs/>
              </w:rPr>
              <w:t>subventions</w:t>
            </w:r>
            <w:r w:rsidRPr="00285B9F">
              <w:t xml:space="preserve"> : </w:t>
            </w:r>
          </w:p>
          <w:p w14:paraId="167B26A3" w14:textId="77777777" w:rsidR="004E6E21" w:rsidRPr="00285B9F" w:rsidRDefault="004E6E21" w:rsidP="007B2F7D">
            <w:pPr>
              <w:pStyle w:val="Tablebullet1"/>
              <w:keepNext/>
              <w:keepLines/>
            </w:pPr>
            <w:r w:rsidRPr="008B3F5D">
              <w:t>L’ADEME </w:t>
            </w:r>
            <w:r w:rsidRPr="00285B9F">
              <w:t>: l’ADEME joue un rôle important sur le sujet des réseaux intelligents. Elle a déjà publié plusieurs appels à manifestations d’intérêt (AMI) sur cette thématique dans le cadre des Investissements d’Avenir. Les projets soutenus s’adressent aux acteurs de la recherche et de l’industrie. Le but de l’ADEME est de contribuer à améliorer la connaissance sur ces technologies, leur efficacité environnementale et leur acceptabilité, et à structurer les acteurs de cette nouvelle filière industrielle. L’ADEME soutient également la R&amp;D en finançant des thèses et des projets, au travers d’appels à projet de recherche.</w:t>
            </w:r>
          </w:p>
          <w:p w14:paraId="0D8602A0" w14:textId="77777777" w:rsidR="004E6E21" w:rsidRPr="00285B9F" w:rsidRDefault="004E6E21" w:rsidP="007B2F7D">
            <w:pPr>
              <w:pStyle w:val="Tablebullet1"/>
              <w:keepNext/>
              <w:keepLines/>
            </w:pPr>
            <w:r w:rsidRPr="00285B9F">
              <w:t xml:space="preserve">ERA-Net SES focus Smart </w:t>
            </w:r>
            <w:proofErr w:type="spellStart"/>
            <w:r w:rsidRPr="00285B9F">
              <w:t>Grids</w:t>
            </w:r>
            <w:proofErr w:type="spellEnd"/>
            <w:r w:rsidRPr="00285B9F">
              <w:t xml:space="preserve"> Plus : L’initiative ERA-Net SES focus Smart </w:t>
            </w:r>
            <w:proofErr w:type="spellStart"/>
            <w:r w:rsidRPr="00285B9F">
              <w:t>Grids</w:t>
            </w:r>
            <w:proofErr w:type="spellEnd"/>
            <w:r w:rsidRPr="00285B9F">
              <w:t xml:space="preserve"> Plus (dans le cadre du H2020) promeut et finance des projets communs et des activités d’accompagnement conjointes, les initiatives de R&amp;D et les installations de démonstration prêtes à l’emploi aux niveaux régional, national et européen. Ces financements passent par des appels à proposition dédiés aux réseaux intelligents (smart </w:t>
            </w:r>
            <w:proofErr w:type="spellStart"/>
            <w:r w:rsidRPr="00285B9F">
              <w:t>grids</w:t>
            </w:r>
            <w:proofErr w:type="spellEnd"/>
            <w:r w:rsidRPr="00285B9F">
              <w:t xml:space="preserve">). C’est le cas des appels lancés en 2015 doté d’un budget de </w:t>
            </w:r>
            <w:r w:rsidRPr="008B3F5D">
              <w:t>40M€</w:t>
            </w:r>
            <w:r w:rsidRPr="00285B9F">
              <w:t xml:space="preserve"> et en 2016 doté d’un budget d’environ </w:t>
            </w:r>
            <w:r w:rsidRPr="008B3F5D">
              <w:t xml:space="preserve">20M€. </w:t>
            </w:r>
            <w:r w:rsidRPr="00285B9F">
              <w:t>L’objectif poursuivi est</w:t>
            </w:r>
            <w:r w:rsidRPr="008B3F5D">
              <w:t xml:space="preserve"> </w:t>
            </w:r>
            <w:r w:rsidRPr="00285B9F">
              <w:t xml:space="preserve">de mutualiser les connaissances et d’accélérer l’échange de connaissances entre les projets de démonstration existants et les initiatives de R&amp;D dans le but de leur permettre de développer des solutions à l’échelle européenne. </w:t>
            </w:r>
          </w:p>
          <w:p w14:paraId="691F6B92" w14:textId="77777777" w:rsidR="004E6E21" w:rsidRPr="008B3F5D" w:rsidRDefault="004E6E21" w:rsidP="007B2F7D">
            <w:pPr>
              <w:pStyle w:val="Tablebullet1"/>
              <w:keepNext/>
              <w:keepLines/>
            </w:pPr>
            <w:r w:rsidRPr="00285B9F">
              <w:t xml:space="preserve">Les financements du programme de coopération territoriale européenne Interreg : </w:t>
            </w:r>
            <w:r w:rsidRPr="00285B9F">
              <w:rPr>
                <w:bCs/>
              </w:rPr>
              <w:t xml:space="preserve">Le mécanisme pour l’interconnexion en Europe, avec le soutien de l’outil de financement </w:t>
            </w:r>
            <w:proofErr w:type="spellStart"/>
            <w:r w:rsidRPr="00285B9F">
              <w:t>Connecting</w:t>
            </w:r>
            <w:proofErr w:type="spellEnd"/>
            <w:r w:rsidRPr="00285B9F">
              <w:t xml:space="preserve"> Europe Facility (CEF) Energy</w:t>
            </w:r>
            <w:r w:rsidRPr="008B3F5D">
              <w:t xml:space="preserve">, </w:t>
            </w:r>
            <w:r w:rsidRPr="00285B9F">
              <w:t xml:space="preserve">vise à investir </w:t>
            </w:r>
            <w:r w:rsidRPr="008B3F5D">
              <w:t>444</w:t>
            </w:r>
            <w:r w:rsidRPr="00285B9F">
              <w:t xml:space="preserve"> </w:t>
            </w:r>
            <w:r w:rsidRPr="008B3F5D">
              <w:t xml:space="preserve">M€ </w:t>
            </w:r>
            <w:r w:rsidRPr="00285B9F">
              <w:t xml:space="preserve">dans des projets énergétiques soutenant l’Union européenne de l’énergie. Les investissements ont pour objectif de connecter les réseaux énergétiques européens, accroître la sécurité de l’approvisionnement énergétique et contribuer au développement durable par l’intégration des sources d’énergie renouvelables. </w:t>
            </w:r>
          </w:p>
          <w:p w14:paraId="756EA9C3" w14:textId="77777777" w:rsidR="004E6E21" w:rsidRPr="00285B9F" w:rsidRDefault="004E6E21" w:rsidP="007B2F7D">
            <w:pPr>
              <w:pStyle w:val="Tabletext"/>
              <w:keepNext/>
              <w:keepLines/>
              <w:jc w:val="both"/>
              <w:rPr>
                <w:szCs w:val="16"/>
              </w:rPr>
            </w:pPr>
            <w:r w:rsidRPr="00285B9F">
              <w:rPr>
                <w:szCs w:val="16"/>
              </w:rPr>
              <w:t xml:space="preserve">Les outils de </w:t>
            </w:r>
            <w:r w:rsidRPr="00285B9F">
              <w:rPr>
                <w:b/>
                <w:bCs/>
                <w:szCs w:val="16"/>
              </w:rPr>
              <w:t>fonds propres</w:t>
            </w:r>
            <w:r w:rsidRPr="00285B9F">
              <w:rPr>
                <w:szCs w:val="16"/>
              </w:rPr>
              <w:t> :</w:t>
            </w:r>
          </w:p>
          <w:p w14:paraId="317382FF" w14:textId="101244D1" w:rsidR="004E6E21" w:rsidRPr="00285B9F" w:rsidRDefault="004E6E21" w:rsidP="007B2F7D">
            <w:pPr>
              <w:pStyle w:val="Tablebullet1"/>
              <w:keepNext/>
              <w:keepLines/>
            </w:pPr>
            <w:r w:rsidRPr="00285B9F">
              <w:t xml:space="preserve">Fonds </w:t>
            </w:r>
            <w:r w:rsidRPr="008B3F5D">
              <w:t>Ecotechnologies </w:t>
            </w:r>
            <w:r w:rsidR="00E765EF">
              <w:t xml:space="preserve">(voir </w:t>
            </w:r>
            <w:r w:rsidR="0035329B">
              <w:fldChar w:fldCharType="begin"/>
            </w:r>
            <w:r w:rsidR="0035329B">
              <w:instrText xml:space="preserve"> REF _Ref94025479 \h </w:instrText>
            </w:r>
            <w:r w:rsidR="0035329B">
              <w:fldChar w:fldCharType="separate"/>
            </w:r>
            <w:r w:rsidR="009F0282">
              <w:t>Encadré</w:t>
            </w:r>
            <w:r w:rsidR="0035329B">
              <w:fldChar w:fldCharType="end"/>
            </w:r>
            <w:r w:rsidR="0035329B">
              <w:t>)</w:t>
            </w:r>
          </w:p>
          <w:p w14:paraId="37752C81" w14:textId="77777777" w:rsidR="004E6E21" w:rsidRPr="00285B9F" w:rsidRDefault="004E6E21" w:rsidP="007B2F7D">
            <w:pPr>
              <w:pStyle w:val="Tablebullet1"/>
              <w:keepNext/>
              <w:keepLines/>
            </w:pPr>
            <w:r w:rsidRPr="00285B9F">
              <w:t>Enfin notons que la</w:t>
            </w:r>
            <w:r w:rsidRPr="008B3F5D">
              <w:t xml:space="preserve"> CRE, </w:t>
            </w:r>
            <w:r w:rsidRPr="00285B9F">
              <w:t>a</w:t>
            </w:r>
            <w:r w:rsidRPr="008B3F5D">
              <w:t xml:space="preserve"> </w:t>
            </w:r>
            <w:r w:rsidRPr="00285B9F">
              <w:t xml:space="preserve">introduit dans les cinquièmes tarifs d’utilisation des réseaux publics d’électricité (dits TURPE 5), applicables de 2017 à 2021, un dispositif spécifique afin de s’assurer que les gestionnaires de réseaux disposent des ressources nécessaires pour financer les coûts de recherche &amp; développement et de déploiement des smart </w:t>
            </w:r>
            <w:proofErr w:type="spellStart"/>
            <w:r w:rsidRPr="00285B9F">
              <w:t>grids</w:t>
            </w:r>
            <w:proofErr w:type="spellEnd"/>
            <w:r w:rsidRPr="00285B9F">
              <w:t>.</w:t>
            </w:r>
          </w:p>
        </w:tc>
      </w:tr>
    </w:tbl>
    <w:p w14:paraId="1DE8A466" w14:textId="77777777" w:rsidR="000B68A2" w:rsidRPr="00CD2F06" w:rsidRDefault="000B68A2" w:rsidP="004E6E21">
      <w:pPr>
        <w:pStyle w:val="BodyText"/>
      </w:pPr>
    </w:p>
    <w:p w14:paraId="650067FD" w14:textId="77777777" w:rsidR="000B68A2" w:rsidRPr="000B68A2" w:rsidRDefault="000B68A2" w:rsidP="000B68A2">
      <w:pPr>
        <w:pStyle w:val="BodyText"/>
      </w:pPr>
    </w:p>
    <w:p w14:paraId="3F42F556" w14:textId="3A1C5D0A" w:rsidR="00F068D3" w:rsidRDefault="00F068D3" w:rsidP="00654653">
      <w:pPr>
        <w:pStyle w:val="Heading3"/>
      </w:pPr>
      <w:bookmarkStart w:id="51" w:name="_Toc93390269"/>
      <w:r>
        <w:t xml:space="preserve">Bilan de l’offre de financement des </w:t>
      </w:r>
      <w:proofErr w:type="spellStart"/>
      <w:r w:rsidR="0064198B">
        <w:t>EnR</w:t>
      </w:r>
      <w:bookmarkEnd w:id="51"/>
      <w:proofErr w:type="spellEnd"/>
    </w:p>
    <w:p w14:paraId="48BDCF67" w14:textId="241EB9C3" w:rsidR="00A77C5F" w:rsidRPr="00A77C5F" w:rsidRDefault="00D22144" w:rsidP="00F94BC4">
      <w:pPr>
        <w:pStyle w:val="BodyText"/>
        <w:keepNext/>
        <w:keepLines/>
      </w:pPr>
      <w:r>
        <w:t xml:space="preserve">Les résultats de nos analyses sur </w:t>
      </w:r>
      <w:r w:rsidR="00D6043C">
        <w:t>l</w:t>
      </w:r>
      <w:r w:rsidR="00FA0431">
        <w:t xml:space="preserve">es financements en faveur des énergies renouvelables </w:t>
      </w:r>
      <w:r w:rsidR="00FF540F">
        <w:t xml:space="preserve">montrent une multitude d’instruments couvrant l’ensemble des phases des projets quel que soit le niveau de </w:t>
      </w:r>
      <w:r w:rsidR="004C718A">
        <w:t>maturité de la technologie concernée</w:t>
      </w:r>
      <w:r w:rsidR="001C53E2">
        <w:t>, à la fois en subventions, en dette et en fonds propres</w:t>
      </w:r>
      <w:r w:rsidR="004C718A">
        <w:t xml:space="preserve">. </w:t>
      </w:r>
    </w:p>
    <w:p w14:paraId="378C2C88" w14:textId="77777777" w:rsidR="00911418" w:rsidRDefault="008E0438" w:rsidP="00F94BC4">
      <w:pPr>
        <w:pStyle w:val="BodyText"/>
        <w:keepNext/>
        <w:keepLines/>
      </w:pPr>
      <w:r>
        <w:t xml:space="preserve">Les pouvoirs publics contribuent fortement </w:t>
      </w:r>
      <w:r w:rsidR="00E04F59">
        <w:t xml:space="preserve">à la mobilisation des financements en particulier </w:t>
      </w:r>
      <w:r w:rsidR="00AA70CF">
        <w:t xml:space="preserve">pour les </w:t>
      </w:r>
      <w:r w:rsidR="00AA70CF" w:rsidRPr="00762CBD">
        <w:rPr>
          <w:b/>
        </w:rPr>
        <w:t>technologies innovantes</w:t>
      </w:r>
      <w:r w:rsidR="00AA70CF">
        <w:t xml:space="preserve">. </w:t>
      </w:r>
      <w:r w:rsidR="00D80D78">
        <w:t>L’Etat intervient principalement en subventions à travers le PIA, les a</w:t>
      </w:r>
      <w:r w:rsidR="00F45E68">
        <w:t>ides de l’ADEME</w:t>
      </w:r>
      <w:r w:rsidR="00FA3220">
        <w:t xml:space="preserve">. </w:t>
      </w:r>
    </w:p>
    <w:p w14:paraId="516149F9" w14:textId="15942C77" w:rsidR="00911418" w:rsidRDefault="00911418" w:rsidP="00F94BC4">
      <w:pPr>
        <w:pStyle w:val="BodyText"/>
        <w:keepNext/>
        <w:keepLines/>
      </w:pPr>
      <w:r w:rsidRPr="00911418">
        <w:t>Bpifrance et la Banque des Territoires ont élaboré ensemble un plan climat commun de 40</w:t>
      </w:r>
      <w:r>
        <w:t> </w:t>
      </w:r>
      <w:r w:rsidRPr="00911418">
        <w:t>Md€ pour la transition écologique et énergétique des entreprises et des territoires</w:t>
      </w:r>
      <w:r w:rsidR="00B45082">
        <w:t xml:space="preserve"> avec d</w:t>
      </w:r>
      <w:r w:rsidRPr="00911418">
        <w:t>es financements en subventions, fonds propres et prêts.</w:t>
      </w:r>
    </w:p>
    <w:p w14:paraId="5F5CA194" w14:textId="252E0638" w:rsidR="008E0438" w:rsidRPr="00A77C5F" w:rsidRDefault="00FA3220" w:rsidP="00F94BC4">
      <w:pPr>
        <w:pStyle w:val="BodyText"/>
        <w:keepNext/>
        <w:keepLines/>
      </w:pPr>
      <w:r>
        <w:t xml:space="preserve">La </w:t>
      </w:r>
      <w:r w:rsidR="00A425B5">
        <w:t>R</w:t>
      </w:r>
      <w:r>
        <w:t xml:space="preserve">égion </w:t>
      </w:r>
      <w:r w:rsidR="003D425E">
        <w:t xml:space="preserve">propose une combinaison d’outils </w:t>
      </w:r>
      <w:r w:rsidR="00995F4E">
        <w:t xml:space="preserve">qui </w:t>
      </w:r>
      <w:r w:rsidR="005441C7">
        <w:t>devraient être en</w:t>
      </w:r>
      <w:r w:rsidR="00995F4E">
        <w:t xml:space="preserve"> mesure </w:t>
      </w:r>
      <w:r w:rsidR="005441C7">
        <w:t xml:space="preserve">de </w:t>
      </w:r>
      <w:r w:rsidR="003F2B14">
        <w:t xml:space="preserve">stimuler les </w:t>
      </w:r>
      <w:r w:rsidR="00A71944">
        <w:t>investissements</w:t>
      </w:r>
      <w:r w:rsidR="0062069C">
        <w:t xml:space="preserve"> nécessaires</w:t>
      </w:r>
      <w:r w:rsidR="008D26B3">
        <w:t>. Il s’agit</w:t>
      </w:r>
      <w:r w:rsidR="0059470C">
        <w:t xml:space="preserve"> de</w:t>
      </w:r>
      <w:r w:rsidR="008D26B3">
        <w:t xml:space="preserve"> </w:t>
      </w:r>
      <w:r w:rsidR="0072654E" w:rsidRPr="0072654E">
        <w:t>REV3 financement</w:t>
      </w:r>
      <w:r w:rsidR="00B45082">
        <w:t xml:space="preserve"> et</w:t>
      </w:r>
      <w:r w:rsidR="00464B4A">
        <w:t xml:space="preserve"> de</w:t>
      </w:r>
      <w:r w:rsidR="0072654E">
        <w:t xml:space="preserve"> l’outil cofinancé </w:t>
      </w:r>
      <w:r w:rsidR="00932A1A" w:rsidRPr="00932A1A">
        <w:t>SEM Energies Hauts-de-</w:t>
      </w:r>
      <w:r w:rsidR="00932A1A">
        <w:t xml:space="preserve">France. </w:t>
      </w:r>
    </w:p>
    <w:p w14:paraId="404280CB" w14:textId="003E6D28" w:rsidR="001C53E2" w:rsidRDefault="001C53E2" w:rsidP="00F94BC4">
      <w:pPr>
        <w:pStyle w:val="BodyText"/>
        <w:keepNext/>
        <w:keepLines/>
      </w:pPr>
      <w:r>
        <w:t xml:space="preserve">A titre illustratif, on constate que les montants alloués à la production d’énergies renouvelables dans le cadre des PO FEDER 2014-2020 Nord-Pas-de-Calais et Picardie </w:t>
      </w:r>
      <w:r w:rsidR="00A837FD">
        <w:t>on</w:t>
      </w:r>
      <w:r w:rsidR="00EF3FC4">
        <w:t>t</w:t>
      </w:r>
      <w:r w:rsidR="00A837FD">
        <w:t xml:space="preserve"> été entièrement programmés dans le cadre d’opérations </w:t>
      </w:r>
      <w:r w:rsidR="000172FF">
        <w:t>dépassant les montants totaux anticipés en 2015.</w:t>
      </w:r>
    </w:p>
    <w:p w14:paraId="50F8B05A" w14:textId="27B47B0B" w:rsidR="004977F1" w:rsidRDefault="003864A8" w:rsidP="004977F1">
      <w:pPr>
        <w:pStyle w:val="Caption"/>
      </w:pPr>
      <w:bookmarkStart w:id="52" w:name="_Toc88842095"/>
      <w:bookmarkStart w:id="53" w:name="_Toc46322990"/>
      <w:bookmarkStart w:id="54" w:name="_Toc52499754"/>
      <w:r>
        <w:t xml:space="preserve">Tableau </w:t>
      </w:r>
      <w:r>
        <w:fldChar w:fldCharType="begin"/>
      </w:r>
      <w:r>
        <w:instrText xml:space="preserve"> SEQ Tableau \* ARABIC </w:instrText>
      </w:r>
      <w:r>
        <w:fldChar w:fldCharType="separate"/>
      </w:r>
      <w:r w:rsidR="009F0282">
        <w:rPr>
          <w:noProof/>
        </w:rPr>
        <w:t>3</w:t>
      </w:r>
      <w:r>
        <w:fldChar w:fldCharType="end"/>
      </w:r>
      <w:r w:rsidR="004977F1">
        <w:t xml:space="preserve"> Montants maquettés et consommés au titre de la priorité 4a (</w:t>
      </w:r>
      <w:proofErr w:type="spellStart"/>
      <w:r w:rsidR="004977F1">
        <w:t>EnR</w:t>
      </w:r>
      <w:proofErr w:type="spellEnd"/>
      <w:r w:rsidR="004977F1">
        <w:t>) des PO FEDER Nord-Pas-de-Calais et Picardie</w:t>
      </w:r>
      <w:r w:rsidR="001C53E2">
        <w:t xml:space="preserve"> 2014-2020</w:t>
      </w:r>
      <w:bookmarkEnd w:id="52"/>
    </w:p>
    <w:tbl>
      <w:tblPr>
        <w:tblStyle w:val="TechnopolisTable1"/>
        <w:tblW w:w="0" w:type="auto"/>
        <w:tblLook w:val="04A0" w:firstRow="1" w:lastRow="0" w:firstColumn="1" w:lastColumn="0" w:noHBand="0" w:noVBand="1"/>
      </w:tblPr>
      <w:tblGrid>
        <w:gridCol w:w="805"/>
        <w:gridCol w:w="1450"/>
        <w:gridCol w:w="1518"/>
        <w:gridCol w:w="1214"/>
        <w:gridCol w:w="1417"/>
        <w:gridCol w:w="1485"/>
        <w:gridCol w:w="1173"/>
      </w:tblGrid>
      <w:tr w:rsidR="001A010A" w14:paraId="365EA8DC" w14:textId="6F84B811" w:rsidTr="00BC752B">
        <w:trPr>
          <w:cnfStyle w:val="100000000000" w:firstRow="1" w:lastRow="0" w:firstColumn="0" w:lastColumn="0" w:oddVBand="0" w:evenVBand="0" w:oddHBand="0" w:evenHBand="0" w:firstRowFirstColumn="0" w:firstRowLastColumn="0" w:lastRowFirstColumn="0" w:lastRowLastColumn="0"/>
        </w:trPr>
        <w:tc>
          <w:tcPr>
            <w:tcW w:w="0" w:type="auto"/>
          </w:tcPr>
          <w:p w14:paraId="76E1C685" w14:textId="65F498CD" w:rsidR="001A010A" w:rsidRDefault="001A010A" w:rsidP="001A010A">
            <w:pPr>
              <w:pStyle w:val="Tabletext"/>
            </w:pPr>
            <w:r>
              <w:t>PO</w:t>
            </w:r>
          </w:p>
        </w:tc>
        <w:tc>
          <w:tcPr>
            <w:tcW w:w="0" w:type="auto"/>
          </w:tcPr>
          <w:p w14:paraId="4E89E450" w14:textId="69A30D0E" w:rsidR="001A010A" w:rsidRDefault="001A010A" w:rsidP="001A010A">
            <w:pPr>
              <w:pStyle w:val="Tabletext"/>
            </w:pPr>
            <w:r>
              <w:t>Montant total maquetté</w:t>
            </w:r>
            <w:r w:rsidR="00BC752B">
              <w:t xml:space="preserve"> (révisé en 2019)</w:t>
            </w:r>
          </w:p>
        </w:tc>
        <w:tc>
          <w:tcPr>
            <w:tcW w:w="0" w:type="auto"/>
          </w:tcPr>
          <w:p w14:paraId="1B089E9E" w14:textId="1AB30902" w:rsidR="001A010A" w:rsidRDefault="001A010A" w:rsidP="001A010A">
            <w:pPr>
              <w:pStyle w:val="Tabletext"/>
            </w:pPr>
            <w:r>
              <w:t>Montant total programmé (</w:t>
            </w:r>
            <w:r w:rsidR="00BC752B">
              <w:t>07/2021</w:t>
            </w:r>
            <w:r>
              <w:t>)</w:t>
            </w:r>
          </w:p>
        </w:tc>
        <w:tc>
          <w:tcPr>
            <w:tcW w:w="0" w:type="auto"/>
          </w:tcPr>
          <w:p w14:paraId="0869F442" w14:textId="77777777" w:rsidR="00BC752B" w:rsidRDefault="00BC752B" w:rsidP="001A010A">
            <w:pPr>
              <w:pStyle w:val="Tabletext"/>
              <w:rPr>
                <w:b w:val="0"/>
              </w:rPr>
            </w:pPr>
            <w:r>
              <w:t>% programmé/</w:t>
            </w:r>
          </w:p>
          <w:p w14:paraId="095E2752" w14:textId="17CADA89" w:rsidR="001A010A" w:rsidRDefault="00BC752B" w:rsidP="001A010A">
            <w:pPr>
              <w:pStyle w:val="Tabletext"/>
            </w:pPr>
            <w:r>
              <w:t>maquetté</w:t>
            </w:r>
          </w:p>
        </w:tc>
        <w:tc>
          <w:tcPr>
            <w:tcW w:w="0" w:type="auto"/>
          </w:tcPr>
          <w:p w14:paraId="34B9C6CD" w14:textId="332C71E9" w:rsidR="001A010A" w:rsidRDefault="001A010A" w:rsidP="001A010A">
            <w:pPr>
              <w:pStyle w:val="Tabletext"/>
            </w:pPr>
            <w:r>
              <w:t>Montant UE maquetté</w:t>
            </w:r>
            <w:r w:rsidR="00BC752B">
              <w:t xml:space="preserve"> (révisé en 2019)</w:t>
            </w:r>
          </w:p>
        </w:tc>
        <w:tc>
          <w:tcPr>
            <w:tcW w:w="0" w:type="auto"/>
          </w:tcPr>
          <w:p w14:paraId="560C712D" w14:textId="531536CE" w:rsidR="001A010A" w:rsidRDefault="001A010A" w:rsidP="001A010A">
            <w:pPr>
              <w:pStyle w:val="Tabletext"/>
            </w:pPr>
            <w:r>
              <w:t>Montant UE programmé (</w:t>
            </w:r>
            <w:r w:rsidR="00BC752B">
              <w:t>07/2021</w:t>
            </w:r>
            <w:r>
              <w:t>)</w:t>
            </w:r>
          </w:p>
        </w:tc>
        <w:tc>
          <w:tcPr>
            <w:tcW w:w="0" w:type="auto"/>
          </w:tcPr>
          <w:p w14:paraId="0ADE3BE4" w14:textId="77777777" w:rsidR="00BC752B" w:rsidRDefault="00443EA5" w:rsidP="001A010A">
            <w:pPr>
              <w:pStyle w:val="Tabletext"/>
              <w:rPr>
                <w:b w:val="0"/>
              </w:rPr>
            </w:pPr>
            <w:r>
              <w:t>%</w:t>
            </w:r>
          </w:p>
          <w:p w14:paraId="03498F35" w14:textId="77777777" w:rsidR="00BC752B" w:rsidRDefault="00BC752B" w:rsidP="001A010A">
            <w:pPr>
              <w:pStyle w:val="Tabletext"/>
              <w:rPr>
                <w:b w:val="0"/>
              </w:rPr>
            </w:pPr>
            <w:r>
              <w:t>Programmé/</w:t>
            </w:r>
          </w:p>
          <w:p w14:paraId="51964F2C" w14:textId="35567DC5" w:rsidR="001A010A" w:rsidRDefault="00BC752B" w:rsidP="001A010A">
            <w:pPr>
              <w:pStyle w:val="Tabletext"/>
            </w:pPr>
            <w:r>
              <w:t>maquetté</w:t>
            </w:r>
          </w:p>
        </w:tc>
      </w:tr>
      <w:tr w:rsidR="001A010A" w14:paraId="1F95BFD4" w14:textId="0F1F501D" w:rsidTr="00BC752B">
        <w:trPr>
          <w:cnfStyle w:val="000000100000" w:firstRow="0" w:lastRow="0" w:firstColumn="0" w:lastColumn="0" w:oddVBand="0" w:evenVBand="0" w:oddHBand="1" w:evenHBand="0" w:firstRowFirstColumn="0" w:firstRowLastColumn="0" w:lastRowFirstColumn="0" w:lastRowLastColumn="0"/>
        </w:trPr>
        <w:tc>
          <w:tcPr>
            <w:tcW w:w="0" w:type="auto"/>
          </w:tcPr>
          <w:p w14:paraId="64E24359" w14:textId="0BB41536" w:rsidR="001A010A" w:rsidRDefault="001A010A" w:rsidP="001A010A">
            <w:pPr>
              <w:pStyle w:val="Tabletext"/>
            </w:pPr>
            <w:proofErr w:type="spellStart"/>
            <w:r>
              <w:t>NPdC</w:t>
            </w:r>
            <w:proofErr w:type="spellEnd"/>
          </w:p>
        </w:tc>
        <w:tc>
          <w:tcPr>
            <w:tcW w:w="0" w:type="auto"/>
          </w:tcPr>
          <w:p w14:paraId="573E9435" w14:textId="6DA43884" w:rsidR="001A010A" w:rsidRDefault="00BC752B" w:rsidP="001A010A">
            <w:pPr>
              <w:pStyle w:val="Tabletext"/>
            </w:pPr>
            <w:r>
              <w:t>60M</w:t>
            </w:r>
            <w:r w:rsidR="009F22D3">
              <w:t>€</w:t>
            </w:r>
          </w:p>
        </w:tc>
        <w:tc>
          <w:tcPr>
            <w:tcW w:w="0" w:type="auto"/>
          </w:tcPr>
          <w:p w14:paraId="16C89E28" w14:textId="3221C29C" w:rsidR="009F22D3" w:rsidRDefault="00BC752B" w:rsidP="001A010A">
            <w:pPr>
              <w:pStyle w:val="Tabletext"/>
            </w:pPr>
            <w:r>
              <w:t>125M€</w:t>
            </w:r>
          </w:p>
        </w:tc>
        <w:tc>
          <w:tcPr>
            <w:tcW w:w="0" w:type="auto"/>
          </w:tcPr>
          <w:p w14:paraId="6461FFA8" w14:textId="2938E56B" w:rsidR="001A010A" w:rsidRDefault="002E7E33" w:rsidP="001A010A">
            <w:pPr>
              <w:pStyle w:val="Tabletext"/>
            </w:pPr>
            <w:r>
              <w:t>208</w:t>
            </w:r>
            <w:r w:rsidR="00B06DA3">
              <w:t>%</w:t>
            </w:r>
          </w:p>
        </w:tc>
        <w:tc>
          <w:tcPr>
            <w:tcW w:w="0" w:type="auto"/>
          </w:tcPr>
          <w:p w14:paraId="29682366" w14:textId="419EB89A" w:rsidR="001A010A" w:rsidRDefault="00BC752B" w:rsidP="001A010A">
            <w:pPr>
              <w:pStyle w:val="Tabletext"/>
            </w:pPr>
            <w:r>
              <w:t>36M</w:t>
            </w:r>
            <w:r w:rsidR="00443EA5">
              <w:t>€</w:t>
            </w:r>
          </w:p>
        </w:tc>
        <w:tc>
          <w:tcPr>
            <w:tcW w:w="0" w:type="auto"/>
          </w:tcPr>
          <w:p w14:paraId="1B22C2BE" w14:textId="7BC72579" w:rsidR="001A010A" w:rsidRDefault="00BC752B" w:rsidP="001A010A">
            <w:pPr>
              <w:pStyle w:val="Tabletext"/>
            </w:pPr>
            <w:r>
              <w:t>47M</w:t>
            </w:r>
            <w:r w:rsidR="009F22D3">
              <w:t>€</w:t>
            </w:r>
          </w:p>
        </w:tc>
        <w:tc>
          <w:tcPr>
            <w:tcW w:w="0" w:type="auto"/>
          </w:tcPr>
          <w:p w14:paraId="3F513377" w14:textId="05D66849" w:rsidR="001A010A" w:rsidRDefault="00AB5527" w:rsidP="001A010A">
            <w:pPr>
              <w:pStyle w:val="Tabletext"/>
            </w:pPr>
            <w:r>
              <w:t>130</w:t>
            </w:r>
            <w:r w:rsidR="004977F1">
              <w:t>%</w:t>
            </w:r>
          </w:p>
        </w:tc>
      </w:tr>
      <w:tr w:rsidR="001A010A" w14:paraId="2D656205" w14:textId="336C2F20" w:rsidTr="00BC752B">
        <w:trPr>
          <w:cnfStyle w:val="000000010000" w:firstRow="0" w:lastRow="0" w:firstColumn="0" w:lastColumn="0" w:oddVBand="0" w:evenVBand="0" w:oddHBand="0" w:evenHBand="1" w:firstRowFirstColumn="0" w:firstRowLastColumn="0" w:lastRowFirstColumn="0" w:lastRowLastColumn="0"/>
        </w:trPr>
        <w:tc>
          <w:tcPr>
            <w:tcW w:w="0" w:type="auto"/>
          </w:tcPr>
          <w:p w14:paraId="1265A840" w14:textId="29529DB6" w:rsidR="001A010A" w:rsidRDefault="001A010A" w:rsidP="001A010A">
            <w:pPr>
              <w:pStyle w:val="Tabletext"/>
            </w:pPr>
            <w:r>
              <w:t>Picardie</w:t>
            </w:r>
          </w:p>
        </w:tc>
        <w:tc>
          <w:tcPr>
            <w:tcW w:w="0" w:type="auto"/>
          </w:tcPr>
          <w:p w14:paraId="60F45F9D" w14:textId="7CCD0CC5" w:rsidR="001A010A" w:rsidRDefault="009F22D3" w:rsidP="001A010A">
            <w:pPr>
              <w:pStyle w:val="Tabletext"/>
            </w:pPr>
            <w:r>
              <w:t>52M€</w:t>
            </w:r>
          </w:p>
        </w:tc>
        <w:tc>
          <w:tcPr>
            <w:tcW w:w="0" w:type="auto"/>
          </w:tcPr>
          <w:p w14:paraId="1A04E500" w14:textId="14813C5F" w:rsidR="001A010A" w:rsidRDefault="00735AD4" w:rsidP="001A010A">
            <w:pPr>
              <w:pStyle w:val="Tabletext"/>
            </w:pPr>
            <w:r>
              <w:t>176</w:t>
            </w:r>
            <w:r w:rsidR="00BC752B">
              <w:t>M€</w:t>
            </w:r>
          </w:p>
        </w:tc>
        <w:tc>
          <w:tcPr>
            <w:tcW w:w="0" w:type="auto"/>
          </w:tcPr>
          <w:p w14:paraId="13ABE6FC" w14:textId="24860782" w:rsidR="001A010A" w:rsidRDefault="008D1BE0" w:rsidP="001A010A">
            <w:pPr>
              <w:pStyle w:val="Tabletext"/>
            </w:pPr>
            <w:r>
              <w:t>3</w:t>
            </w:r>
            <w:r w:rsidR="00BC752B">
              <w:t>3</w:t>
            </w:r>
            <w:r>
              <w:t>8</w:t>
            </w:r>
            <w:r w:rsidR="00B06DA3">
              <w:t>%</w:t>
            </w:r>
          </w:p>
        </w:tc>
        <w:tc>
          <w:tcPr>
            <w:tcW w:w="0" w:type="auto"/>
          </w:tcPr>
          <w:p w14:paraId="48D1F81B" w14:textId="679AB38D" w:rsidR="001A010A" w:rsidRDefault="00443EA5" w:rsidP="001A010A">
            <w:pPr>
              <w:pStyle w:val="Tabletext"/>
            </w:pPr>
            <w:r>
              <w:t>13M€</w:t>
            </w:r>
          </w:p>
        </w:tc>
        <w:tc>
          <w:tcPr>
            <w:tcW w:w="0" w:type="auto"/>
          </w:tcPr>
          <w:p w14:paraId="3A280C1C" w14:textId="3A95A672" w:rsidR="001A010A" w:rsidRDefault="00735AD4" w:rsidP="001A010A">
            <w:pPr>
              <w:pStyle w:val="Tabletext"/>
            </w:pPr>
            <w:r>
              <w:t>2</w:t>
            </w:r>
            <w:r w:rsidR="00BC752B">
              <w:t>6M</w:t>
            </w:r>
            <w:r w:rsidR="009F22D3">
              <w:t>€</w:t>
            </w:r>
          </w:p>
        </w:tc>
        <w:tc>
          <w:tcPr>
            <w:tcW w:w="0" w:type="auto"/>
          </w:tcPr>
          <w:p w14:paraId="5858B4A4" w14:textId="13381A2D" w:rsidR="001A010A" w:rsidRDefault="002E7E33" w:rsidP="001A010A">
            <w:pPr>
              <w:pStyle w:val="Tabletext"/>
            </w:pPr>
            <w:r>
              <w:t>200</w:t>
            </w:r>
            <w:r w:rsidR="004977F1">
              <w:t>%</w:t>
            </w:r>
          </w:p>
        </w:tc>
      </w:tr>
      <w:tr w:rsidR="00443EA5" w14:paraId="05966D47" w14:textId="77777777" w:rsidTr="00BC752B">
        <w:trPr>
          <w:cnfStyle w:val="000000100000" w:firstRow="0" w:lastRow="0" w:firstColumn="0" w:lastColumn="0" w:oddVBand="0" w:evenVBand="0" w:oddHBand="1" w:evenHBand="0" w:firstRowFirstColumn="0" w:firstRowLastColumn="0" w:lastRowFirstColumn="0" w:lastRowLastColumn="0"/>
        </w:trPr>
        <w:tc>
          <w:tcPr>
            <w:tcW w:w="0" w:type="auto"/>
          </w:tcPr>
          <w:p w14:paraId="5659AABF" w14:textId="61A57985" w:rsidR="00443EA5" w:rsidRDefault="00443EA5" w:rsidP="001A010A">
            <w:pPr>
              <w:pStyle w:val="Tabletext"/>
            </w:pPr>
            <w:r>
              <w:t xml:space="preserve">Total </w:t>
            </w:r>
            <w:proofErr w:type="spellStart"/>
            <w:r>
              <w:t>HdF</w:t>
            </w:r>
            <w:proofErr w:type="spellEnd"/>
          </w:p>
        </w:tc>
        <w:tc>
          <w:tcPr>
            <w:tcW w:w="0" w:type="auto"/>
          </w:tcPr>
          <w:p w14:paraId="48F848CA" w14:textId="377DE2AF" w:rsidR="00443EA5" w:rsidRDefault="002E7E33" w:rsidP="001A010A">
            <w:pPr>
              <w:pStyle w:val="Tabletext"/>
            </w:pPr>
            <w:r>
              <w:t>11</w:t>
            </w:r>
            <w:r w:rsidR="00BC752B">
              <w:t>2M€</w:t>
            </w:r>
          </w:p>
        </w:tc>
        <w:tc>
          <w:tcPr>
            <w:tcW w:w="0" w:type="auto"/>
          </w:tcPr>
          <w:p w14:paraId="780D3A55" w14:textId="4298A538" w:rsidR="00443EA5" w:rsidRDefault="002E7E33" w:rsidP="001A010A">
            <w:pPr>
              <w:pStyle w:val="Tabletext"/>
            </w:pPr>
            <w:r>
              <w:t>301</w:t>
            </w:r>
            <w:r w:rsidR="00BC752B">
              <w:t>M€</w:t>
            </w:r>
          </w:p>
        </w:tc>
        <w:tc>
          <w:tcPr>
            <w:tcW w:w="0" w:type="auto"/>
          </w:tcPr>
          <w:p w14:paraId="2E83BDA0" w14:textId="439A8FD4" w:rsidR="00443EA5" w:rsidRDefault="008D1BE0" w:rsidP="001A010A">
            <w:pPr>
              <w:pStyle w:val="Tabletext"/>
            </w:pPr>
            <w:r>
              <w:t>269</w:t>
            </w:r>
            <w:r w:rsidR="001831DB">
              <w:t>%</w:t>
            </w:r>
          </w:p>
        </w:tc>
        <w:tc>
          <w:tcPr>
            <w:tcW w:w="0" w:type="auto"/>
          </w:tcPr>
          <w:p w14:paraId="0F0E6896" w14:textId="14AC8380" w:rsidR="00443EA5" w:rsidRDefault="00774995" w:rsidP="001A010A">
            <w:pPr>
              <w:pStyle w:val="Tabletext"/>
            </w:pPr>
            <w:r>
              <w:t>49</w:t>
            </w:r>
            <w:r w:rsidR="00BC752B">
              <w:t>M</w:t>
            </w:r>
            <w:r w:rsidR="00443EA5">
              <w:t>€</w:t>
            </w:r>
          </w:p>
        </w:tc>
        <w:tc>
          <w:tcPr>
            <w:tcW w:w="0" w:type="auto"/>
          </w:tcPr>
          <w:p w14:paraId="36CF0494" w14:textId="7803D104" w:rsidR="00443EA5" w:rsidRDefault="00774995" w:rsidP="001A010A">
            <w:pPr>
              <w:pStyle w:val="Tabletext"/>
            </w:pPr>
            <w:r>
              <w:t>73</w:t>
            </w:r>
            <w:r w:rsidR="00BC752B">
              <w:t>M</w:t>
            </w:r>
            <w:r w:rsidR="00443EA5">
              <w:t>€</w:t>
            </w:r>
          </w:p>
        </w:tc>
        <w:tc>
          <w:tcPr>
            <w:tcW w:w="0" w:type="auto"/>
          </w:tcPr>
          <w:p w14:paraId="3EEF838C" w14:textId="2E868EC3" w:rsidR="00443EA5" w:rsidRDefault="00774995" w:rsidP="001A010A">
            <w:pPr>
              <w:pStyle w:val="Tabletext"/>
            </w:pPr>
            <w:r>
              <w:t>149</w:t>
            </w:r>
            <w:r w:rsidR="004977F1">
              <w:t>%</w:t>
            </w:r>
          </w:p>
        </w:tc>
      </w:tr>
    </w:tbl>
    <w:p w14:paraId="09B86FD1" w14:textId="77777777" w:rsidR="000A6657" w:rsidRPr="00A77C5F" w:rsidRDefault="000A6657" w:rsidP="00F94BC4">
      <w:pPr>
        <w:pStyle w:val="BodyText"/>
        <w:keepNext/>
        <w:keepLines/>
      </w:pPr>
    </w:p>
    <w:p w14:paraId="4025160C" w14:textId="49C934B9" w:rsidR="009162E9" w:rsidRPr="009162E9" w:rsidRDefault="00CD56A9" w:rsidP="00F94BC4">
      <w:pPr>
        <w:pStyle w:val="BodyText"/>
        <w:keepNext/>
        <w:keepLines/>
      </w:pPr>
      <w:r>
        <w:rPr>
          <w:b/>
        </w:rPr>
        <w:t>Certaines insti</w:t>
      </w:r>
      <w:r w:rsidR="00CA12FE">
        <w:rPr>
          <w:b/>
        </w:rPr>
        <w:t>tutions financières publiques</w:t>
      </w:r>
      <w:r>
        <w:rPr>
          <w:b/>
        </w:rPr>
        <w:t xml:space="preserve"> </w:t>
      </w:r>
      <w:r w:rsidR="00CC53B6">
        <w:rPr>
          <w:b/>
        </w:rPr>
        <w:t>interviennent fortement au niveau de toutes les phases des projets</w:t>
      </w:r>
      <w:r w:rsidR="001617C3">
        <w:rPr>
          <w:b/>
        </w:rPr>
        <w:t xml:space="preserve"> </w:t>
      </w:r>
      <w:r w:rsidR="00AA49C1" w:rsidRPr="00AA49C1">
        <w:rPr>
          <w:bCs/>
        </w:rPr>
        <w:t>(</w:t>
      </w:r>
      <w:r w:rsidR="001617C3" w:rsidRPr="00AA49C1">
        <w:t>amont</w:t>
      </w:r>
      <w:r w:rsidR="00AA49C1" w:rsidRPr="00AA49C1">
        <w:rPr>
          <w:bCs/>
        </w:rPr>
        <w:t xml:space="preserve"> et aval</w:t>
      </w:r>
      <w:r w:rsidR="001617C3" w:rsidRPr="00AA49C1">
        <w:rPr>
          <w:bCs/>
        </w:rPr>
        <w:t>)</w:t>
      </w:r>
      <w:r w:rsidR="00CC53B6" w:rsidRPr="00AA49C1">
        <w:rPr>
          <w:bCs/>
        </w:rPr>
        <w:t>.</w:t>
      </w:r>
      <w:r w:rsidR="00CC53B6">
        <w:rPr>
          <w:b/>
        </w:rPr>
        <w:t xml:space="preserve"> </w:t>
      </w:r>
      <w:r w:rsidR="00CC53B6" w:rsidRPr="00CC53B6">
        <w:rPr>
          <w:bCs/>
        </w:rPr>
        <w:t xml:space="preserve">C’est notamment le cas de Bpifrance et </w:t>
      </w:r>
      <w:r w:rsidR="00112322">
        <w:rPr>
          <w:bCs/>
        </w:rPr>
        <w:t xml:space="preserve">de </w:t>
      </w:r>
      <w:r w:rsidR="00CC53B6" w:rsidRPr="00CC53B6">
        <w:rPr>
          <w:bCs/>
        </w:rPr>
        <w:t xml:space="preserve">la Banque des </w:t>
      </w:r>
      <w:r w:rsidR="00112322">
        <w:rPr>
          <w:bCs/>
        </w:rPr>
        <w:t>T</w:t>
      </w:r>
      <w:r w:rsidR="00CC53B6" w:rsidRPr="00CC53B6">
        <w:rPr>
          <w:bCs/>
        </w:rPr>
        <w:t>erritoires.</w:t>
      </w:r>
      <w:r w:rsidR="00CC53B6">
        <w:rPr>
          <w:b/>
        </w:rPr>
        <w:t xml:space="preserve"> </w:t>
      </w:r>
      <w:r w:rsidR="00CC53B6" w:rsidRPr="00CC53B6">
        <w:rPr>
          <w:bCs/>
        </w:rPr>
        <w:t xml:space="preserve">En revanche, </w:t>
      </w:r>
      <w:r w:rsidR="00CC53B6" w:rsidRPr="00DD3EE3">
        <w:rPr>
          <w:b/>
        </w:rPr>
        <w:t>l</w:t>
      </w:r>
      <w:r w:rsidR="00DF1984" w:rsidRPr="00DD3EE3">
        <w:rPr>
          <w:b/>
        </w:rPr>
        <w:t xml:space="preserve">’investissement privé </w:t>
      </w:r>
      <w:r w:rsidR="00CC53B6" w:rsidRPr="00DD3EE3">
        <w:rPr>
          <w:b/>
        </w:rPr>
        <w:t>n’</w:t>
      </w:r>
      <w:r w:rsidR="00DF1984" w:rsidRPr="00DD3EE3">
        <w:rPr>
          <w:b/>
        </w:rPr>
        <w:t xml:space="preserve">intervient principalement </w:t>
      </w:r>
      <w:r w:rsidR="00CC53B6" w:rsidRPr="00DD3EE3">
        <w:rPr>
          <w:b/>
        </w:rPr>
        <w:t>qu’</w:t>
      </w:r>
      <w:r w:rsidR="00DF1984" w:rsidRPr="00DD3EE3">
        <w:rPr>
          <w:b/>
        </w:rPr>
        <w:t>en phase aval</w:t>
      </w:r>
      <w:r w:rsidR="000639BD">
        <w:t xml:space="preserve">. </w:t>
      </w:r>
      <w:r w:rsidR="00CC53B6">
        <w:rPr>
          <w:bCs/>
        </w:rPr>
        <w:t xml:space="preserve">A noter également que les </w:t>
      </w:r>
      <w:r w:rsidR="005A700C">
        <w:t>citoyens</w:t>
      </w:r>
      <w:r w:rsidR="00F94BC4" w:rsidRPr="00F94BC4">
        <w:t xml:space="preserve"> s’impliquent de plus en plus fortement dans les projets d’énergies renouvelables à travers l’apport en capital, le financement de la dette. </w:t>
      </w:r>
      <w:r w:rsidR="005A700C">
        <w:t xml:space="preserve"> Mais ce</w:t>
      </w:r>
      <w:r w:rsidR="00A3587C">
        <w:t xml:space="preserve">tte mobilisation reste </w:t>
      </w:r>
      <w:r w:rsidR="00A72A28">
        <w:t xml:space="preserve">en dessous </w:t>
      </w:r>
      <w:r w:rsidR="00021540">
        <w:t xml:space="preserve">des </w:t>
      </w:r>
      <w:r w:rsidR="00A42B1F">
        <w:t>besoins de</w:t>
      </w:r>
      <w:r w:rsidR="00A72A28">
        <w:t xml:space="preserve"> </w:t>
      </w:r>
      <w:r w:rsidR="00446166">
        <w:t>massification des</w:t>
      </w:r>
      <w:r w:rsidR="009162E9">
        <w:t xml:space="preserve"> projets d’énergies renouvelables sur le territoire.</w:t>
      </w:r>
    </w:p>
    <w:p w14:paraId="659F18FA" w14:textId="6E653617" w:rsidR="003864A8" w:rsidRDefault="003864A8" w:rsidP="001730B2">
      <w:pPr>
        <w:pStyle w:val="Caption"/>
        <w:keepLines/>
        <w:ind w:left="0" w:firstLine="0"/>
      </w:pPr>
      <w:bookmarkStart w:id="55" w:name="_Toc88842096"/>
      <w:r>
        <w:t xml:space="preserve">Tableau </w:t>
      </w:r>
      <w:r>
        <w:fldChar w:fldCharType="begin"/>
      </w:r>
      <w:r>
        <w:instrText xml:space="preserve"> SEQ Tableau \* ARABIC </w:instrText>
      </w:r>
      <w:r>
        <w:fldChar w:fldCharType="separate"/>
      </w:r>
      <w:r w:rsidR="009F0282">
        <w:rPr>
          <w:noProof/>
        </w:rPr>
        <w:t>4</w:t>
      </w:r>
      <w:r>
        <w:fldChar w:fldCharType="end"/>
      </w:r>
      <w:r>
        <w:t xml:space="preserve"> AFOM offre de financement des </w:t>
      </w:r>
      <w:bookmarkEnd w:id="53"/>
      <w:bookmarkEnd w:id="54"/>
      <w:proofErr w:type="spellStart"/>
      <w:r w:rsidR="0064198B">
        <w:t>EnR</w:t>
      </w:r>
      <w:bookmarkEnd w:id="55"/>
      <w:proofErr w:type="spellEnd"/>
    </w:p>
    <w:tbl>
      <w:tblPr>
        <w:tblStyle w:val="TechnopolisLight"/>
        <w:tblW w:w="0" w:type="auto"/>
        <w:tblLook w:val="0480" w:firstRow="0" w:lastRow="0" w:firstColumn="1" w:lastColumn="0" w:noHBand="0" w:noVBand="1"/>
      </w:tblPr>
      <w:tblGrid>
        <w:gridCol w:w="4820"/>
        <w:gridCol w:w="4242"/>
      </w:tblGrid>
      <w:tr w:rsidR="001730B2" w14:paraId="55A50F43" w14:textId="77777777" w:rsidTr="001730B2">
        <w:tc>
          <w:tcPr>
            <w:tcW w:w="4820" w:type="dxa"/>
          </w:tcPr>
          <w:p w14:paraId="25E10E7C" w14:textId="77777777" w:rsidR="001730B2" w:rsidRPr="001730B2" w:rsidRDefault="001730B2" w:rsidP="001730B2">
            <w:pPr>
              <w:pStyle w:val="Tabletext"/>
              <w:keepNext/>
              <w:keepLines/>
              <w:rPr>
                <w:b/>
                <w:bCs/>
              </w:rPr>
            </w:pPr>
            <w:r w:rsidRPr="001730B2">
              <w:rPr>
                <w:b/>
                <w:bCs/>
              </w:rPr>
              <w:t>Forces</w:t>
            </w:r>
          </w:p>
          <w:p w14:paraId="45F571EE" w14:textId="77777777" w:rsidR="001730B2" w:rsidRPr="00FA6FDF" w:rsidRDefault="001730B2" w:rsidP="001730B2">
            <w:pPr>
              <w:pStyle w:val="Tablebullet1"/>
              <w:keepNext/>
              <w:keepLines/>
            </w:pPr>
            <w:r>
              <w:t xml:space="preserve">Stratégie régionale de développement basée sur le déploiement des </w:t>
            </w:r>
            <w:proofErr w:type="spellStart"/>
            <w:r>
              <w:t>EnR</w:t>
            </w:r>
            <w:proofErr w:type="spellEnd"/>
          </w:p>
          <w:p w14:paraId="74208ADA" w14:textId="77777777" w:rsidR="001730B2" w:rsidRDefault="001730B2" w:rsidP="001730B2">
            <w:pPr>
              <w:pStyle w:val="Tablebullet1"/>
              <w:keepNext/>
              <w:keepLines/>
            </w:pPr>
            <w:r>
              <w:t>Offre de financement dense et variée en fonction des caractéristiques technologiques des projets</w:t>
            </w:r>
          </w:p>
          <w:p w14:paraId="1F7BD3C5" w14:textId="77777777" w:rsidR="001730B2" w:rsidRDefault="001730B2" w:rsidP="001730B2">
            <w:pPr>
              <w:pStyle w:val="Tablebullet1"/>
              <w:keepNext/>
              <w:keepLines/>
            </w:pPr>
            <w:r>
              <w:t xml:space="preserve">Existence d’instruments de financement propres à la région qui sont dédiés à l’amplification des projets </w:t>
            </w:r>
            <w:proofErr w:type="spellStart"/>
            <w:r>
              <w:t>EnR</w:t>
            </w:r>
            <w:proofErr w:type="spellEnd"/>
          </w:p>
          <w:p w14:paraId="6C77E8BB" w14:textId="77777777" w:rsidR="001730B2" w:rsidRDefault="001730B2" w:rsidP="001730B2">
            <w:pPr>
              <w:pStyle w:val="Tablebullet1"/>
              <w:keepNext/>
              <w:keepLines/>
            </w:pPr>
            <w:r>
              <w:t>Existence d’instruments de financements spécifiques aux projets d’investissement présentant un enjeu territorial</w:t>
            </w:r>
          </w:p>
          <w:p w14:paraId="4F2848AA" w14:textId="77777777" w:rsidR="001730B2" w:rsidRPr="00FA6FDF" w:rsidRDefault="001730B2" w:rsidP="001730B2">
            <w:pPr>
              <w:pStyle w:val="Tablebullet1"/>
              <w:keepNext/>
              <w:keepLines/>
            </w:pPr>
            <w:r>
              <w:t xml:space="preserve">Forte implication des citoyens dans le financement des projets de territoires </w:t>
            </w:r>
          </w:p>
        </w:tc>
        <w:tc>
          <w:tcPr>
            <w:tcW w:w="4242" w:type="dxa"/>
          </w:tcPr>
          <w:p w14:paraId="57788FFA" w14:textId="77777777" w:rsidR="001730B2" w:rsidRPr="001730B2" w:rsidRDefault="001730B2" w:rsidP="001730B2">
            <w:pPr>
              <w:pStyle w:val="Tabletext"/>
              <w:keepNext/>
              <w:keepLines/>
              <w:rPr>
                <w:b/>
                <w:bCs/>
              </w:rPr>
            </w:pPr>
            <w:r w:rsidRPr="001730B2">
              <w:rPr>
                <w:b/>
                <w:bCs/>
              </w:rPr>
              <w:t>Faiblesses</w:t>
            </w:r>
          </w:p>
          <w:p w14:paraId="47384B14" w14:textId="0EF59AFA" w:rsidR="001730B2" w:rsidRPr="00234CCB" w:rsidRDefault="001730B2" w:rsidP="001730B2">
            <w:pPr>
              <w:pStyle w:val="Tablebullet1"/>
              <w:keepNext/>
              <w:keepLines/>
            </w:pPr>
            <w:r>
              <w:t>Faible nombre de</w:t>
            </w:r>
            <w:r w:rsidRPr="00234CCB">
              <w:t xml:space="preserve"> projets </w:t>
            </w:r>
            <w:proofErr w:type="spellStart"/>
            <w:r w:rsidRPr="00234CCB">
              <w:t>EnR</w:t>
            </w:r>
            <w:proofErr w:type="spellEnd"/>
            <w:r w:rsidRPr="00234CCB">
              <w:t xml:space="preserve"> portés par les collectivités, les citoyens et les entreprises locales</w:t>
            </w:r>
          </w:p>
        </w:tc>
      </w:tr>
      <w:tr w:rsidR="001730B2" w14:paraId="1F29A181" w14:textId="77777777" w:rsidTr="001730B2">
        <w:tc>
          <w:tcPr>
            <w:tcW w:w="4820" w:type="dxa"/>
          </w:tcPr>
          <w:p w14:paraId="384764BE" w14:textId="77777777" w:rsidR="001730B2" w:rsidRPr="001730B2" w:rsidRDefault="001730B2" w:rsidP="001730B2">
            <w:pPr>
              <w:pStyle w:val="Tabletext"/>
              <w:keepNext/>
              <w:keepLines/>
              <w:rPr>
                <w:b/>
                <w:bCs/>
              </w:rPr>
            </w:pPr>
            <w:r w:rsidRPr="001730B2">
              <w:rPr>
                <w:b/>
                <w:bCs/>
              </w:rPr>
              <w:t>Opportunités</w:t>
            </w:r>
          </w:p>
          <w:p w14:paraId="25F099FA" w14:textId="090E23B1" w:rsidR="001730B2" w:rsidRDefault="001730B2" w:rsidP="001730B2">
            <w:pPr>
              <w:pStyle w:val="Tablebullet1"/>
              <w:keepNext/>
              <w:keepLines/>
            </w:pPr>
            <w:r w:rsidRPr="00FA6FDF">
              <w:t>Orientations stratégiques et nationales a</w:t>
            </w:r>
            <w:r>
              <w:t xml:space="preserve">mbitieuses en matière du développement des </w:t>
            </w:r>
            <w:proofErr w:type="spellStart"/>
            <w:r>
              <w:t>EnR</w:t>
            </w:r>
            <w:proofErr w:type="spellEnd"/>
            <w:r w:rsidR="00C23CAE">
              <w:t xml:space="preserve"> y compris France Relance</w:t>
            </w:r>
          </w:p>
          <w:p w14:paraId="1A4FD434" w14:textId="77777777" w:rsidR="001730B2" w:rsidRDefault="001730B2" w:rsidP="001730B2">
            <w:pPr>
              <w:pStyle w:val="Tablebullet1"/>
              <w:keepNext/>
              <w:keepLines/>
            </w:pPr>
            <w:r>
              <w:t>Existence d’une multitude de soutien au niveau européen et national pour les investissements dans les projets territoriaux</w:t>
            </w:r>
          </w:p>
          <w:p w14:paraId="038C9434" w14:textId="77777777" w:rsidR="001730B2" w:rsidRPr="00FA6FDF" w:rsidRDefault="001730B2" w:rsidP="001730B2">
            <w:pPr>
              <w:pStyle w:val="Tabletext"/>
              <w:keepNext/>
              <w:keepLines/>
            </w:pPr>
          </w:p>
        </w:tc>
        <w:tc>
          <w:tcPr>
            <w:tcW w:w="4242" w:type="dxa"/>
          </w:tcPr>
          <w:p w14:paraId="431E430A" w14:textId="77777777" w:rsidR="001730B2" w:rsidRPr="001730B2" w:rsidRDefault="001730B2" w:rsidP="001730B2">
            <w:pPr>
              <w:pStyle w:val="Tabletext"/>
              <w:keepNext/>
              <w:keepLines/>
              <w:rPr>
                <w:b/>
                <w:bCs/>
              </w:rPr>
            </w:pPr>
            <w:r w:rsidRPr="001730B2">
              <w:rPr>
                <w:b/>
                <w:bCs/>
              </w:rPr>
              <w:t xml:space="preserve">Menaces </w:t>
            </w:r>
          </w:p>
          <w:p w14:paraId="7AFEC0A7" w14:textId="27AFE9F1" w:rsidR="001730B2" w:rsidRDefault="001730B2" w:rsidP="001730B2">
            <w:pPr>
              <w:pStyle w:val="Tablebullet1"/>
              <w:keepNext/>
              <w:keepLines/>
            </w:pPr>
            <w:r w:rsidRPr="00234CCB">
              <w:t>Évolutions règlementaires des dispositifs n</w:t>
            </w:r>
            <w:r>
              <w:t>ationaux de soutien à certaines filières (PV, méthanisation) et aux projets participatifs</w:t>
            </w:r>
          </w:p>
          <w:p w14:paraId="1A31C7B2" w14:textId="77777777" w:rsidR="001730B2" w:rsidRPr="00234CCB" w:rsidRDefault="001730B2" w:rsidP="001730B2">
            <w:pPr>
              <w:pStyle w:val="Tablebullet1"/>
              <w:keepNext/>
              <w:keepLines/>
            </w:pPr>
            <w:r>
              <w:t>Faible influence réelle des citoyens dans la gouvernance des projets</w:t>
            </w:r>
          </w:p>
          <w:p w14:paraId="02C6C96A" w14:textId="77777777" w:rsidR="001730B2" w:rsidRPr="00234CCB" w:rsidRDefault="001730B2" w:rsidP="001730B2">
            <w:pPr>
              <w:pStyle w:val="Tabletext"/>
              <w:keepNext/>
              <w:keepLines/>
            </w:pPr>
          </w:p>
        </w:tc>
      </w:tr>
    </w:tbl>
    <w:p w14:paraId="61D1C173" w14:textId="5FBE4A8E" w:rsidR="0032338D" w:rsidRDefault="0032338D" w:rsidP="00E72DF0">
      <w:pPr>
        <w:pStyle w:val="BodyText"/>
      </w:pPr>
    </w:p>
    <w:p w14:paraId="690024DC" w14:textId="77777777" w:rsidR="0064198B" w:rsidRDefault="0064198B">
      <w:r>
        <w:br w:type="page"/>
      </w:r>
    </w:p>
    <w:p w14:paraId="3E9D0F1F" w14:textId="1529C99F" w:rsidR="0064198B" w:rsidRDefault="0064198B" w:rsidP="00536470">
      <w:pPr>
        <w:pStyle w:val="Heading2"/>
      </w:pPr>
      <w:bookmarkStart w:id="56" w:name="_Toc93390270"/>
      <w:r>
        <w:t>Financement de la rénovation énergétique des bâtiments</w:t>
      </w:r>
      <w:bookmarkEnd w:id="56"/>
    </w:p>
    <w:tbl>
      <w:tblPr>
        <w:tblStyle w:val="TableGrid"/>
        <w:tblW w:w="0" w:type="auto"/>
        <w:tblBorders>
          <w:top w:val="single" w:sz="4" w:space="0" w:color="C73C3A" w:themeColor="accent1"/>
          <w:left w:val="single" w:sz="4" w:space="0" w:color="C73C3A" w:themeColor="accent1"/>
          <w:bottom w:val="single" w:sz="4" w:space="0" w:color="C73C3A" w:themeColor="accent1"/>
          <w:right w:val="single" w:sz="4" w:space="0" w:color="C73C3A" w:themeColor="accent1"/>
          <w:insideH w:val="single" w:sz="4" w:space="0" w:color="C73C3A" w:themeColor="accent1"/>
          <w:insideV w:val="single" w:sz="4" w:space="0" w:color="C73C3A" w:themeColor="accent1"/>
        </w:tblBorders>
        <w:tblLook w:val="04A0" w:firstRow="1" w:lastRow="0" w:firstColumn="1" w:lastColumn="0" w:noHBand="0" w:noVBand="1"/>
      </w:tblPr>
      <w:tblGrid>
        <w:gridCol w:w="9062"/>
      </w:tblGrid>
      <w:tr w:rsidR="0064198B" w14:paraId="436157A8" w14:textId="77777777" w:rsidTr="00D70F6D">
        <w:trPr>
          <w:trHeight w:val="1035"/>
        </w:trPr>
        <w:tc>
          <w:tcPr>
            <w:tcW w:w="9062"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2A59E584" w14:textId="77777777" w:rsidR="0064198B" w:rsidRPr="00F85D52" w:rsidRDefault="0064198B" w:rsidP="00D70F6D">
            <w:pPr>
              <w:pStyle w:val="Tabletext"/>
              <w:rPr>
                <w:b/>
              </w:rPr>
            </w:pPr>
            <w:r w:rsidRPr="00F85D52">
              <w:rPr>
                <w:b/>
              </w:rPr>
              <w:t>Points clefs à retenir</w:t>
            </w:r>
          </w:p>
          <w:p w14:paraId="3552737D" w14:textId="0D7C6095" w:rsidR="00511C56" w:rsidRDefault="00511C56" w:rsidP="00511C56">
            <w:pPr>
              <w:pStyle w:val="Tablebullet1"/>
            </w:pPr>
            <w:r>
              <w:t xml:space="preserve">En Région Hauts-de-France, l’offre de financement pour la rénovation énergétique des logements sociaux, du bâti tertiaire public et du bâti résidentiel privé s’appuie essentiellement sur les </w:t>
            </w:r>
            <w:r w:rsidRPr="005E7398">
              <w:rPr>
                <w:b/>
              </w:rPr>
              <w:t>subventions nationales</w:t>
            </w:r>
            <w:r>
              <w:t xml:space="preserve"> ;</w:t>
            </w:r>
          </w:p>
          <w:p w14:paraId="37255822" w14:textId="70DC5889" w:rsidR="00511C56" w:rsidRDefault="00511C56" w:rsidP="00511C56">
            <w:pPr>
              <w:pStyle w:val="Tablebullet1"/>
            </w:pPr>
            <w:r>
              <w:t xml:space="preserve">Les offres de </w:t>
            </w:r>
            <w:r w:rsidRPr="005E7398">
              <w:rPr>
                <w:b/>
              </w:rPr>
              <w:t>prêt à destination des bailleurs sociaux sont tous des dispositifs publics.</w:t>
            </w:r>
            <w:r>
              <w:t xml:space="preserve"> Par ailleurs, des dispositifs « innovants » se sont mis en place pour soutenir la rénovation énergétique du logement social ;</w:t>
            </w:r>
          </w:p>
          <w:p w14:paraId="2EB2D30A" w14:textId="097DD56D" w:rsidR="00511C56" w:rsidRDefault="00511C56" w:rsidP="00511C56">
            <w:pPr>
              <w:pStyle w:val="Tablebullet1"/>
            </w:pPr>
            <w:r>
              <w:t xml:space="preserve">La rénovation des bâtiments tertiaires publics est financée par des </w:t>
            </w:r>
            <w:r w:rsidRPr="008F0D6E">
              <w:rPr>
                <w:b/>
              </w:rPr>
              <w:t>dotations publiques spécifiques</w:t>
            </w:r>
            <w:r>
              <w:t xml:space="preserve"> et un accès facilité au </w:t>
            </w:r>
            <w:r w:rsidRPr="008F0D6E">
              <w:rPr>
                <w:b/>
              </w:rPr>
              <w:t>prêt bancaire</w:t>
            </w:r>
            <w:r>
              <w:t>. Des innovations sont en cours de développement autour de l’</w:t>
            </w:r>
            <w:proofErr w:type="spellStart"/>
            <w:r w:rsidRPr="00511C56">
              <w:rPr>
                <w:i/>
                <w:iCs/>
              </w:rPr>
              <w:t>intracting</w:t>
            </w:r>
            <w:proofErr w:type="spellEnd"/>
            <w:r w:rsidR="00F85D52">
              <w:rPr>
                <w:rStyle w:val="FootnoteReference"/>
                <w:i/>
                <w:iCs/>
              </w:rPr>
              <w:footnoteReference w:id="4"/>
            </w:r>
            <w:r>
              <w:t>, notamment par la Banque des Territoires ;</w:t>
            </w:r>
          </w:p>
          <w:p w14:paraId="2BC5CA22" w14:textId="079B47E3" w:rsidR="00511C56" w:rsidRDefault="00F85D52" w:rsidP="00511C56">
            <w:pPr>
              <w:pStyle w:val="Tablebullet1"/>
            </w:pPr>
            <w:r>
              <w:t>I</w:t>
            </w:r>
            <w:r w:rsidR="00511C56">
              <w:t xml:space="preserve">l existe une </w:t>
            </w:r>
            <w:r w:rsidR="00511C56" w:rsidRPr="00DE0905">
              <w:rPr>
                <w:b/>
              </w:rPr>
              <w:t>multitude d’outils nationaux</w:t>
            </w:r>
            <w:r w:rsidR="00511C56">
              <w:t xml:space="preserve"> de financement de la rénovation énergétique du bâti résidentiel privé. L’évolution constante des dispositifs, des dépenses éligibles et des conditions d’accès compliquent cependant leur compréhension et leur mobilisation par les propriétaires. Les plateformes d’information (anciens espaces info-énergie) et la mise en place du dispositif SARE permettront toutefois de pallier cette difficulté ;</w:t>
            </w:r>
          </w:p>
          <w:p w14:paraId="55C6B6D8" w14:textId="2611B370" w:rsidR="0064198B" w:rsidRPr="0059485A" w:rsidRDefault="00511C56" w:rsidP="00D70F6D">
            <w:pPr>
              <w:pStyle w:val="Tablebullet1"/>
            </w:pPr>
            <w:r>
              <w:t>L’offre de financement proposée au niveau régional ou local aux propriétaires et copropriétaires privés est limitée mais ciblée aux besoins de leurs territoires.</w:t>
            </w:r>
          </w:p>
        </w:tc>
      </w:tr>
    </w:tbl>
    <w:p w14:paraId="2117DCC4" w14:textId="77777777" w:rsidR="0064198B" w:rsidRDefault="0064198B" w:rsidP="00E72DF0">
      <w:pPr>
        <w:pStyle w:val="BodyText"/>
      </w:pPr>
    </w:p>
    <w:p w14:paraId="437A67CA" w14:textId="41A63A50" w:rsidR="006142D8" w:rsidRDefault="00A75B20" w:rsidP="00E72DF0">
      <w:pPr>
        <w:pStyle w:val="BodyText"/>
      </w:pPr>
      <w:r w:rsidRPr="00A75B20">
        <w:t>De nombreux mécanismes de financement existent et seront présentés ci-dessous selon les types de projets soutenus.</w:t>
      </w:r>
    </w:p>
    <w:p w14:paraId="1885870C" w14:textId="7883E1B9" w:rsidR="00301D48" w:rsidRDefault="00301D48" w:rsidP="00465424">
      <w:pPr>
        <w:pStyle w:val="Heading3"/>
      </w:pPr>
      <w:bookmarkStart w:id="57" w:name="_Ref75949435"/>
      <w:bookmarkStart w:id="58" w:name="_Toc93390271"/>
      <w:r>
        <w:t xml:space="preserve">Le </w:t>
      </w:r>
      <w:r w:rsidR="00465424">
        <w:t xml:space="preserve">financement du </w:t>
      </w:r>
      <w:r>
        <w:t>bâti tertiaire public</w:t>
      </w:r>
      <w:r w:rsidR="00465424">
        <w:t xml:space="preserve"> en Hauts-de-France</w:t>
      </w:r>
      <w:bookmarkEnd w:id="57"/>
      <w:bookmarkEnd w:id="58"/>
    </w:p>
    <w:p w14:paraId="14627065" w14:textId="308A0E1C" w:rsidR="00107B5C" w:rsidRDefault="00107B5C" w:rsidP="00107B5C">
      <w:pPr>
        <w:pStyle w:val="BodyText"/>
      </w:pPr>
      <w:r>
        <w:t xml:space="preserve">Dans le cadre de la rénovation de leurs bâtiments, les collectivités disposent de diverses solutions de financement. </w:t>
      </w:r>
      <w:r w:rsidRPr="005F6088">
        <w:t xml:space="preserve">Elles peuvent faire appel </w:t>
      </w:r>
      <w:r w:rsidR="005F6088" w:rsidRPr="005F6088">
        <w:t>au soutien</w:t>
      </w:r>
      <w:r w:rsidRPr="005F6088">
        <w:t xml:space="preserve"> de l’État, de la Région et d</w:t>
      </w:r>
      <w:r w:rsidR="005F6088" w:rsidRPr="005F6088">
        <w:t>e certains</w:t>
      </w:r>
      <w:r w:rsidRPr="005F6088">
        <w:t xml:space="preserve"> </w:t>
      </w:r>
      <w:r w:rsidR="00B00CF6">
        <w:t>d</w:t>
      </w:r>
      <w:r w:rsidRPr="005F6088">
        <w:t>épartement</w:t>
      </w:r>
      <w:r w:rsidR="00B00CF6">
        <w:t>s</w:t>
      </w:r>
      <w:r w:rsidRPr="005F6088">
        <w:t>, mais aussi de prêts bonifiés ou de montages auprès</w:t>
      </w:r>
      <w:r>
        <w:t xml:space="preserve"> des banques.</w:t>
      </w:r>
    </w:p>
    <w:p w14:paraId="1F7E990D" w14:textId="693DFF85" w:rsidR="00107B5C" w:rsidRDefault="00107B5C" w:rsidP="00107B5C">
      <w:pPr>
        <w:pStyle w:val="BodyText"/>
      </w:pPr>
      <w:r w:rsidRPr="005114FC">
        <w:rPr>
          <w:b/>
        </w:rPr>
        <w:t>La rénovation énergétique des bâtiments publics, de l’étude des besoins à la mise en œuvre des travaux, semble bien couverte en termes d</w:t>
      </w:r>
      <w:r w:rsidR="00C20C64">
        <w:rPr>
          <w:b/>
        </w:rPr>
        <w:t>’offre d</w:t>
      </w:r>
      <w:r w:rsidRPr="005114FC">
        <w:rPr>
          <w:b/>
        </w:rPr>
        <w:t>e financement. Toutefois la diversité des sources de financement disponibles et les différentes échelles des porteurs de ces sources peut être une complexité réglementaire difficile à gérer pour certaines collectivités</w:t>
      </w:r>
      <w:r w:rsidRPr="005114FC">
        <w:t>.</w:t>
      </w:r>
    </w:p>
    <w:p w14:paraId="56C250B4" w14:textId="57A31C29" w:rsidR="00107B5C" w:rsidRDefault="00151490" w:rsidP="00107B5C">
      <w:pPr>
        <w:pStyle w:val="BodyText"/>
      </w:pPr>
      <w:r>
        <w:t>Deux</w:t>
      </w:r>
      <w:r w:rsidR="00107B5C">
        <w:t xml:space="preserve"> </w:t>
      </w:r>
      <w:r w:rsidR="00107B5C">
        <w:rPr>
          <w:b/>
          <w:bCs/>
        </w:rPr>
        <w:t>mécanismes d’accompagnement</w:t>
      </w:r>
      <w:r w:rsidR="00107B5C">
        <w:t xml:space="preserve"> sont mis à la disposition des acteurs publics :</w:t>
      </w:r>
    </w:p>
    <w:p w14:paraId="779EE014" w14:textId="7FC58AC1" w:rsidR="00107B5C" w:rsidRDefault="00107B5C" w:rsidP="00107B5C">
      <w:pPr>
        <w:pStyle w:val="Caption"/>
      </w:pPr>
      <w:r>
        <w:t xml:space="preserve">Encadré </w:t>
      </w:r>
      <w:r>
        <w:fldChar w:fldCharType="begin"/>
      </w:r>
      <w:r>
        <w:instrText xml:space="preserve"> SEQ Encadré \* ARABIC </w:instrText>
      </w:r>
      <w:r>
        <w:fldChar w:fldCharType="separate"/>
      </w:r>
      <w:r w:rsidR="009F0282">
        <w:rPr>
          <w:noProof/>
        </w:rPr>
        <w:t>21</w:t>
      </w:r>
      <w:r>
        <w:fldChar w:fldCharType="end"/>
      </w:r>
      <w:r>
        <w:t xml:space="preserve"> Dispositifs d'accompagnement des acteurs publics dans la rénovation énergétique</w:t>
      </w:r>
    </w:p>
    <w:tbl>
      <w:tblPr>
        <w:tblStyle w:val="TableGrid"/>
        <w:tblW w:w="0" w:type="auto"/>
        <w:tblBorders>
          <w:top w:val="single" w:sz="4" w:space="0" w:color="C4C4C4" w:themeColor="background2" w:themeTint="99"/>
          <w:left w:val="single" w:sz="4" w:space="0" w:color="C4C4C4" w:themeColor="background2" w:themeTint="99"/>
          <w:bottom w:val="single" w:sz="4" w:space="0" w:color="C4C4C4" w:themeColor="background2" w:themeTint="99"/>
          <w:right w:val="single" w:sz="4" w:space="0" w:color="C4C4C4" w:themeColor="background2" w:themeTint="99"/>
          <w:insideH w:val="single" w:sz="4" w:space="0" w:color="C4C4C4" w:themeColor="background2" w:themeTint="99"/>
          <w:insideV w:val="single" w:sz="4" w:space="0" w:color="C4C4C4" w:themeColor="background2" w:themeTint="99"/>
        </w:tblBorders>
        <w:tblLook w:val="04A0" w:firstRow="1" w:lastRow="0" w:firstColumn="1" w:lastColumn="0" w:noHBand="0" w:noVBand="1"/>
      </w:tblPr>
      <w:tblGrid>
        <w:gridCol w:w="9062"/>
      </w:tblGrid>
      <w:tr w:rsidR="00107B5C" w:rsidRPr="006122FF" w14:paraId="56A6AC8E" w14:textId="77777777" w:rsidTr="00C66629">
        <w:tc>
          <w:tcPr>
            <w:tcW w:w="9062" w:type="dxa"/>
            <w:hideMark/>
          </w:tcPr>
          <w:p w14:paraId="2507658A" w14:textId="77777777" w:rsidR="00107B5C" w:rsidRPr="006122FF" w:rsidRDefault="00107B5C" w:rsidP="00B13A2D">
            <w:pPr>
              <w:pStyle w:val="Tablebullet1"/>
            </w:pPr>
            <w:r w:rsidRPr="006122FF">
              <w:rPr>
                <w:b/>
              </w:rPr>
              <w:t>La convention du programme d’Action des collectivités territoriales pour l’efficacité énergétique (ACTEE 2)</w:t>
            </w:r>
            <w:r w:rsidRPr="006122FF">
              <w:rPr>
                <w:rStyle w:val="FootnoteReference"/>
                <w:b/>
                <w:sz w:val="18"/>
                <w:szCs w:val="18"/>
              </w:rPr>
              <w:footnoteRef/>
            </w:r>
            <w:r w:rsidRPr="006122FF">
              <w:t> : en juillet 2020, le gouvernement a lancé un nouveau plan de rénovation énergétique des bâtiments publics doté d’une enveloppe de 100M€</w:t>
            </w:r>
            <w:r w:rsidRPr="006122FF">
              <w:rPr>
                <w:b/>
              </w:rPr>
              <w:t>.</w:t>
            </w:r>
            <w:r w:rsidRPr="006122FF">
              <w:t xml:space="preserve"> Financé par les CEE, ce plan est à destination des collectivités locales et a une action assez large, avec des dispositifs de sensibilisation (cellule de soutien « hotline » pour répondre aux questions des collectivités), formation (guides, cours en ligne, « boite à outils »), diagnostics, conseils techniques ou financiers (financement de postes d’experts EE mutualisés à l’échelle locale) ou encore solutions de mutualisation de travaux (via des appels à manifestation d’intérêt). Le programme associera à sa gouvernance les associations de collectivités ainsi que l’ADEME, le </w:t>
            </w:r>
            <w:proofErr w:type="spellStart"/>
            <w:r w:rsidRPr="006122FF">
              <w:t>Cerema</w:t>
            </w:r>
            <w:proofErr w:type="spellEnd"/>
            <w:r w:rsidRPr="006122FF">
              <w:t xml:space="preserve"> et la Banque des territoires.</w:t>
            </w:r>
          </w:p>
          <w:p w14:paraId="2CF5395F" w14:textId="44BF13BC" w:rsidR="00107B5C" w:rsidRPr="006122FF" w:rsidRDefault="00107B5C" w:rsidP="0035332A">
            <w:pPr>
              <w:pStyle w:val="Tablebullet1"/>
            </w:pPr>
            <w:r w:rsidRPr="00B13A2D">
              <w:t xml:space="preserve">En partenariat avec le Ministère de la Transition écologique, et le Ministère de la Cohésion des territoires, l’ADEME propose un service public d’information et de conseil spécialisé, </w:t>
            </w:r>
            <w:r w:rsidRPr="00B13A2D">
              <w:rPr>
                <w:b/>
                <w:bCs/>
              </w:rPr>
              <w:t>Faciliter, Accompagner et Informer pour la Rénovation Énergétique (FAIRE)</w:t>
            </w:r>
            <w:r w:rsidRPr="00B13A2D">
              <w:t>. Il a pour objectif de rassembler l’ensemble des acteurs publics et privés de la rénovation énergétique, élargie de la production d’énergie renouvelable à petite échelle, et rendre l’information plus lisible pour tous. Le site internet permet aussi de réaliser des pré-audits énergétiques autonomes (</w:t>
            </w:r>
            <w:proofErr w:type="spellStart"/>
            <w:r w:rsidRPr="00B13A2D">
              <w:t>Simul'Aid€s</w:t>
            </w:r>
            <w:proofErr w:type="spellEnd"/>
            <w:r w:rsidRPr="00B13A2D">
              <w:t>), d’accéder à la liste des artisans Reconnus Garants de l’Environnement (RGE), de proposer des formations et certifications adaptées aux entreprises, et d’aiguiller les collectivités ainsi que les particuliers sur les différentes aides auxquels ils sont éligibles. Depuis septembre 2018, le réseau des espaces info-énergie (EIE) a intégré le réseau FAIRE.</w:t>
            </w:r>
          </w:p>
        </w:tc>
      </w:tr>
    </w:tbl>
    <w:p w14:paraId="5336A285" w14:textId="77777777" w:rsidR="00107B5C" w:rsidRDefault="00107B5C" w:rsidP="00107B5C">
      <w:pPr>
        <w:pStyle w:val="BodyText"/>
      </w:pPr>
    </w:p>
    <w:p w14:paraId="7205A779" w14:textId="77777777" w:rsidR="00107B5C" w:rsidRDefault="00107B5C" w:rsidP="00107B5C">
      <w:pPr>
        <w:pStyle w:val="BodyText"/>
      </w:pPr>
      <w:r>
        <w:t>Concernant le financement des travaux via les subventions, de nombreuses aides, plus ou moins ciblées sur la rénovation énergétique, existent et peuvent être sollicitées par les porteurs de projets publics dans le cadre de projets d’expérimentation, de conception pré-opérationnelle, ou encore de réalisation des travaux :</w:t>
      </w:r>
    </w:p>
    <w:p w14:paraId="5DF6C105" w14:textId="43C07F8B" w:rsidR="00107B5C" w:rsidRDefault="00107B5C" w:rsidP="00107B5C">
      <w:pPr>
        <w:pStyle w:val="Caption"/>
      </w:pPr>
      <w:bookmarkStart w:id="59" w:name="_Ref94015893"/>
      <w:r>
        <w:t xml:space="preserve">Encadré </w:t>
      </w:r>
      <w:r>
        <w:fldChar w:fldCharType="begin"/>
      </w:r>
      <w:r>
        <w:instrText xml:space="preserve"> SEQ Encadré \* ARABIC </w:instrText>
      </w:r>
      <w:r>
        <w:fldChar w:fldCharType="separate"/>
      </w:r>
      <w:r w:rsidR="009F0282">
        <w:rPr>
          <w:noProof/>
        </w:rPr>
        <w:t>22</w:t>
      </w:r>
      <w:r>
        <w:fldChar w:fldCharType="end"/>
      </w:r>
      <w:bookmarkEnd w:id="59"/>
      <w:r>
        <w:t xml:space="preserve"> Subventions à la disposition des porteurs de projets de rénovation énergétique</w:t>
      </w:r>
    </w:p>
    <w:tbl>
      <w:tblPr>
        <w:tblStyle w:val="TableGrid"/>
        <w:tblW w:w="0" w:type="auto"/>
        <w:tblBorders>
          <w:top w:val="single" w:sz="4" w:space="0" w:color="C4C4C4" w:themeColor="background2" w:themeTint="99"/>
          <w:left w:val="single" w:sz="4" w:space="0" w:color="C4C4C4" w:themeColor="background2" w:themeTint="99"/>
          <w:bottom w:val="single" w:sz="4" w:space="0" w:color="C4C4C4" w:themeColor="background2" w:themeTint="99"/>
          <w:right w:val="single" w:sz="4" w:space="0" w:color="C4C4C4" w:themeColor="background2" w:themeTint="99"/>
          <w:insideH w:val="single" w:sz="4" w:space="0" w:color="C4C4C4" w:themeColor="background2" w:themeTint="99"/>
          <w:insideV w:val="single" w:sz="4" w:space="0" w:color="C4C4C4" w:themeColor="background2" w:themeTint="99"/>
        </w:tblBorders>
        <w:tblLook w:val="04A0" w:firstRow="1" w:lastRow="0" w:firstColumn="1" w:lastColumn="0" w:noHBand="0" w:noVBand="1"/>
      </w:tblPr>
      <w:tblGrid>
        <w:gridCol w:w="9062"/>
      </w:tblGrid>
      <w:tr w:rsidR="00107B5C" w:rsidRPr="006122FF" w14:paraId="2050D536" w14:textId="77777777" w:rsidTr="00C66629">
        <w:tc>
          <w:tcPr>
            <w:tcW w:w="9062" w:type="dxa"/>
            <w:hideMark/>
          </w:tcPr>
          <w:p w14:paraId="5E57C497" w14:textId="14ECDEBE" w:rsidR="00107B5C" w:rsidRPr="00FD6D12" w:rsidRDefault="00107B5C" w:rsidP="00FD6D12">
            <w:pPr>
              <w:pStyle w:val="Tablebullet1"/>
            </w:pPr>
            <w:r w:rsidRPr="00FD6D12">
              <w:rPr>
                <w:b/>
                <w:bCs/>
              </w:rPr>
              <w:t>La Dotation de soutien à l’Investissement Local (DSIL) :</w:t>
            </w:r>
            <w:r w:rsidRPr="00FD6D12">
              <w:t xml:space="preserve"> Il s’agit d’une une aide d’État instaurée en 2016 visant à aider les collectivités dans la réalisation de travaux et de projets liés à la qualité des services et la tenue des équipements et bâtiments publics.</w:t>
            </w:r>
          </w:p>
          <w:p w14:paraId="07300B23" w14:textId="1BBDC937" w:rsidR="00107B5C" w:rsidRPr="006122FF" w:rsidRDefault="00107B5C" w:rsidP="000428E3">
            <w:pPr>
              <w:pStyle w:val="Tablebullet1"/>
              <w:rPr>
                <w:sz w:val="18"/>
                <w:szCs w:val="18"/>
              </w:rPr>
            </w:pPr>
            <w:r w:rsidRPr="00B20C32">
              <w:rPr>
                <w:b/>
                <w:bCs/>
              </w:rPr>
              <w:t>La Dotation d’équipements des territoires ruraux (DETR)</w:t>
            </w:r>
            <w:r w:rsidRPr="00FD6D12">
              <w:t xml:space="preserve"> est une aide d’État de 2011 destinée aux communes et EPCI en milieu rural pour le financement de projets d’investissements. Les opérations éligibles peuvent relever de la construction neuve ou la rénovation de bâtiments publics et de logements, mais aussi de projets </w:t>
            </w:r>
            <w:proofErr w:type="spellStart"/>
            <w:r w:rsidRPr="00FD6D12">
              <w:t>EnR</w:t>
            </w:r>
            <w:proofErr w:type="spellEnd"/>
            <w:r w:rsidRPr="00FD6D12">
              <w:t xml:space="preserve"> ou de mobilité, et sont subventionnées à hauteur de 20% à 80% si le coût total prévisionnel est d’au moins 8 000€.</w:t>
            </w:r>
          </w:p>
          <w:p w14:paraId="5927FB61" w14:textId="5E216828" w:rsidR="00107B5C" w:rsidRPr="000428E3" w:rsidRDefault="00107B5C" w:rsidP="000428E3">
            <w:pPr>
              <w:pStyle w:val="Tablebullet1"/>
            </w:pPr>
            <w:r w:rsidRPr="000428E3">
              <w:t xml:space="preserve">A la suite de la crise sanitaire du premier semestre 2020, le gouvernement a annoncé le lancement d’un </w:t>
            </w:r>
            <w:r w:rsidRPr="000428E3">
              <w:rPr>
                <w:b/>
                <w:bCs/>
              </w:rPr>
              <w:t>« grand programme » de rénovation des bâtiments publics</w:t>
            </w:r>
            <w:r w:rsidRPr="000428E3">
              <w:t xml:space="preserve">, en particulier les écoles et les </w:t>
            </w:r>
            <w:proofErr w:type="spellStart"/>
            <w:r w:rsidRPr="000428E3">
              <w:t>Ehpad</w:t>
            </w:r>
            <w:proofErr w:type="spellEnd"/>
            <w:r w:rsidRPr="000428E3">
              <w:rPr>
                <w:rStyle w:val="FootnoteReference"/>
              </w:rPr>
              <w:footnoteReference w:id="5"/>
            </w:r>
            <w:r w:rsidRPr="000428E3">
              <w:t>. Dans le plan de relance, 6,7 Md€ sont ainsi réservés à la transition écologique et énergétique, dont 4 Md€ pour la rénovation énergétique des bâtiments publics</w:t>
            </w:r>
            <w:r w:rsidR="00C46908">
              <w:rPr>
                <w:rStyle w:val="FootnoteReference"/>
              </w:rPr>
              <w:footnoteReference w:id="6"/>
            </w:r>
            <w:r w:rsidRPr="000428E3">
              <w:t>. Dans ce cadre, deux appels à projets ont été lancés en septembre 2020.</w:t>
            </w:r>
          </w:p>
          <w:p w14:paraId="6DE3A4E2" w14:textId="77777777" w:rsidR="00107B5C" w:rsidRPr="000428E3" w:rsidRDefault="00107B5C" w:rsidP="000428E3">
            <w:pPr>
              <w:pStyle w:val="Tablebullet1"/>
              <w:numPr>
                <w:ilvl w:val="0"/>
                <w:numId w:val="0"/>
              </w:numPr>
              <w:ind w:left="227"/>
            </w:pPr>
            <w:r w:rsidRPr="000428E3">
              <w:t>L’objectif du plan de relance, soutenu par la Banque des Territoires, est, ainsi, de rénover 15 millions de m</w:t>
            </w:r>
            <w:r w:rsidRPr="006C0EA4">
              <w:rPr>
                <w:vertAlign w:val="superscript"/>
              </w:rPr>
              <w:t>2</w:t>
            </w:r>
            <w:r w:rsidRPr="000428E3">
              <w:t>, en ce qui concerne le bâti public.</w:t>
            </w:r>
          </w:p>
          <w:p w14:paraId="31F0C310" w14:textId="33F20B01" w:rsidR="0033332F" w:rsidRPr="0033332F" w:rsidRDefault="0033332F" w:rsidP="00DD3EE3">
            <w:pPr>
              <w:pStyle w:val="Tablebullet1"/>
            </w:pPr>
            <w:r w:rsidRPr="0033332F">
              <w:t xml:space="preserve">Une facilité de prêt au secteur public via la Banque européenne d’investissement (BEI) dans le cadre du troisième </w:t>
            </w:r>
            <w:proofErr w:type="spellStart"/>
            <w:r w:rsidRPr="0033332F">
              <w:t>pillier</w:t>
            </w:r>
            <w:proofErr w:type="spellEnd"/>
            <w:r w:rsidRPr="0033332F">
              <w:t xml:space="preserve"> du Mécanisme de Transition Juste (</w:t>
            </w:r>
            <w:proofErr w:type="spellStart"/>
            <w:r w:rsidRPr="0033332F">
              <w:t>cf</w:t>
            </w:r>
            <w:proofErr w:type="spellEnd"/>
            <w:r w:rsidRPr="0033332F">
              <w:t xml:space="preserve"> Encadré 1).</w:t>
            </w:r>
          </w:p>
          <w:p w14:paraId="65945C29" w14:textId="77777777" w:rsidR="0033332F" w:rsidRPr="000428E3" w:rsidRDefault="0033332F" w:rsidP="000428E3">
            <w:pPr>
              <w:pStyle w:val="Tablebullet1"/>
              <w:numPr>
                <w:ilvl w:val="0"/>
                <w:numId w:val="0"/>
              </w:numPr>
              <w:ind w:left="227"/>
            </w:pPr>
          </w:p>
          <w:p w14:paraId="51395A7A" w14:textId="77777777" w:rsidR="00107B5C" w:rsidRPr="006122FF" w:rsidRDefault="00107B5C" w:rsidP="00C66629">
            <w:pPr>
              <w:pStyle w:val="Tablebullet1"/>
              <w:numPr>
                <w:ilvl w:val="0"/>
                <w:numId w:val="0"/>
              </w:numPr>
              <w:ind w:left="227"/>
              <w:rPr>
                <w:sz w:val="18"/>
                <w:szCs w:val="18"/>
              </w:rPr>
            </w:pPr>
          </w:p>
        </w:tc>
      </w:tr>
    </w:tbl>
    <w:p w14:paraId="1C6A4ED4" w14:textId="77777777" w:rsidR="00915699" w:rsidRDefault="00915699" w:rsidP="00107B5C">
      <w:pPr>
        <w:pStyle w:val="BodyText"/>
      </w:pPr>
    </w:p>
    <w:p w14:paraId="2241CE86" w14:textId="70D45268" w:rsidR="00107B5C" w:rsidRDefault="00107B5C" w:rsidP="00107B5C">
      <w:pPr>
        <w:pStyle w:val="BodyText"/>
      </w:pPr>
      <w:r>
        <w:t>En outre, il existe également des innovations en termes de dispositif, à savoir le CEE et le CPE :</w:t>
      </w:r>
    </w:p>
    <w:p w14:paraId="519CBEF9" w14:textId="1C973DEE" w:rsidR="00107B5C" w:rsidRDefault="00107B5C" w:rsidP="00107B5C">
      <w:pPr>
        <w:pStyle w:val="Caption"/>
      </w:pPr>
      <w:bookmarkStart w:id="60" w:name="_Ref94016086"/>
      <w:r>
        <w:t xml:space="preserve">Encadré </w:t>
      </w:r>
      <w:r>
        <w:fldChar w:fldCharType="begin"/>
      </w:r>
      <w:r>
        <w:instrText xml:space="preserve"> SEQ Encadré \* ARABIC </w:instrText>
      </w:r>
      <w:r>
        <w:fldChar w:fldCharType="separate"/>
      </w:r>
      <w:r w:rsidR="009F0282">
        <w:rPr>
          <w:noProof/>
        </w:rPr>
        <w:t>23</w:t>
      </w:r>
      <w:r>
        <w:fldChar w:fldCharType="end"/>
      </w:r>
      <w:bookmarkEnd w:id="60"/>
      <w:r>
        <w:t xml:space="preserve"> Dispositifs innovants en matière de rénovation énergétique</w:t>
      </w:r>
    </w:p>
    <w:tbl>
      <w:tblPr>
        <w:tblStyle w:val="TableGrid"/>
        <w:tblW w:w="0" w:type="auto"/>
        <w:tblBorders>
          <w:top w:val="single" w:sz="4" w:space="0" w:color="C4C4C4" w:themeColor="background2" w:themeTint="99"/>
          <w:left w:val="single" w:sz="4" w:space="0" w:color="C4C4C4" w:themeColor="background2" w:themeTint="99"/>
          <w:bottom w:val="single" w:sz="4" w:space="0" w:color="C4C4C4" w:themeColor="background2" w:themeTint="99"/>
          <w:right w:val="single" w:sz="4" w:space="0" w:color="C4C4C4" w:themeColor="background2" w:themeTint="99"/>
          <w:insideH w:val="single" w:sz="4" w:space="0" w:color="C4C4C4" w:themeColor="background2" w:themeTint="99"/>
          <w:insideV w:val="single" w:sz="4" w:space="0" w:color="C4C4C4" w:themeColor="background2" w:themeTint="99"/>
        </w:tblBorders>
        <w:tblLook w:val="04A0" w:firstRow="1" w:lastRow="0" w:firstColumn="1" w:lastColumn="0" w:noHBand="0" w:noVBand="1"/>
      </w:tblPr>
      <w:tblGrid>
        <w:gridCol w:w="9062"/>
      </w:tblGrid>
      <w:tr w:rsidR="00107B5C" w:rsidRPr="006122FF" w14:paraId="305A1624" w14:textId="77777777" w:rsidTr="00C66629">
        <w:tc>
          <w:tcPr>
            <w:tcW w:w="9062" w:type="dxa"/>
            <w:hideMark/>
          </w:tcPr>
          <w:p w14:paraId="05573D90" w14:textId="77777777" w:rsidR="00107B5C" w:rsidRPr="00915699" w:rsidRDefault="00107B5C" w:rsidP="00915699">
            <w:pPr>
              <w:pStyle w:val="Tablebullet1"/>
            </w:pPr>
            <w:r w:rsidRPr="00915699">
              <w:rPr>
                <w:b/>
                <w:bCs/>
              </w:rPr>
              <w:t>Le Certificat d’Économie d’énergie (CEE) :</w:t>
            </w:r>
            <w:r w:rsidRPr="00915699">
              <w:t xml:space="preserve"> mis en place en 2005 en France, ce dispositif a pour but de réaliser des économies d’énergie dans les secteurs économiques du bâtiment, de l’industrie, des transports et de l’agriculture. Avec les CEE, les fournisseurs d’énergie sont financièrement obligés de remplir des objectifs à l’échelle de leur entreprise au prorata de leurs ventes, sous peine de pénalités par les pouvoirs publics (le montant de la sanction en cas de non-respect est actuellement de 0,02€ par kilowatt/h</w:t>
            </w:r>
            <w:r w:rsidRPr="00DD3EE3">
              <w:rPr>
                <w:rStyle w:val="FootnoteReference"/>
              </w:rPr>
              <w:footnoteReference w:id="7"/>
            </w:r>
            <w:r w:rsidRPr="00915699">
              <w:t>), et incitent donc leurs clients (les propriétaires de bâtiments consommateurs) à réaliser des investissements pour réduire leurs consommations. Par ailleurs, les éligibles du mécanisme CEE, comme les collectivités locales, peuvent mener des actions d’économie d’énergie certifiées pour les échanger contre rémunération des obligés, à savoir les fournisseurs. Le dispositif de CEE n’est pas compatible avec les aides de financement de l’ADEME, mais peut être combiné avec celles de la Région.</w:t>
            </w:r>
          </w:p>
          <w:p w14:paraId="7EE16E63" w14:textId="77777777" w:rsidR="00107B5C" w:rsidRPr="00915699" w:rsidRDefault="00107B5C" w:rsidP="00915699">
            <w:pPr>
              <w:pStyle w:val="Tablebullet1"/>
            </w:pPr>
            <w:r w:rsidRPr="00915699">
              <w:rPr>
                <w:b/>
                <w:bCs/>
              </w:rPr>
              <w:t>Le Contrat de Performance Énergétique (CPE)</w:t>
            </w:r>
            <w:r w:rsidRPr="00915699">
              <w:t xml:space="preserve"> est passé entre le maître d’ouvrage (privé ou public) et les opérateurs qui réalisent le projet, afin d’améliorer la performance énergétique d’un bâtiment ou d’un ensemble de bâtiments. Les objectifs à atteindre sont établis dans le cadre du contrat et des mesures sont régulièrement effectués par la suite pour vérifier l’efficacité des travaux menés par l’opérateur. En cas de non-respect de ces engagements, l’opérateur pourra faire l’objet de sanctions financières. </w:t>
            </w:r>
          </w:p>
          <w:p w14:paraId="2954CB32" w14:textId="77777777" w:rsidR="00107B5C" w:rsidRPr="00915699" w:rsidRDefault="00107B5C" w:rsidP="00915699">
            <w:pPr>
              <w:pStyle w:val="Tablebullet1"/>
              <w:numPr>
                <w:ilvl w:val="0"/>
                <w:numId w:val="0"/>
              </w:numPr>
              <w:ind w:left="227"/>
            </w:pPr>
            <w:r w:rsidRPr="00915699">
              <w:t>Le CPE peut porter sur des travaux sur l’intérieur ou l’extérieur du bâti. Le CPE s’applique en particulier pour les cas suivants :</w:t>
            </w:r>
          </w:p>
          <w:p w14:paraId="35040120" w14:textId="77777777" w:rsidR="00107B5C" w:rsidRPr="00915699" w:rsidRDefault="00107B5C" w:rsidP="00915699">
            <w:pPr>
              <w:pStyle w:val="Tablebullet2"/>
            </w:pPr>
            <w:r w:rsidRPr="00915699">
              <w:t>Fournitures et services : travaux concernant la gestion et les équipements des bâtiments (chaudières, pompes à chaleur, détection de présence pour le système d’éclairage…) ;</w:t>
            </w:r>
          </w:p>
          <w:p w14:paraId="75ABF8CC" w14:textId="77777777" w:rsidR="00107B5C" w:rsidRPr="00915699" w:rsidRDefault="00107B5C" w:rsidP="00915699">
            <w:pPr>
              <w:pStyle w:val="Tablebullet2"/>
            </w:pPr>
            <w:r w:rsidRPr="00915699">
              <w:t>Travaux et services : travaux de conception, d’exploitation et de maintenance des bâtiments, tant à l’intérieur qu’à l’extérieur (étanchéité, isolation, imperméabilisation…) ;</w:t>
            </w:r>
          </w:p>
          <w:p w14:paraId="61749195" w14:textId="77777777" w:rsidR="00107B5C" w:rsidRPr="00915699" w:rsidRDefault="00107B5C" w:rsidP="00915699">
            <w:pPr>
              <w:pStyle w:val="Tablebullet2"/>
            </w:pPr>
            <w:r w:rsidRPr="00915699">
              <w:t>Globaux : ensemble mentionné ci-dessus ;</w:t>
            </w:r>
          </w:p>
          <w:p w14:paraId="5001FB7C" w14:textId="77777777" w:rsidR="00107B5C" w:rsidRPr="00915699" w:rsidRDefault="00107B5C" w:rsidP="00915699">
            <w:pPr>
              <w:pStyle w:val="Tablebullet2"/>
            </w:pPr>
            <w:r w:rsidRPr="00915699">
              <w:t>Missions de sensibilisation.</w:t>
            </w:r>
          </w:p>
          <w:p w14:paraId="7719B5A3" w14:textId="77777777" w:rsidR="00107B5C" w:rsidRPr="00915699" w:rsidRDefault="00107B5C" w:rsidP="00915699">
            <w:pPr>
              <w:pStyle w:val="Tablebullet1"/>
              <w:numPr>
                <w:ilvl w:val="0"/>
                <w:numId w:val="0"/>
              </w:numPr>
              <w:ind w:left="227"/>
            </w:pPr>
            <w:r w:rsidRPr="00915699">
              <w:t>Les maîtrises d’ouvrage publics peuvent conclure des CPE sous la forme d’un marché global de performance énergétique ou d’un marché de partenariat de performance énergétique.</w:t>
            </w:r>
          </w:p>
        </w:tc>
      </w:tr>
    </w:tbl>
    <w:p w14:paraId="0B103A86" w14:textId="77777777" w:rsidR="00107B5C" w:rsidRDefault="00107B5C" w:rsidP="00107B5C">
      <w:pPr>
        <w:pStyle w:val="Source"/>
      </w:pPr>
      <w:r>
        <w:t>Source : Ministère de la Cohésion des territoires et des Relations avec les collectivités territoriales</w:t>
      </w:r>
    </w:p>
    <w:p w14:paraId="08A1D92F" w14:textId="055BCA4D" w:rsidR="00107B5C" w:rsidRDefault="00107B5C" w:rsidP="00107B5C">
      <w:pPr>
        <w:pStyle w:val="BodyText"/>
      </w:pPr>
      <w:r>
        <w:t xml:space="preserve">Concernant les dispositifs en </w:t>
      </w:r>
      <w:r w:rsidRPr="00257181">
        <w:rPr>
          <w:b/>
        </w:rPr>
        <w:t>avance remboursable et en dette</w:t>
      </w:r>
      <w:r>
        <w:t xml:space="preserve">, les collectivités ont </w:t>
      </w:r>
      <w:r w:rsidR="00915699">
        <w:t>accès</w:t>
      </w:r>
      <w:r>
        <w:t xml:space="preserve"> à des prêts bancaires à des taux avantageux, dans le secteur privé comme à la Banque des Territoires :</w:t>
      </w:r>
    </w:p>
    <w:p w14:paraId="4415A3E2" w14:textId="77777777" w:rsidR="00107B5C" w:rsidRDefault="00107B5C" w:rsidP="00107B5C">
      <w:pPr>
        <w:pStyle w:val="Bullet1"/>
        <w:tabs>
          <w:tab w:val="clear" w:pos="643"/>
        </w:tabs>
      </w:pPr>
      <w:r w:rsidRPr="0059485A">
        <w:t>Les acteurs publics peuvent également faire appel à une offre d’</w:t>
      </w:r>
      <w:r w:rsidRPr="0059485A">
        <w:rPr>
          <w:b/>
        </w:rPr>
        <w:t xml:space="preserve">Avance Remboursable </w:t>
      </w:r>
      <w:proofErr w:type="spellStart"/>
      <w:r w:rsidRPr="003C45CA">
        <w:rPr>
          <w:b/>
          <w:i/>
        </w:rPr>
        <w:t>Intracting</w:t>
      </w:r>
      <w:proofErr w:type="spellEnd"/>
      <w:r w:rsidRPr="0059485A">
        <w:t xml:space="preserve"> (ARI)</w:t>
      </w:r>
      <w:r w:rsidRPr="0059485A">
        <w:rPr>
          <w:rStyle w:val="FootnoteReference"/>
        </w:rPr>
        <w:footnoteReference w:id="8"/>
      </w:r>
      <w:r w:rsidRPr="0059485A">
        <w:t xml:space="preserve"> </w:t>
      </w:r>
      <w:r w:rsidRPr="000D4248">
        <w:t xml:space="preserve">proposée par la Banque des Territoires. </w:t>
      </w:r>
      <w:r w:rsidRPr="00B52629">
        <w:t>L’</w:t>
      </w:r>
      <w:proofErr w:type="spellStart"/>
      <w:r w:rsidRPr="00B52629">
        <w:rPr>
          <w:i/>
        </w:rPr>
        <w:t>intracting</w:t>
      </w:r>
      <w:proofErr w:type="spellEnd"/>
      <w:r w:rsidRPr="00B52629">
        <w:t xml:space="preserve"> consiste à réaliser des travaux généraux d’économies d’énergie permettant un retour sur investissement inférieur à 10 ans, affecté au remboursement des avances consenties par la Banque des Territoires par un Contrat de Performance Énergétique (CPE, voir encadré ci-dessus</w:t>
      </w:r>
      <w:r w:rsidRPr="000D4248">
        <w:t>).</w:t>
      </w:r>
      <w:r>
        <w:t xml:space="preserve"> </w:t>
      </w:r>
    </w:p>
    <w:p w14:paraId="0D3CFDB4" w14:textId="768466FD" w:rsidR="00107B5C" w:rsidRDefault="00107B5C" w:rsidP="00107B5C">
      <w:pPr>
        <w:pStyle w:val="Bullet1"/>
        <w:numPr>
          <w:ilvl w:val="0"/>
          <w:numId w:val="0"/>
        </w:numPr>
        <w:ind w:left="360"/>
      </w:pPr>
      <w:r w:rsidRPr="0059485A">
        <w:t>Cette avance permet de consolider le financement initial de la ligne budgétaire. Les crédits de fonctionnement non dépensés, c’est-à-dire les économies réalisées suite et grâce aux actions engagées, sont « transformé</w:t>
      </w:r>
      <w:r w:rsidR="00D25B0B">
        <w:t>e</w:t>
      </w:r>
      <w:r w:rsidRPr="0059485A">
        <w:t>s » en crédits d’investissement. Il s’agit donc d’un cycle en 3 étapes ayant vocation à se répéter « à l’infini », les économies générées permettant alors de garantir la pérennité du budget dédié aux actions de performance énergétique.</w:t>
      </w:r>
    </w:p>
    <w:p w14:paraId="77DDABBE" w14:textId="77777777" w:rsidR="00107B5C" w:rsidRPr="0059485A" w:rsidRDefault="00107B5C" w:rsidP="00107B5C">
      <w:pPr>
        <w:pStyle w:val="Bullet1"/>
        <w:numPr>
          <w:ilvl w:val="0"/>
          <w:numId w:val="0"/>
        </w:numPr>
        <w:ind w:left="360"/>
      </w:pPr>
      <w:r w:rsidRPr="0059485A">
        <w:t xml:space="preserve">Dans ce cadre, la Banque des Territoires offre un accompagnement au financement des études nécessaires à la définition du plan d’actions et dans le financement des travaux. Les acteurs publics bénéficient également d’un appui du </w:t>
      </w:r>
      <w:proofErr w:type="spellStart"/>
      <w:r w:rsidRPr="0059485A">
        <w:t>Cerema</w:t>
      </w:r>
      <w:proofErr w:type="spellEnd"/>
      <w:r w:rsidRPr="0059485A">
        <w:t xml:space="preserve"> dans la mise en place du dispositif.</w:t>
      </w:r>
    </w:p>
    <w:p w14:paraId="0E12918F" w14:textId="6CDF13EC" w:rsidR="00107B5C" w:rsidRPr="0059485A" w:rsidRDefault="00107B5C" w:rsidP="00107B5C">
      <w:pPr>
        <w:pStyle w:val="Bullet1"/>
        <w:tabs>
          <w:tab w:val="clear" w:pos="643"/>
        </w:tabs>
      </w:pPr>
      <w:r w:rsidRPr="0059485A">
        <w:t xml:space="preserve">Le </w:t>
      </w:r>
      <w:r w:rsidRPr="0059485A">
        <w:rPr>
          <w:b/>
        </w:rPr>
        <w:t>Prêts au secteur public local (PSPL</w:t>
      </w:r>
      <w:r w:rsidRPr="0059485A">
        <w:t>) : pour financer les investissements qui nécessitent des investissements long terme, la Banque des Territoires propose des PSPL qui sont particulièrement adaptés aux projets de construction</w:t>
      </w:r>
      <w:r w:rsidR="00483E15">
        <w:t>s</w:t>
      </w:r>
      <w:r w:rsidRPr="0059485A">
        <w:t xml:space="preserve"> neuves et de rénovation lourde de bâtiments publics. Sur la période 2013-2017, la Banque des Territoires a accordé des prêts sur fonds d’épargne de 2Md€, pour financer jusqu’à 100% des besoins d’emprunt des projets.</w:t>
      </w:r>
    </w:p>
    <w:p w14:paraId="7966E666" w14:textId="6CEE493A" w:rsidR="00107B5C" w:rsidRPr="0059485A" w:rsidRDefault="00107B5C" w:rsidP="00107B5C">
      <w:pPr>
        <w:pStyle w:val="Bullet1"/>
        <w:tabs>
          <w:tab w:val="clear" w:pos="643"/>
        </w:tabs>
      </w:pPr>
      <w:r w:rsidRPr="0059485A">
        <w:t>Le Grand Plan d’Investissement 2018-2022</w:t>
      </w:r>
      <w:r w:rsidRPr="0059485A">
        <w:rPr>
          <w:rStyle w:val="FootnoteReference"/>
        </w:rPr>
        <w:footnoteReference w:id="9"/>
      </w:r>
      <w:r w:rsidRPr="0059485A">
        <w:t xml:space="preserve"> de l’État prévoit 4,8 Md€ pour la réduction de l’empreinte énergétique des bâtiments publics, dont 3 milliards pour ceux appartenant aux collectivités (y compris les écoles et établissements scolaires). Dans ce cadre, le </w:t>
      </w:r>
      <w:r w:rsidRPr="0059485A">
        <w:rPr>
          <w:b/>
        </w:rPr>
        <w:t xml:space="preserve">prêt Grand Plan d’Investissement Ambition rénovation énergétique (GPI </w:t>
      </w:r>
      <w:proofErr w:type="spellStart"/>
      <w:r w:rsidRPr="0059485A">
        <w:rPr>
          <w:b/>
        </w:rPr>
        <w:t>AmbRE</w:t>
      </w:r>
      <w:proofErr w:type="spellEnd"/>
      <w:r w:rsidRPr="0059485A">
        <w:rPr>
          <w:b/>
        </w:rPr>
        <w:t>),</w:t>
      </w:r>
      <w:r w:rsidRPr="0059485A">
        <w:t xml:space="preserve"> administré par la Banque des Territoires</w:t>
      </w:r>
      <w:r w:rsidRPr="0059485A">
        <w:rPr>
          <w:rStyle w:val="FootnoteReference"/>
        </w:rPr>
        <w:footnoteReference w:id="10"/>
      </w:r>
      <w:r w:rsidRPr="0059485A">
        <w:t xml:space="preserve">, dispose d’une enveloppe de 2 Md€ pour financer les travaux de rénovation énergétique menant à un minimum de 30% d’économies vérifiées par une méthode de comptage </w:t>
      </w:r>
      <w:r w:rsidRPr="00C84B8D">
        <w:rPr>
          <w:i/>
        </w:rPr>
        <w:t>a posteriori</w:t>
      </w:r>
      <w:r w:rsidRPr="0059485A">
        <w:t>. Accordé aux collectivités territoriales et aux sociétés dans le cadre de PPP ou de DSP</w:t>
      </w:r>
      <w:r w:rsidRPr="0059485A">
        <w:rPr>
          <w:rStyle w:val="FootnoteReference"/>
        </w:rPr>
        <w:footnoteReference w:id="11"/>
      </w:r>
      <w:r w:rsidRPr="0059485A">
        <w:t>, ce prêt peut couvrir 100% des coûts si la somme est inférieure à 5 M€, ou 50% si la somme est supérieure, et être remboursé sur une période de 20 à 40 ans.</w:t>
      </w:r>
    </w:p>
    <w:p w14:paraId="0B7FF2F2" w14:textId="35593D2F" w:rsidR="00301D48" w:rsidRPr="00301D48" w:rsidRDefault="001A7FB5" w:rsidP="29EC66C6">
      <w:pPr>
        <w:pStyle w:val="Bullet1"/>
        <w:numPr>
          <w:ilvl w:val="0"/>
          <w:numId w:val="0"/>
        </w:numPr>
      </w:pPr>
      <w:r w:rsidRPr="00DD3EE3">
        <w:rPr>
          <w:b/>
          <w:bCs/>
        </w:rPr>
        <w:t>Le</w:t>
      </w:r>
      <w:r>
        <w:t xml:space="preserve"> </w:t>
      </w:r>
      <w:r>
        <w:rPr>
          <w:b/>
          <w:bCs/>
        </w:rPr>
        <w:t>Plan Climat</w:t>
      </w:r>
      <w:r w:rsidR="00107B5C" w:rsidRPr="00852A7B">
        <w:rPr>
          <w:b/>
        </w:rPr>
        <w:t xml:space="preserve"> </w:t>
      </w:r>
      <w:r w:rsidR="007D0759">
        <w:rPr>
          <w:bCs/>
        </w:rPr>
        <w:t>annoncé à</w:t>
      </w:r>
      <w:r w:rsidR="007D0759">
        <w:t xml:space="preserve"> la suite de la crise sanitaire du premier semestre 2020 par la Banque des Territoires, en partenariat avec Bpifrance,</w:t>
      </w:r>
      <w:r w:rsidR="00107B5C" w:rsidRPr="00852A7B">
        <w:rPr>
          <w:b/>
        </w:rPr>
        <w:t xml:space="preserve"> doté de 40 Md€</w:t>
      </w:r>
      <w:r w:rsidR="00107B5C">
        <w:t xml:space="preserve"> </w:t>
      </w:r>
      <w:r w:rsidR="008A0113">
        <w:t xml:space="preserve">(voir </w:t>
      </w:r>
      <w:r w:rsidR="00A522C7">
        <w:fldChar w:fldCharType="begin"/>
      </w:r>
      <w:r w:rsidR="00A522C7">
        <w:instrText xml:space="preserve"> REF _Ref76062027 \h </w:instrText>
      </w:r>
      <w:r w:rsidR="00A522C7">
        <w:fldChar w:fldCharType="separate"/>
      </w:r>
      <w:r w:rsidR="00A522C7">
        <w:t xml:space="preserve">Encadré </w:t>
      </w:r>
      <w:r w:rsidR="00A522C7">
        <w:rPr>
          <w:noProof/>
        </w:rPr>
        <w:t>6</w:t>
      </w:r>
      <w:r w:rsidR="00A522C7">
        <w:fldChar w:fldCharType="end"/>
      </w:r>
      <w:r w:rsidR="00EC1DEA">
        <w:fldChar w:fldCharType="begin"/>
      </w:r>
      <w:r w:rsidR="00EC1DEA">
        <w:instrText xml:space="preserve"> REF _Ref94025862 \h </w:instrText>
      </w:r>
      <w:r w:rsidR="00EC1DEA">
        <w:fldChar w:fldCharType="separate"/>
      </w:r>
      <w:r w:rsidR="00EC1DEA">
        <w:fldChar w:fldCharType="end"/>
      </w:r>
      <w:r w:rsidR="00EC1DEA">
        <w:t>)</w:t>
      </w:r>
      <w:r w:rsidR="00225DC3">
        <w:t xml:space="preserve"> </w:t>
      </w:r>
      <w:r>
        <w:t>agit également sur la rénovation du bâti</w:t>
      </w:r>
      <w:r w:rsidR="00107B5C">
        <w:t xml:space="preserve">. </w:t>
      </w:r>
      <w:r>
        <w:t>En effet, l</w:t>
      </w:r>
      <w:r w:rsidR="00107B5C">
        <w:t>es 20 Md€ dédiés à la décarbonation des outils de production des entreprises et à la transformation des territoires permettront de financer, entre autres, la rénovation énergétique des bâtiments</w:t>
      </w:r>
      <w:r w:rsidR="00107B5C">
        <w:rPr>
          <w:rStyle w:val="FootnoteReference"/>
        </w:rPr>
        <w:footnoteReference w:id="12"/>
      </w:r>
      <w:r w:rsidR="00107B5C">
        <w:t>.</w:t>
      </w:r>
    </w:p>
    <w:p w14:paraId="78C8EA6D" w14:textId="3464FD15" w:rsidR="009D5668" w:rsidRDefault="009D5668" w:rsidP="00465424">
      <w:pPr>
        <w:pStyle w:val="Heading3"/>
      </w:pPr>
      <w:bookmarkStart w:id="61" w:name="_Ref75958938"/>
      <w:bookmarkStart w:id="62" w:name="_Ref75959793"/>
      <w:bookmarkStart w:id="63" w:name="_Toc93390272"/>
      <w:r>
        <w:t xml:space="preserve">Le financement du bâti résidentiel </w:t>
      </w:r>
      <w:r w:rsidR="00AB1B7F">
        <w:t>social</w:t>
      </w:r>
      <w:r w:rsidR="00465424">
        <w:t xml:space="preserve"> en Hauts-de-France</w:t>
      </w:r>
      <w:bookmarkEnd w:id="61"/>
      <w:bookmarkEnd w:id="62"/>
      <w:bookmarkEnd w:id="63"/>
    </w:p>
    <w:p w14:paraId="4F696760" w14:textId="62E9B883" w:rsidR="006F400E" w:rsidRDefault="006F400E" w:rsidP="006F400E">
      <w:pPr>
        <w:pStyle w:val="BodyText"/>
      </w:pPr>
      <w:r w:rsidRPr="00A3389F">
        <w:t xml:space="preserve">L’offre de financement de la rénovation des logements sociaux est importante et comprend à la fois des </w:t>
      </w:r>
      <w:r w:rsidRPr="008A2C04">
        <w:rPr>
          <w:b/>
        </w:rPr>
        <w:t>subventions</w:t>
      </w:r>
      <w:r w:rsidRPr="00A3389F">
        <w:t xml:space="preserve">, des </w:t>
      </w:r>
      <w:r w:rsidRPr="008A2C04">
        <w:rPr>
          <w:b/>
        </w:rPr>
        <w:t>prêts</w:t>
      </w:r>
      <w:r w:rsidR="00214257">
        <w:rPr>
          <w:bCs/>
        </w:rPr>
        <w:t xml:space="preserve">, des </w:t>
      </w:r>
      <w:r w:rsidR="00214257" w:rsidRPr="00214257">
        <w:rPr>
          <w:b/>
        </w:rPr>
        <w:t>garanties</w:t>
      </w:r>
      <w:r w:rsidRPr="00A3389F">
        <w:t xml:space="preserve"> et des </w:t>
      </w:r>
      <w:r w:rsidRPr="008A2C04">
        <w:rPr>
          <w:b/>
        </w:rPr>
        <w:t>dispositifs dits « innovants ».</w:t>
      </w:r>
    </w:p>
    <w:p w14:paraId="3A48536D" w14:textId="6F3FD54B" w:rsidR="00AB1B7F" w:rsidRDefault="006F400E" w:rsidP="006F400E">
      <w:pPr>
        <w:pStyle w:val="BodyText"/>
      </w:pPr>
      <w:r>
        <w:t>Les subventions dont disposent les bailleurs sociaux leur permettent de financer l’expérimentation et les travaux de rénovation énergétique :</w:t>
      </w:r>
    </w:p>
    <w:p w14:paraId="7BD4B92B" w14:textId="52134794" w:rsidR="00833B4F" w:rsidRDefault="00833B4F" w:rsidP="00833B4F">
      <w:pPr>
        <w:pStyle w:val="Caption"/>
      </w:pPr>
      <w:r>
        <w:t xml:space="preserve">Encadré </w:t>
      </w:r>
      <w:r>
        <w:fldChar w:fldCharType="begin"/>
      </w:r>
      <w:r>
        <w:instrText xml:space="preserve"> SEQ Encadré \* ARABIC </w:instrText>
      </w:r>
      <w:r>
        <w:fldChar w:fldCharType="separate"/>
      </w:r>
      <w:r w:rsidR="009F0282">
        <w:rPr>
          <w:noProof/>
        </w:rPr>
        <w:t>24</w:t>
      </w:r>
      <w:r>
        <w:fldChar w:fldCharType="end"/>
      </w:r>
      <w:r>
        <w:t xml:space="preserve"> </w:t>
      </w:r>
      <w:r w:rsidRPr="00E772A4">
        <w:t xml:space="preserve">Dispositifs de </w:t>
      </w:r>
      <w:r>
        <w:t>subventions</w:t>
      </w:r>
      <w:r w:rsidRPr="00E772A4">
        <w:t xml:space="preserve"> à disposition des bailleurs sociaux</w:t>
      </w:r>
      <w:r w:rsidR="00F502F5">
        <w:t xml:space="preserve"> en Hauts-de-France</w:t>
      </w:r>
    </w:p>
    <w:tbl>
      <w:tblPr>
        <w:tblStyle w:val="TableGrid"/>
        <w:tblW w:w="0" w:type="auto"/>
        <w:tblLook w:val="04A0" w:firstRow="1" w:lastRow="0" w:firstColumn="1" w:lastColumn="0" w:noHBand="0" w:noVBand="1"/>
      </w:tblPr>
      <w:tblGrid>
        <w:gridCol w:w="9062"/>
      </w:tblGrid>
      <w:tr w:rsidR="000C548A" w14:paraId="7B5456E5" w14:textId="77777777" w:rsidTr="00A10474">
        <w:tc>
          <w:tcPr>
            <w:tcW w:w="9062" w:type="dxa"/>
            <w:tcBorders>
              <w:top w:val="single" w:sz="4" w:space="0" w:color="CF342C" w:themeColor="text2"/>
              <w:left w:val="single" w:sz="4" w:space="0" w:color="CF342C" w:themeColor="text2"/>
              <w:bottom w:val="single" w:sz="4" w:space="0" w:color="CF342C" w:themeColor="text2"/>
              <w:right w:val="single" w:sz="4" w:space="0" w:color="CF342C" w:themeColor="text2"/>
            </w:tcBorders>
          </w:tcPr>
          <w:p w14:paraId="3EBBA452" w14:textId="4929DC73" w:rsidR="007F1638" w:rsidRDefault="007F1638" w:rsidP="006F2F62">
            <w:pPr>
              <w:pStyle w:val="Tablebullet1"/>
            </w:pPr>
            <w:r w:rsidRPr="00B20C32">
              <w:rPr>
                <w:b/>
              </w:rPr>
              <w:t xml:space="preserve">La </w:t>
            </w:r>
            <w:r w:rsidRPr="008039E5">
              <w:rPr>
                <w:b/>
                <w:bCs/>
              </w:rPr>
              <w:t>Dotation d’équipements des territoires ruraux (DETR)</w:t>
            </w:r>
            <w:r w:rsidRPr="007F1638">
              <w:t xml:space="preserve"> </w:t>
            </w:r>
            <w:r w:rsidR="00BE3925" w:rsidRPr="00C74EDD">
              <w:t>(</w:t>
            </w:r>
            <w:r w:rsidR="00BE3925">
              <w:t>aide d’État</w:t>
            </w:r>
            <w:r w:rsidR="00BE3925" w:rsidRPr="00C74EDD">
              <w:t>)</w:t>
            </w:r>
            <w:r w:rsidR="00BE3925">
              <w:t xml:space="preserve"> </w:t>
            </w:r>
            <w:proofErr w:type="spellStart"/>
            <w:r w:rsidR="00BE3925">
              <w:t>cf</w:t>
            </w:r>
            <w:proofErr w:type="spellEnd"/>
            <w:r w:rsidR="00BE3925">
              <w:t xml:space="preserve"> </w:t>
            </w:r>
            <w:r w:rsidR="00163E6F">
              <w:fldChar w:fldCharType="begin"/>
            </w:r>
            <w:r w:rsidR="00163E6F">
              <w:instrText xml:space="preserve"> REF _Ref94015893 \h </w:instrText>
            </w:r>
            <w:r w:rsidR="00163E6F">
              <w:fldChar w:fldCharType="separate"/>
            </w:r>
            <w:r w:rsidR="009F0282">
              <w:t xml:space="preserve">Encadré </w:t>
            </w:r>
            <w:r w:rsidR="009F0282">
              <w:rPr>
                <w:noProof/>
              </w:rPr>
              <w:t>22</w:t>
            </w:r>
            <w:r w:rsidR="00163E6F">
              <w:fldChar w:fldCharType="end"/>
            </w:r>
          </w:p>
          <w:p w14:paraId="03165D9C" w14:textId="07EDC479" w:rsidR="00625E07" w:rsidRDefault="00757C0A" w:rsidP="00625E07">
            <w:pPr>
              <w:pStyle w:val="Tablebullet1"/>
            </w:pPr>
            <w:r w:rsidRPr="00B20C32">
              <w:rPr>
                <w:b/>
              </w:rPr>
              <w:t xml:space="preserve">Les </w:t>
            </w:r>
            <w:r w:rsidRPr="00625E07">
              <w:rPr>
                <w:b/>
                <w:bCs/>
              </w:rPr>
              <w:t>aides FEDER</w:t>
            </w:r>
            <w:r w:rsidRPr="00B20C32">
              <w:rPr>
                <w:b/>
              </w:rPr>
              <w:t xml:space="preserve"> </w:t>
            </w:r>
            <w:r>
              <w:t xml:space="preserve">sont </w:t>
            </w:r>
            <w:r w:rsidR="00625E07">
              <w:t>mobilisables pour la réhabilitation thermique</w:t>
            </w:r>
            <w:r w:rsidR="001C34FD">
              <w:t xml:space="preserve"> des bâtiments publics</w:t>
            </w:r>
            <w:r w:rsidR="00BF2410">
              <w:t>,</w:t>
            </w:r>
            <w:r w:rsidR="001C34FD">
              <w:t xml:space="preserve"> des logements sociaux </w:t>
            </w:r>
            <w:r w:rsidR="00BF2410">
              <w:t xml:space="preserve">et des logements privés </w:t>
            </w:r>
            <w:r w:rsidR="001C34FD">
              <w:t>dans l’ex-Nord-Pas-de-Calais.</w:t>
            </w:r>
            <w:r w:rsidR="00625E07">
              <w:t xml:space="preserve"> Le budget dédié à la transition énergétique et écologique s’élevait à </w:t>
            </w:r>
            <w:r w:rsidR="00A96E36">
              <w:t>2</w:t>
            </w:r>
            <w:r w:rsidR="00E108D8">
              <w:t>32</w:t>
            </w:r>
            <w:r w:rsidR="00345BDE">
              <w:t>M€</w:t>
            </w:r>
            <w:r w:rsidR="00FA7B02">
              <w:t xml:space="preserve">, dont </w:t>
            </w:r>
            <w:r w:rsidR="008466B1">
              <w:t>56</w:t>
            </w:r>
            <w:r w:rsidR="00FA7B02">
              <w:t>M€ pour l’efficacité énergétique.</w:t>
            </w:r>
          </w:p>
          <w:p w14:paraId="0C11D9DB" w14:textId="77777777" w:rsidR="00625E07" w:rsidRDefault="00625E07" w:rsidP="00807AD8">
            <w:pPr>
              <w:pStyle w:val="Tablebullet1"/>
              <w:numPr>
                <w:ilvl w:val="0"/>
                <w:numId w:val="0"/>
              </w:numPr>
              <w:ind w:left="227"/>
            </w:pPr>
            <w:r>
              <w:t>Entre 2014 et 2020, les projets qui sollicitaient une subvention FEDER devaient remplir les conditions suivantes :</w:t>
            </w:r>
          </w:p>
          <w:p w14:paraId="23DF522C" w14:textId="77777777" w:rsidR="00625E07" w:rsidRDefault="00625E07" w:rsidP="00B20C32">
            <w:pPr>
              <w:pStyle w:val="Tablebullet2"/>
            </w:pPr>
            <w:r>
              <w:t>Un gain de performance énergétique de minimum 40% par rapport à la situation initiale ;</w:t>
            </w:r>
          </w:p>
          <w:p w14:paraId="49602184" w14:textId="412AE635" w:rsidR="00625E07" w:rsidRDefault="00625E07" w:rsidP="00B20C32">
            <w:pPr>
              <w:pStyle w:val="Tablebullet2"/>
            </w:pPr>
            <w:r>
              <w:t xml:space="preserve">Une économie qui se reporte sur la facture des </w:t>
            </w:r>
            <w:r w:rsidR="007D0E7B">
              <w:t xml:space="preserve">bénéficiaires (locataires, gestionnaires </w:t>
            </w:r>
            <w:r w:rsidR="004563BD">
              <w:t>de bâtiments publics / privés d’intérêt général)</w:t>
            </w:r>
            <w:r>
              <w:t xml:space="preserve"> ;</w:t>
            </w:r>
          </w:p>
          <w:p w14:paraId="541E669F" w14:textId="77777777" w:rsidR="002F4743" w:rsidRDefault="00625E07" w:rsidP="00B20C32">
            <w:pPr>
              <w:pStyle w:val="Tablebullet2"/>
            </w:pPr>
            <w:r>
              <w:t>Un gain obligatoire sur l’isolation globale du logement.</w:t>
            </w:r>
          </w:p>
          <w:p w14:paraId="2C97FCA6" w14:textId="783DD024" w:rsidR="00CC03B3" w:rsidRDefault="00CC03B3" w:rsidP="00934530">
            <w:pPr>
              <w:pStyle w:val="Tablebullet1"/>
              <w:numPr>
                <w:ilvl w:val="0"/>
                <w:numId w:val="0"/>
              </w:numPr>
              <w:ind w:left="227"/>
            </w:pPr>
            <w:r>
              <w:t xml:space="preserve">En ex-Picardie, le budget dédié à la transition vers une économie </w:t>
            </w:r>
            <w:r w:rsidRPr="00B20C32">
              <w:t>décarbonée</w:t>
            </w:r>
            <w:r>
              <w:t xml:space="preserve"> et efficiente en ressources </w:t>
            </w:r>
            <w:r w:rsidR="008C5563">
              <w:t>était de 5</w:t>
            </w:r>
            <w:r w:rsidR="006C0DE3">
              <w:t>2</w:t>
            </w:r>
            <w:r w:rsidR="008C5563">
              <w:t>M</w:t>
            </w:r>
            <w:r w:rsidR="006D2E08">
              <w:t xml:space="preserve">€, dont </w:t>
            </w:r>
            <w:r w:rsidR="00681ABE">
              <w:t>3</w:t>
            </w:r>
            <w:r w:rsidR="006C0DE3">
              <w:t>0</w:t>
            </w:r>
            <w:r w:rsidR="006D2E08">
              <w:t xml:space="preserve">M€ alloués à </w:t>
            </w:r>
            <w:r w:rsidR="00ED3216">
              <w:t xml:space="preserve">l’efficacité énergétique : 5M€ pour l’accompagnement des maîtres d’ouvrage publics dans des projets d’amélioration de la performance énergétique de leurs bâtiments (neufs et anciens), 12M€ pour le soutien à la réhabilitation thermique du parc de logement social, </w:t>
            </w:r>
            <w:r w:rsidR="00ED661D">
              <w:t xml:space="preserve">10M€ pour l’expérimentation en matière d’instruments financiers innovants pour la rénovation énergétique des logements privés, et 3M€ pour la structuration et </w:t>
            </w:r>
            <w:r w:rsidR="002F73AF">
              <w:t>l’animation de la filière éco-bâtiment.</w:t>
            </w:r>
          </w:p>
          <w:p w14:paraId="60C9891E" w14:textId="17EC0459" w:rsidR="00C60412" w:rsidRDefault="00323EE2" w:rsidP="00934530">
            <w:pPr>
              <w:pStyle w:val="Tablebullet1"/>
              <w:numPr>
                <w:ilvl w:val="0"/>
                <w:numId w:val="0"/>
              </w:numPr>
              <w:ind w:left="227"/>
            </w:pPr>
            <w:r w:rsidRPr="00EB492E">
              <w:t xml:space="preserve">En </w:t>
            </w:r>
            <w:r w:rsidR="00E63B5F" w:rsidRPr="00EB492E">
              <w:t xml:space="preserve">juin 2020, </w:t>
            </w:r>
            <w:r w:rsidR="00732115" w:rsidRPr="00EB492E">
              <w:t xml:space="preserve">en ex-Nord-Pas-de-Calais, </w:t>
            </w:r>
            <w:r w:rsidR="00437727" w:rsidRPr="00EB492E">
              <w:t xml:space="preserve">35 opérations </w:t>
            </w:r>
            <w:r w:rsidR="00185586" w:rsidRPr="00EB492E">
              <w:t>étaient</w:t>
            </w:r>
            <w:r w:rsidR="00437727" w:rsidRPr="00EB492E">
              <w:t xml:space="preserve"> programmées pour </w:t>
            </w:r>
            <w:r w:rsidR="00266DBF" w:rsidRPr="00EB492E">
              <w:t>20M€</w:t>
            </w:r>
            <w:r w:rsidR="00185586" w:rsidRPr="00EB492E">
              <w:t xml:space="preserve"> de contribution FEDER</w:t>
            </w:r>
            <w:r w:rsidRPr="00EB492E">
              <w:t>,</w:t>
            </w:r>
            <w:r w:rsidR="00185586" w:rsidRPr="00EB492E">
              <w:t xml:space="preserve"> tandis que </w:t>
            </w:r>
            <w:r w:rsidR="00C21331" w:rsidRPr="00EB492E">
              <w:t>27 opérations étaient</w:t>
            </w:r>
            <w:r w:rsidRPr="00EB492E">
              <w:t xml:space="preserve"> </w:t>
            </w:r>
            <w:r w:rsidR="00C21331" w:rsidRPr="00EB492E">
              <w:t>programmées en ex-Picardie pour 11M€ de contribution FEDER.</w:t>
            </w:r>
          </w:p>
          <w:p w14:paraId="20F46EB5" w14:textId="6054D50C" w:rsidR="0048533E" w:rsidRDefault="00CA4EFC" w:rsidP="0048533E">
            <w:pPr>
              <w:pStyle w:val="Tablebullet1"/>
            </w:pPr>
            <w:r>
              <w:t>Le</w:t>
            </w:r>
            <w:r w:rsidR="00760CA0">
              <w:t xml:space="preserve">s établissements publics et les collectivités peuvent également </w:t>
            </w:r>
            <w:r w:rsidR="00A10474">
              <w:t>faire appel au</w:t>
            </w:r>
            <w:r>
              <w:t xml:space="preserve"> </w:t>
            </w:r>
            <w:r w:rsidR="00700D2A" w:rsidRPr="00700D2A">
              <w:rPr>
                <w:b/>
                <w:bCs/>
              </w:rPr>
              <w:t>Fonds Régional d’Amplification de la Troisième Révolution Industrielle (FRATRI)</w:t>
            </w:r>
            <w:r w:rsidR="004B3D49">
              <w:t xml:space="preserve"> (voir </w:t>
            </w:r>
            <w:r w:rsidR="004B3D49">
              <w:fldChar w:fldCharType="begin"/>
            </w:r>
            <w:r w:rsidR="004B3D49">
              <w:instrText xml:space="preserve"> REF _Ref76063948 \h </w:instrText>
            </w:r>
            <w:r w:rsidR="004B3D49">
              <w:fldChar w:fldCharType="separate"/>
            </w:r>
            <w:r w:rsidR="004B3D49">
              <w:t xml:space="preserve">Encadré </w:t>
            </w:r>
            <w:r w:rsidR="004B3D49">
              <w:rPr>
                <w:noProof/>
              </w:rPr>
              <w:t>3</w:t>
            </w:r>
            <w:r w:rsidR="004B3D49">
              <w:fldChar w:fldCharType="end"/>
            </w:r>
            <w:r w:rsidR="004B3D49">
              <w:t>)</w:t>
            </w:r>
            <w:r w:rsidR="002B3D69">
              <w:t>. En ce qui concerne le projet-cadre « Développer des</w:t>
            </w:r>
            <w:r w:rsidR="004B2BF4">
              <w:t xml:space="preserve"> bâtiments performants et/ou producteurs d’énergie</w:t>
            </w:r>
            <w:r w:rsidR="002B3D69">
              <w:t> », le FRATRI soutient :</w:t>
            </w:r>
          </w:p>
          <w:p w14:paraId="398D09F3" w14:textId="77777777" w:rsidR="002B3D69" w:rsidRDefault="002B3D69" w:rsidP="00B20C32">
            <w:pPr>
              <w:pStyle w:val="Tablebullet2"/>
            </w:pPr>
            <w:r>
              <w:t>L’amplification de la mobilisation des professionnels du bâtiment autour des enjeux de la qualité énergétique et environnementale du bâti ;</w:t>
            </w:r>
          </w:p>
          <w:p w14:paraId="5F0F0B39" w14:textId="77777777" w:rsidR="002B3D69" w:rsidRDefault="00A83FA3" w:rsidP="00B20C32">
            <w:pPr>
              <w:pStyle w:val="Tablebullet2"/>
            </w:pPr>
            <w:r>
              <w:t xml:space="preserve">La mobilisation des acteurs publics et privés dans la réhabilitation de qualité énergétique et environnementale de leur patrimoine </w:t>
            </w:r>
            <w:r w:rsidR="00404A7E">
              <w:t>ainsi que dans la mise en place d’opérateurs et d’outils locaux visant à la massification de la rénovation énergétique ;</w:t>
            </w:r>
          </w:p>
          <w:p w14:paraId="30810327" w14:textId="77777777" w:rsidR="00404A7E" w:rsidRDefault="00404A7E" w:rsidP="00B20C32">
            <w:pPr>
              <w:pStyle w:val="Tablebullet2"/>
            </w:pPr>
            <w:r>
              <w:t>L’animation et la consolidation du réseau régional des Espaces Info Energie (EIE) ;</w:t>
            </w:r>
          </w:p>
          <w:p w14:paraId="5D1E0664" w14:textId="77777777" w:rsidR="00404A7E" w:rsidRDefault="00404A7E" w:rsidP="00B20C32">
            <w:pPr>
              <w:pStyle w:val="Tablebullet2"/>
            </w:pPr>
            <w:r>
              <w:t>L’accompagnement de l’innovation technique et sociétale et la réalisation de projets pilotes en matière de constructions et de réhabilitations de bâtiments démonstrateurs de qualité énergétique et environnementale favorisant les filières régionales (bois, matériaux biosourcés, etc.).</w:t>
            </w:r>
          </w:p>
          <w:p w14:paraId="4E38422D" w14:textId="77777777" w:rsidR="006A188A" w:rsidRDefault="00E928DA" w:rsidP="00EC338F">
            <w:pPr>
              <w:pStyle w:val="Tablebullet1"/>
            </w:pPr>
            <w:r w:rsidRPr="007F5963">
              <w:rPr>
                <w:b/>
                <w:bCs/>
              </w:rPr>
              <w:t>Les aides INTERREG</w:t>
            </w:r>
            <w:r>
              <w:t xml:space="preserve"> peuvent </w:t>
            </w:r>
            <w:r w:rsidR="000B52B7">
              <w:t xml:space="preserve">être mobilisées dans le cadre </w:t>
            </w:r>
            <w:r w:rsidR="000F4A9B">
              <w:t>de</w:t>
            </w:r>
            <w:r w:rsidR="00EE2289">
              <w:t xml:space="preserve"> la priorité d’investissement 4</w:t>
            </w:r>
            <w:r w:rsidR="00EE2289" w:rsidRPr="00EE2289">
              <w:rPr>
                <w:vertAlign w:val="superscript"/>
              </w:rPr>
              <w:t>e</w:t>
            </w:r>
            <w:r w:rsidR="00EE2289">
              <w:t xml:space="preserve"> « </w:t>
            </w:r>
            <w:r w:rsidR="00EE2289" w:rsidRPr="00EE2289">
              <w:t>Promouvoir des stratégies à faible émission de carbone pour tous les types de territoires, en particulier pour les zones urbaines, y compris la promotion d'une mobilité urbaine multimodale durable et des mesures d'adaptation pertinentes en matière d'atténuation</w:t>
            </w:r>
            <w:r w:rsidR="00EE2289">
              <w:t> » de</w:t>
            </w:r>
            <w:r w:rsidR="000F4A9B">
              <w:t xml:space="preserve"> l’axe prioritaire 3 « soutenir la transition vers une économie à faibles émissions de carbone dans tous les secteurs »</w:t>
            </w:r>
            <w:r w:rsidR="00EE2289">
              <w:t xml:space="preserve">, qui est doté de </w:t>
            </w:r>
            <w:r w:rsidR="004C0B72">
              <w:t>84,4M€. Il s’agit toutefois d’un dispositif hautement compétitif</w:t>
            </w:r>
            <w:r w:rsidR="004C0B72">
              <w:rPr>
                <w:rStyle w:val="FootnoteReference"/>
              </w:rPr>
              <w:footnoteReference w:id="13"/>
            </w:r>
            <w:r w:rsidR="004C0B72">
              <w:t>.</w:t>
            </w:r>
          </w:p>
          <w:p w14:paraId="48583775" w14:textId="4FCF28AF" w:rsidR="004C0B72" w:rsidRDefault="004C0B72" w:rsidP="00EC338F">
            <w:pPr>
              <w:pStyle w:val="Tablebullet1"/>
            </w:pPr>
            <w:r>
              <w:rPr>
                <w:b/>
                <w:bCs/>
              </w:rPr>
              <w:t xml:space="preserve">Les aides </w:t>
            </w:r>
            <w:r w:rsidR="00AB21C5">
              <w:rPr>
                <w:b/>
                <w:bCs/>
              </w:rPr>
              <w:t>Horizon Europe</w:t>
            </w:r>
            <w:r w:rsidR="00AB21C5">
              <w:t xml:space="preserve"> </w:t>
            </w:r>
            <w:r>
              <w:t xml:space="preserve">peuvent également être mobilisées </w:t>
            </w:r>
            <w:r w:rsidR="00A37C4A">
              <w:t>au travers des différents appels à projets publiés</w:t>
            </w:r>
            <w:r w:rsidR="00044467">
              <w:t xml:space="preserve">. Par exemple, </w:t>
            </w:r>
            <w:r w:rsidR="00C4646E">
              <w:t xml:space="preserve">près d’un milliard d’euros </w:t>
            </w:r>
            <w:r w:rsidR="00BB4D6D">
              <w:t>ont</w:t>
            </w:r>
            <w:r w:rsidR="00132C0A">
              <w:t xml:space="preserve"> été prévus pour l’appel « Green Deal</w:t>
            </w:r>
            <w:r w:rsidR="003E6FC7">
              <w:t xml:space="preserve"> » en soutien à la recherche et à l’innovation. </w:t>
            </w:r>
            <w:r w:rsidR="00C94E94">
              <w:t>Un domaine est</w:t>
            </w:r>
            <w:r w:rsidR="00574147">
              <w:t xml:space="preserve"> spécifiquement dédié aux « bâtiments économes en énergie et en ressources »</w:t>
            </w:r>
            <w:r w:rsidR="002B3FDE">
              <w:rPr>
                <w:rStyle w:val="FootnoteReference"/>
              </w:rPr>
              <w:footnoteReference w:id="14"/>
            </w:r>
            <w:r w:rsidR="00473AEF">
              <w:t>.</w:t>
            </w:r>
            <w:r w:rsidR="0029759B">
              <w:t xml:space="preserve"> </w:t>
            </w:r>
            <w:r w:rsidR="002B3FDE">
              <w:t>C</w:t>
            </w:r>
            <w:r w:rsidR="0029759B">
              <w:t>omme pour les aides INTERREG, l’accès aux dotations H2020 sont hautement compétitives</w:t>
            </w:r>
            <w:r w:rsidR="0029759B">
              <w:rPr>
                <w:rStyle w:val="FootnoteReference"/>
              </w:rPr>
              <w:footnoteReference w:id="15"/>
            </w:r>
            <w:r w:rsidR="0029759B">
              <w:t>.</w:t>
            </w:r>
          </w:p>
        </w:tc>
      </w:tr>
    </w:tbl>
    <w:p w14:paraId="7EE69EE5" w14:textId="7E3E622B" w:rsidR="000C548A" w:rsidRPr="00AB1B7F" w:rsidRDefault="000C548A" w:rsidP="006F400E">
      <w:pPr>
        <w:pStyle w:val="BodyText"/>
      </w:pPr>
    </w:p>
    <w:p w14:paraId="56EA2FA6" w14:textId="01902BEA" w:rsidR="005B7EDE" w:rsidRDefault="006F2F7A" w:rsidP="00833B4F">
      <w:pPr>
        <w:pStyle w:val="BodyText"/>
      </w:pPr>
      <w:r>
        <w:t xml:space="preserve">Une offre de </w:t>
      </w:r>
      <w:r w:rsidRPr="007B6478">
        <w:rPr>
          <w:b/>
        </w:rPr>
        <w:t>prêts</w:t>
      </w:r>
      <w:r>
        <w:t xml:space="preserve"> est également </w:t>
      </w:r>
      <w:r w:rsidR="00A0384D" w:rsidRPr="00A0384D">
        <w:t>à la disposition des bailleurs sociaux pour financer leurs travaux de rénovation énergétique :</w:t>
      </w:r>
    </w:p>
    <w:p w14:paraId="1CA76C35" w14:textId="08FBB20E" w:rsidR="00833B4F" w:rsidRDefault="00833B4F" w:rsidP="00833B4F">
      <w:pPr>
        <w:pStyle w:val="Caption"/>
      </w:pPr>
      <w:r>
        <w:t xml:space="preserve">Encadré </w:t>
      </w:r>
      <w:r>
        <w:fldChar w:fldCharType="begin"/>
      </w:r>
      <w:r>
        <w:instrText xml:space="preserve"> SEQ Encadré \* ARABIC </w:instrText>
      </w:r>
      <w:r>
        <w:fldChar w:fldCharType="separate"/>
      </w:r>
      <w:r w:rsidR="009F0282">
        <w:rPr>
          <w:noProof/>
        </w:rPr>
        <w:t>25</w:t>
      </w:r>
      <w:r>
        <w:fldChar w:fldCharType="end"/>
      </w:r>
      <w:r>
        <w:t xml:space="preserve"> </w:t>
      </w:r>
      <w:r w:rsidRPr="00F1519B">
        <w:t>Dispositifs de prêts à disposition des bailleurs sociaux</w:t>
      </w:r>
      <w:r w:rsidR="00F502F5">
        <w:t xml:space="preserve"> en Hauts-de-France</w:t>
      </w:r>
    </w:p>
    <w:tbl>
      <w:tblPr>
        <w:tblStyle w:val="TableGrid"/>
        <w:tblW w:w="0" w:type="auto"/>
        <w:tblLook w:val="04A0" w:firstRow="1" w:lastRow="0" w:firstColumn="1" w:lastColumn="0" w:noHBand="0" w:noVBand="1"/>
      </w:tblPr>
      <w:tblGrid>
        <w:gridCol w:w="9062"/>
      </w:tblGrid>
      <w:tr w:rsidR="002D442F" w14:paraId="0D749087" w14:textId="77777777" w:rsidTr="006B2D66">
        <w:tc>
          <w:tcPr>
            <w:tcW w:w="9062"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4BD954FF" w14:textId="77777777" w:rsidR="002D442F" w:rsidRPr="002D442F" w:rsidRDefault="002D442F" w:rsidP="002D442F">
            <w:pPr>
              <w:pStyle w:val="Tablebullet1"/>
            </w:pPr>
            <w:r w:rsidRPr="005D51B6">
              <w:rPr>
                <w:b/>
                <w:bCs/>
              </w:rPr>
              <w:t>L’éco-prêt logement social (PLS) :</w:t>
            </w:r>
            <w:r w:rsidRPr="002D442F">
              <w:t xml:space="preserve"> destiné aux bailleurs sociaux, ce dispositif propose un prêt d’un montant de 9K à 22K€ par logement pour la réhabilitation des logements sociaux les plus énergivores afin de soulager les locataires de leur charge énergétique. Une majoration de 2K€ par logement est envisageable si les travaux réalisés permettent de justifier d’un label réglementaire de performance énergétique et de 3K€ par logement en cas de présence d’amiante dans le bâtiment. De 2009, année de sa mise en place, à aujourd’hui, trois générations de prêt se sont succédées, avec des conditions d’attribution différentes</w:t>
            </w:r>
            <w:r w:rsidRPr="005D51B6">
              <w:rPr>
                <w:rStyle w:val="FootnoteReference"/>
              </w:rPr>
              <w:footnoteReference w:id="16"/>
            </w:r>
            <w:r w:rsidRPr="002D442F">
              <w:t>.</w:t>
            </w:r>
          </w:p>
          <w:p w14:paraId="6B9EAAB1" w14:textId="768BD20B" w:rsidR="002D442F" w:rsidRPr="002D442F" w:rsidRDefault="002D442F" w:rsidP="002D442F">
            <w:pPr>
              <w:pStyle w:val="Tablebullet1"/>
            </w:pPr>
            <w:r w:rsidRPr="002D442F">
              <w:t>Dans le cadre du plan de relance suite à la crise sanitaire du premier semestre 2020, une enveloppe de 500 M€ a été dédiée à la rénovation énergétique et la réhabilitation lourde des logements sociaux, avec pour objectif de rénover 40 000 logements entre 2021 et 2022</w:t>
            </w:r>
            <w:r w:rsidRPr="00667180">
              <w:rPr>
                <w:rStyle w:val="FootnoteReference"/>
              </w:rPr>
              <w:footnoteReference w:id="17"/>
            </w:r>
            <w:r w:rsidRPr="002D442F">
              <w:t xml:space="preserve">. Il est, en outre, prévu de rénover 125 000 logements sociaux via des </w:t>
            </w:r>
            <w:r w:rsidRPr="004B6A23">
              <w:rPr>
                <w:b/>
                <w:bCs/>
              </w:rPr>
              <w:t>éco-prêts financés sur fonds d’épargne</w:t>
            </w:r>
            <w:r w:rsidRPr="002D442F">
              <w:t>. La Banque des Territoires accompagnera, notamment, les collectivités territoriales dans le montage et la finalisation de leurs projets</w:t>
            </w:r>
            <w:r w:rsidRPr="005D51B6">
              <w:rPr>
                <w:rStyle w:val="FootnoteReference"/>
              </w:rPr>
              <w:footnoteReference w:id="18"/>
            </w:r>
            <w:r w:rsidR="00DA5D67">
              <w:t>.</w:t>
            </w:r>
          </w:p>
          <w:p w14:paraId="37874867" w14:textId="04E745AB" w:rsidR="002D442F" w:rsidRDefault="00B81D80" w:rsidP="002D442F">
            <w:pPr>
              <w:pStyle w:val="Tablebullet1"/>
            </w:pPr>
            <w:r>
              <w:t xml:space="preserve">Banque du climat (Banque des Territoires et Bpifrance) cf.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00C7D64A" w14:textId="40CC7608" w:rsidR="008C1F02" w:rsidRPr="002D442F" w:rsidRDefault="00812CA1" w:rsidP="002D442F">
            <w:pPr>
              <w:pStyle w:val="Tablebullet1"/>
            </w:pPr>
            <w:r>
              <w:t>Arkéa Banque Entreprises et Institutionnels propose d</w:t>
            </w:r>
            <w:r w:rsidR="0009746C">
              <w:t xml:space="preserve">ifférents produits financiers aux bailleurs sociaux, dont des prêts bancaires et des </w:t>
            </w:r>
            <w:r w:rsidR="0009746C" w:rsidRPr="0009746C">
              <w:t xml:space="preserve">crédits courts termes pour </w:t>
            </w:r>
            <w:r w:rsidR="0009746C">
              <w:t>préfinancer</w:t>
            </w:r>
            <w:r w:rsidR="0009746C" w:rsidRPr="0009746C">
              <w:t xml:space="preserve"> </w:t>
            </w:r>
            <w:r w:rsidR="0009746C">
              <w:t>les</w:t>
            </w:r>
            <w:r w:rsidR="0009746C" w:rsidRPr="0009746C">
              <w:t xml:space="preserve"> opérations d’investissement en relai de subventions ou financement publiques</w:t>
            </w:r>
            <w:r w:rsidR="000F3C69">
              <w:rPr>
                <w:rStyle w:val="FootnoteReference"/>
              </w:rPr>
              <w:footnoteReference w:id="19"/>
            </w:r>
            <w:r w:rsidR="0009746C">
              <w:t>.</w:t>
            </w:r>
          </w:p>
        </w:tc>
      </w:tr>
    </w:tbl>
    <w:p w14:paraId="4EFE608F" w14:textId="77777777" w:rsidR="002D442F" w:rsidRDefault="002D442F" w:rsidP="006F400E">
      <w:pPr>
        <w:pStyle w:val="BodyText"/>
      </w:pPr>
    </w:p>
    <w:p w14:paraId="06F732AB" w14:textId="03510EF8" w:rsidR="002A1CCA" w:rsidRDefault="002E60A2" w:rsidP="006F400E">
      <w:pPr>
        <w:pStyle w:val="BodyText"/>
      </w:pPr>
      <w:r w:rsidRPr="0018076A">
        <w:t>Les</w:t>
      </w:r>
      <w:r w:rsidR="00F502F5" w:rsidRPr="0018076A">
        <w:t xml:space="preserve"> bailleurs sociaux</w:t>
      </w:r>
      <w:r w:rsidRPr="0018076A">
        <w:t xml:space="preserve"> de l’Oise</w:t>
      </w:r>
      <w:r w:rsidR="00F502F5" w:rsidRPr="0018076A">
        <w:t xml:space="preserve"> peuvent, en outre, bénéficier d</w:t>
      </w:r>
      <w:r w:rsidRPr="0018076A">
        <w:t xml:space="preserve">’une </w:t>
      </w:r>
      <w:r w:rsidRPr="00241363">
        <w:rPr>
          <w:b/>
          <w:bCs/>
        </w:rPr>
        <w:t>garantie</w:t>
      </w:r>
      <w:r w:rsidRPr="0018076A">
        <w:t xml:space="preserve"> </w:t>
      </w:r>
      <w:r w:rsidR="0018076A" w:rsidRPr="0018076A">
        <w:t>pour leurs emprunts, dans le cadre du Fonds Départemental d’Intervention en Faveur du logement (FDIL) mis en place pour le parc public</w:t>
      </w:r>
      <w:r w:rsidR="002A1CCA">
        <w:rPr>
          <w:rStyle w:val="FootnoteReference"/>
        </w:rPr>
        <w:footnoteReference w:id="20"/>
      </w:r>
      <w:r w:rsidR="0018076A" w:rsidRPr="0018076A">
        <w:t>.</w:t>
      </w:r>
      <w:r w:rsidR="0018076A">
        <w:t xml:space="preserve"> </w:t>
      </w:r>
      <w:r w:rsidR="002A1CCA">
        <w:t>La commune de Rouvroy a également mis en place des garanties d’emprunt pour les bailleurs sociaux</w:t>
      </w:r>
      <w:r w:rsidR="002A1CCA">
        <w:rPr>
          <w:rStyle w:val="FootnoteReference"/>
        </w:rPr>
        <w:footnoteReference w:id="21"/>
      </w:r>
      <w:r w:rsidR="002A1CCA">
        <w:t>.</w:t>
      </w:r>
    </w:p>
    <w:p w14:paraId="2575D734" w14:textId="054D58B7" w:rsidR="00F502F5" w:rsidRDefault="0018076A" w:rsidP="006F400E">
      <w:pPr>
        <w:pStyle w:val="BodyText"/>
      </w:pPr>
      <w:r>
        <w:t>Dans le cadre des investigations menées, seul</w:t>
      </w:r>
      <w:r w:rsidR="002A1CCA">
        <w:t>es</w:t>
      </w:r>
      <w:r>
        <w:t xml:space="preserve"> </w:t>
      </w:r>
      <w:r w:rsidR="002A1CCA">
        <w:t>ces collectivités</w:t>
      </w:r>
      <w:r>
        <w:t xml:space="preserve"> </w:t>
      </w:r>
      <w:r w:rsidR="002A1CCA">
        <w:t>ont</w:t>
      </w:r>
      <w:r>
        <w:t xml:space="preserve"> </w:t>
      </w:r>
      <w:r w:rsidR="006D07C6">
        <w:t xml:space="preserve">semblé </w:t>
      </w:r>
      <w:r w:rsidR="002A1CCA">
        <w:t>avoir mis</w:t>
      </w:r>
      <w:r w:rsidR="006D07C6">
        <w:t xml:space="preserve"> en place </w:t>
      </w:r>
      <w:r w:rsidR="002A1CCA">
        <w:t>un</w:t>
      </w:r>
      <w:r w:rsidR="006D07C6">
        <w:t xml:space="preserve"> tel dispos</w:t>
      </w:r>
      <w:r w:rsidR="00241363">
        <w:t>i</w:t>
      </w:r>
      <w:r w:rsidR="006D07C6">
        <w:t>tif.</w:t>
      </w:r>
    </w:p>
    <w:p w14:paraId="223C58A2" w14:textId="16F7E29D" w:rsidR="00155307" w:rsidRDefault="00155307" w:rsidP="006F400E">
      <w:pPr>
        <w:pStyle w:val="BodyText"/>
      </w:pPr>
      <w:r w:rsidRPr="00155307">
        <w:t>Plus récemment, des dispositifs dits « innovants », car ne correspondant pas aux solutions traditionnelles de la subvention ou du prêt, ont été développés à destination des bailleurs sociaux :</w:t>
      </w:r>
    </w:p>
    <w:p w14:paraId="30D76CF0" w14:textId="5D730472" w:rsidR="00833B4F" w:rsidRDefault="00833B4F" w:rsidP="00833B4F">
      <w:pPr>
        <w:pStyle w:val="Caption"/>
      </w:pPr>
      <w:r>
        <w:t xml:space="preserve">Encadré </w:t>
      </w:r>
      <w:r>
        <w:fldChar w:fldCharType="begin"/>
      </w:r>
      <w:r>
        <w:instrText xml:space="preserve"> SEQ Encadré \* ARABIC </w:instrText>
      </w:r>
      <w:r>
        <w:fldChar w:fldCharType="separate"/>
      </w:r>
      <w:r w:rsidR="009F0282">
        <w:rPr>
          <w:noProof/>
        </w:rPr>
        <w:t>26</w:t>
      </w:r>
      <w:r>
        <w:fldChar w:fldCharType="end"/>
      </w:r>
      <w:r>
        <w:t xml:space="preserve"> </w:t>
      </w:r>
      <w:r w:rsidRPr="00834184">
        <w:t>Dispositifs innovants à destination des bailleurs sociaux</w:t>
      </w:r>
      <w:r w:rsidR="00F502F5">
        <w:t xml:space="preserve"> en Hauts-de-France</w:t>
      </w:r>
    </w:p>
    <w:tbl>
      <w:tblPr>
        <w:tblStyle w:val="TableGrid"/>
        <w:tblW w:w="0" w:type="auto"/>
        <w:tblLook w:val="04A0" w:firstRow="1" w:lastRow="0" w:firstColumn="1" w:lastColumn="0" w:noHBand="0" w:noVBand="1"/>
      </w:tblPr>
      <w:tblGrid>
        <w:gridCol w:w="9062"/>
      </w:tblGrid>
      <w:tr w:rsidR="00A3389F" w14:paraId="25A1B46D" w14:textId="77777777" w:rsidTr="00A3389F">
        <w:tc>
          <w:tcPr>
            <w:tcW w:w="9062"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37F9B904" w14:textId="500B5969" w:rsidR="008609E3" w:rsidRPr="008609E3" w:rsidRDefault="008609E3" w:rsidP="008609E3">
            <w:pPr>
              <w:pStyle w:val="Tablebullet1"/>
            </w:pPr>
            <w:r w:rsidRPr="00833B4F">
              <w:rPr>
                <w:b/>
                <w:bCs/>
              </w:rPr>
              <w:t>Le Certificat d’Économie d’énergie (CEE)</w:t>
            </w:r>
            <w:r w:rsidRPr="008609E3">
              <w:t> </w:t>
            </w:r>
            <w:r w:rsidR="007D3AF6">
              <w:t xml:space="preserve">cf. </w:t>
            </w:r>
            <w:r w:rsidR="007D3AF6">
              <w:fldChar w:fldCharType="begin"/>
            </w:r>
            <w:r w:rsidR="007D3AF6">
              <w:instrText xml:space="preserve"> REF _Ref94016086 \h </w:instrText>
            </w:r>
            <w:r w:rsidR="007D3AF6">
              <w:fldChar w:fldCharType="separate"/>
            </w:r>
            <w:r w:rsidR="009F0282">
              <w:t xml:space="preserve">Encadré </w:t>
            </w:r>
            <w:r w:rsidR="009F0282">
              <w:rPr>
                <w:noProof/>
              </w:rPr>
              <w:t>23</w:t>
            </w:r>
            <w:r w:rsidR="007D3AF6">
              <w:fldChar w:fldCharType="end"/>
            </w:r>
          </w:p>
          <w:p w14:paraId="023B962A" w14:textId="614C9DFB" w:rsidR="008609E3" w:rsidRPr="008609E3" w:rsidRDefault="008609E3" w:rsidP="008609E3">
            <w:pPr>
              <w:pStyle w:val="Tablebullet1"/>
            </w:pPr>
            <w:r w:rsidRPr="006B61C7">
              <w:rPr>
                <w:b/>
                <w:bCs/>
              </w:rPr>
              <w:t>EnergieSprong</w:t>
            </w:r>
            <w:r w:rsidRPr="006B61C7">
              <w:rPr>
                <w:rStyle w:val="FootnoteReference"/>
              </w:rPr>
              <w:footnoteReference w:id="22"/>
            </w:r>
            <w:r w:rsidRPr="008609E3">
              <w:t xml:space="preserve"> est une initiative venant des Pays-Bas (« saut énergétique » en Hollandais) qui a l’ambition de déployer les rénovations énergétiques zéro énergie, c’est-à-dire un équilibre des consommations avec la production d’énergie de source </w:t>
            </w:r>
            <w:proofErr w:type="spellStart"/>
            <w:r w:rsidRPr="008609E3">
              <w:t>EnR</w:t>
            </w:r>
            <w:proofErr w:type="spellEnd"/>
            <w:r w:rsidRPr="008609E3">
              <w:t xml:space="preserve"> sur 30 ans. Les projets visés sont tout d’abord des logements sociaux, mais a pour ambition de s’étendre aux bâtiments éducatifs, les logements privés… EnergieSprong met aussi</w:t>
            </w:r>
            <w:r w:rsidR="00AB4541">
              <w:t xml:space="preserve"> </w:t>
            </w:r>
            <w:r w:rsidRPr="008609E3">
              <w:t>l’accent sur la rapidité des travaux par l’utilisation d’éléments préfabriqués et d’outils numériques avec une forte dimension de recyclage dans les procédés.</w:t>
            </w:r>
          </w:p>
          <w:p w14:paraId="42FC7637" w14:textId="77777777" w:rsidR="008609E3" w:rsidRPr="008609E3" w:rsidRDefault="008609E3" w:rsidP="006B61C7">
            <w:pPr>
              <w:pStyle w:val="Tablebullet1"/>
              <w:numPr>
                <w:ilvl w:val="0"/>
                <w:numId w:val="0"/>
              </w:numPr>
              <w:ind w:left="227"/>
            </w:pPr>
            <w:r w:rsidRPr="008609E3">
              <w:t>Le financement est partagé entre l’utilisation de fonds Européens (Programme Horizon 2020, Interreg E=0) et la valorisation des travaux par CEE, permettant de ne pas impacter financièrement les occupants, et de rembourser les travaux par les économies sur les factures énergétiques et la maintenance réalisée.</w:t>
            </w:r>
          </w:p>
          <w:p w14:paraId="472E6E45" w14:textId="77777777" w:rsidR="00DA0F14" w:rsidRDefault="008609E3" w:rsidP="00DA0F14">
            <w:pPr>
              <w:pStyle w:val="Tablebullet1"/>
              <w:numPr>
                <w:ilvl w:val="0"/>
                <w:numId w:val="0"/>
              </w:numPr>
              <w:ind w:left="227"/>
            </w:pPr>
            <w:r w:rsidRPr="008609E3">
              <w:t xml:space="preserve">Déployée en France depuis 2016, la démarche pilotée par l’entreprise </w:t>
            </w:r>
            <w:proofErr w:type="spellStart"/>
            <w:r w:rsidRPr="008609E3">
              <w:t>GreenFlex</w:t>
            </w:r>
            <w:proofErr w:type="spellEnd"/>
            <w:r w:rsidRPr="008609E3">
              <w:t xml:space="preserve"> et supervisée depuis 2019 par la DGEC et l’ADEME, a permis de rénover 3 lots de logements individuels en France, alors que d’autres projets de logements collectifs vont être livrés en 2020.</w:t>
            </w:r>
          </w:p>
          <w:p w14:paraId="06F8FB70" w14:textId="01DE341D" w:rsidR="00DA0F14" w:rsidRDefault="00DA0F14" w:rsidP="00DA0F14">
            <w:pPr>
              <w:pStyle w:val="Tablebullet1"/>
              <w:numPr>
                <w:ilvl w:val="0"/>
                <w:numId w:val="0"/>
              </w:numPr>
              <w:ind w:left="227"/>
            </w:pPr>
            <w:r>
              <w:t>En Hauts-de-France,</w:t>
            </w:r>
            <w:r w:rsidR="00E12B78">
              <w:t xml:space="preserve"> un travail </w:t>
            </w:r>
            <w:r w:rsidR="00A8783F">
              <w:t xml:space="preserve">collégial a été amorcé avec les entreprises et les bailleurs sociaux (les collectivités territoriales seront également incluses) afin de déployer cette initiative sur le territoire. Cependant, </w:t>
            </w:r>
            <w:r>
              <w:t>il existe plusieurs problématiques vis-à-vis du financement :</w:t>
            </w:r>
          </w:p>
          <w:p w14:paraId="18D29D74" w14:textId="77777777" w:rsidR="00DA0F14" w:rsidRDefault="00DA0F14" w:rsidP="00E12B78">
            <w:pPr>
              <w:pStyle w:val="Tablebullet2"/>
            </w:pPr>
            <w:r>
              <w:t>A court terme, l’absence d’industrie performante amène des surcoûts liés à l’innovation et à l’investissement nécessaire ;</w:t>
            </w:r>
          </w:p>
          <w:p w14:paraId="62EF3398" w14:textId="77777777" w:rsidR="00DA0F14" w:rsidRDefault="00DA0F14" w:rsidP="00E12B78">
            <w:pPr>
              <w:pStyle w:val="Tablebullet2"/>
            </w:pPr>
            <w:r>
              <w:t>A moyen et long termes, le financement des investissements devra être accompagné si la Région souhaite développer une véritable filière sur son territoire ;</w:t>
            </w:r>
          </w:p>
          <w:p w14:paraId="0D9B40DD" w14:textId="77777777" w:rsidR="00DA0F14" w:rsidRDefault="00DA0F14" w:rsidP="00E12B78">
            <w:pPr>
              <w:pStyle w:val="Tablebullet2"/>
            </w:pPr>
            <w:r>
              <w:t>A long terme, il faudra pouvoir provisionner le risque afin de garantir la performance dans le temps. La Région réfléchit aux potentielles solutions, à savoir un acteur tiers ou les bailleurs eux-mêmes.</w:t>
            </w:r>
          </w:p>
          <w:p w14:paraId="18140E51" w14:textId="77777777" w:rsidR="00DA0F14" w:rsidRDefault="00DA0F14" w:rsidP="00E12B78">
            <w:pPr>
              <w:pStyle w:val="Tablebullet1"/>
              <w:numPr>
                <w:ilvl w:val="0"/>
                <w:numId w:val="0"/>
              </w:numPr>
              <w:ind w:left="227"/>
            </w:pPr>
            <w:r>
              <w:t>De plus, les acteurs présentent des degrés de maturité différents. Ainsi, il serait pertinent de proposer des outils financiers adaptés qui n’ont, à ce stade, pas été quantifiés :</w:t>
            </w:r>
          </w:p>
          <w:p w14:paraId="5475FD76" w14:textId="77777777" w:rsidR="00DA0F14" w:rsidRDefault="00DA0F14" w:rsidP="00E12B78">
            <w:pPr>
              <w:pStyle w:val="Tablebullet2"/>
            </w:pPr>
            <w:r>
              <w:t>La subvention pour absorber les coûts des premiers démonstrateurs ;</w:t>
            </w:r>
          </w:p>
          <w:p w14:paraId="4D896F02" w14:textId="77777777" w:rsidR="00DA0F14" w:rsidRDefault="00DA0F14" w:rsidP="00E12B78">
            <w:pPr>
              <w:pStyle w:val="Tablebullet2"/>
            </w:pPr>
            <w:r>
              <w:t>Des avances remboursables pour accompagner le positionnement sur les opérations d’industrialisation de la rénovation énergétique ;</w:t>
            </w:r>
          </w:p>
          <w:p w14:paraId="4674B964" w14:textId="2F2DB82F" w:rsidR="00DA0F14" w:rsidRPr="008609E3" w:rsidRDefault="00DA0F14" w:rsidP="00E12B78">
            <w:pPr>
              <w:pStyle w:val="Tablebullet2"/>
            </w:pPr>
            <w:r>
              <w:t>Des dettes à long-terme pour massifier l’intervention et inciter les acteurs à investir ce marché</w:t>
            </w:r>
            <w:r>
              <w:rPr>
                <w:rStyle w:val="FootnoteReference"/>
              </w:rPr>
              <w:footnoteReference w:id="23"/>
            </w:r>
            <w:r>
              <w:t>.</w:t>
            </w:r>
          </w:p>
          <w:p w14:paraId="59F1A05B" w14:textId="6C442551" w:rsidR="00A3389F" w:rsidRPr="008609E3" w:rsidRDefault="008609E3" w:rsidP="008609E3">
            <w:pPr>
              <w:pStyle w:val="Tablebullet1"/>
            </w:pPr>
            <w:r w:rsidRPr="008609E3">
              <w:t xml:space="preserve">Dans un contexte de réaction à la situation sanitaire en 2020, l’Anah développe </w:t>
            </w:r>
            <w:r w:rsidRPr="00C16F65">
              <w:rPr>
                <w:b/>
                <w:bCs/>
              </w:rPr>
              <w:t>Action Cœur de Ville</w:t>
            </w:r>
            <w:r w:rsidRPr="008609E3">
              <w:t xml:space="preserve">, un groupe de nouveaux dispositifs à destination des opérateurs institutionnels et parapublics : la </w:t>
            </w:r>
            <w:r w:rsidRPr="0017364D">
              <w:rPr>
                <w:b/>
                <w:bCs/>
              </w:rPr>
              <w:t>vente d’immeuble à rénover (VIR)</w:t>
            </w:r>
            <w:r w:rsidRPr="008609E3">
              <w:t xml:space="preserve"> et le </w:t>
            </w:r>
            <w:r w:rsidRPr="0017364D">
              <w:rPr>
                <w:b/>
                <w:bCs/>
              </w:rPr>
              <w:t>dispositif d’intervention immobilière et foncière (DIIF)</w:t>
            </w:r>
            <w:r w:rsidRPr="008609E3">
              <w:t xml:space="preserve"> ont pour but de les aider à réhabiliter le parc de logements en mauvais état dans les centres-villes puis à céder ces logements sous forme de revente ou de location conventionnée. Ces dispositifs permettent aux futurs propriétaires et locataires de profiter indirectement de l’aide</w:t>
            </w:r>
            <w:r w:rsidRPr="00C16F65">
              <w:rPr>
                <w:rStyle w:val="FootnoteReference"/>
              </w:rPr>
              <w:footnoteReference w:id="24"/>
            </w:r>
            <w:r w:rsidRPr="008609E3">
              <w:t>.</w:t>
            </w:r>
          </w:p>
        </w:tc>
      </w:tr>
    </w:tbl>
    <w:p w14:paraId="0593C2C1" w14:textId="77777777" w:rsidR="00A3389F" w:rsidRDefault="00A3389F" w:rsidP="006F400E">
      <w:pPr>
        <w:pStyle w:val="BodyText"/>
      </w:pPr>
    </w:p>
    <w:p w14:paraId="0E80CB25" w14:textId="4601C5A3" w:rsidR="0088560C" w:rsidRDefault="0088560C" w:rsidP="00465424">
      <w:pPr>
        <w:pStyle w:val="Heading3"/>
      </w:pPr>
      <w:bookmarkStart w:id="64" w:name="_Toc93390273"/>
      <w:r>
        <w:t xml:space="preserve">Le </w:t>
      </w:r>
      <w:r w:rsidR="00465424">
        <w:t>financement du</w:t>
      </w:r>
      <w:r>
        <w:t xml:space="preserve"> bâti résidentiel </w:t>
      </w:r>
      <w:r w:rsidR="005C2794">
        <w:t>privé</w:t>
      </w:r>
      <w:r w:rsidR="00465424">
        <w:t xml:space="preserve"> en Hauts-de-France</w:t>
      </w:r>
      <w:bookmarkEnd w:id="64"/>
    </w:p>
    <w:p w14:paraId="7052E7AB" w14:textId="77777777" w:rsidR="007915EA" w:rsidRDefault="007915EA" w:rsidP="007915EA">
      <w:pPr>
        <w:pStyle w:val="BodyText"/>
      </w:pPr>
      <w:r w:rsidRPr="00D94B30">
        <w:rPr>
          <w:b/>
        </w:rPr>
        <w:t>L’offre dédiée au financement des rénovations de logements privés est particulièrement fournie.</w:t>
      </w:r>
      <w:r w:rsidRPr="00D94B30">
        <w:t xml:space="preserve"> Il existe de nombreuses aides adaptées à différents revenus ou type de bâtiment, à la fois à l’échelle nationale et régionale</w:t>
      </w:r>
      <w:r>
        <w:t>. Les subventions dépendent souvent des revenus des ménages, ce qui explique les possibles disparités selon les tranches de revenus</w:t>
      </w:r>
      <w:r>
        <w:rPr>
          <w:rStyle w:val="FootnoteReference"/>
        </w:rPr>
        <w:footnoteReference w:id="25"/>
      </w:r>
      <w:r>
        <w:t>.</w:t>
      </w:r>
    </w:p>
    <w:p w14:paraId="0E807812" w14:textId="77777777" w:rsidR="00E67616" w:rsidRDefault="00E67616" w:rsidP="00E67616">
      <w:pPr>
        <w:pStyle w:val="BodyText"/>
      </w:pPr>
      <w:r>
        <w:t>Les soutiens aux travaux de rénovation énergétique interviennent sur la prise de décision et sur la mise en œuvre.</w:t>
      </w:r>
    </w:p>
    <w:p w14:paraId="718AF086" w14:textId="77777777" w:rsidR="00E67616" w:rsidRDefault="00E67616" w:rsidP="00E67616">
      <w:pPr>
        <w:pStyle w:val="BodyText"/>
      </w:pPr>
      <w:r>
        <w:t>Concernant les dispositifs en soutien au déclenchement des travaux :</w:t>
      </w:r>
    </w:p>
    <w:p w14:paraId="5CE7703F" w14:textId="58821A59" w:rsidR="00750AAB" w:rsidRDefault="00D41B92" w:rsidP="00D234A8">
      <w:pPr>
        <w:pStyle w:val="Bullet1"/>
      </w:pPr>
      <w:r w:rsidRPr="0059485A">
        <w:t xml:space="preserve">Le </w:t>
      </w:r>
      <w:r w:rsidR="00FA4A94" w:rsidRPr="0084798A">
        <w:rPr>
          <w:b/>
        </w:rPr>
        <w:t>réseau</w:t>
      </w:r>
      <w:r w:rsidRPr="0084798A">
        <w:rPr>
          <w:b/>
        </w:rPr>
        <w:t xml:space="preserve"> nationa</w:t>
      </w:r>
      <w:r w:rsidR="004B7579" w:rsidRPr="0084798A">
        <w:rPr>
          <w:b/>
        </w:rPr>
        <w:t>l</w:t>
      </w:r>
      <w:r w:rsidRPr="0084798A">
        <w:rPr>
          <w:b/>
        </w:rPr>
        <w:t xml:space="preserve"> FAIRE</w:t>
      </w:r>
      <w:r w:rsidR="005A5293" w:rsidRPr="0084798A">
        <w:rPr>
          <w:b/>
        </w:rPr>
        <w:t xml:space="preserve"> (Faciliter, Accompagner et Informer pour la Rénovation Énergétique)</w:t>
      </w:r>
      <w:r w:rsidRPr="0084798A">
        <w:rPr>
          <w:b/>
        </w:rPr>
        <w:t xml:space="preserve"> </w:t>
      </w:r>
      <w:r w:rsidR="004B7579" w:rsidRPr="0084798A">
        <w:rPr>
          <w:bCs/>
        </w:rPr>
        <w:t xml:space="preserve">est </w:t>
      </w:r>
      <w:r w:rsidR="005A5293" w:rsidRPr="0084798A">
        <w:rPr>
          <w:bCs/>
        </w:rPr>
        <w:t>présent en Hauts-de-France</w:t>
      </w:r>
      <w:r w:rsidR="009E1113" w:rsidRPr="0084798A">
        <w:rPr>
          <w:bCs/>
        </w:rPr>
        <w:t xml:space="preserve"> pour </w:t>
      </w:r>
      <w:r w:rsidR="00A8104D" w:rsidRPr="0084798A">
        <w:rPr>
          <w:bCs/>
        </w:rPr>
        <w:t>aider les propriétaires à réaliser gratuitement le bilan de leur consommation énergétique</w:t>
      </w:r>
      <w:r w:rsidR="0075269B" w:rsidRPr="0084798A">
        <w:rPr>
          <w:bCs/>
        </w:rPr>
        <w:t>,</w:t>
      </w:r>
      <w:r w:rsidR="00A8104D" w:rsidRPr="0084798A">
        <w:rPr>
          <w:bCs/>
        </w:rPr>
        <w:t xml:space="preserve"> à trouver les solutions de rénovation adaptées à leurs besoins</w:t>
      </w:r>
      <w:r w:rsidR="0075269B" w:rsidRPr="0084798A">
        <w:rPr>
          <w:bCs/>
        </w:rPr>
        <w:t>, et à identifier les aides financières dont ils pourraient bénéficier</w:t>
      </w:r>
      <w:r w:rsidR="00A8104D" w:rsidRPr="0084798A">
        <w:rPr>
          <w:bCs/>
        </w:rPr>
        <w:t>.</w:t>
      </w:r>
      <w:r w:rsidR="0084798A">
        <w:t xml:space="preserve"> </w:t>
      </w:r>
      <w:r w:rsidR="0084798A" w:rsidRPr="0084798A">
        <w:rPr>
          <w:b/>
        </w:rPr>
        <w:t>Le</w:t>
      </w:r>
      <w:r w:rsidRPr="0084798A">
        <w:rPr>
          <w:b/>
        </w:rPr>
        <w:t xml:space="preserve"> </w:t>
      </w:r>
      <w:r w:rsidR="0084798A" w:rsidRPr="0084798A">
        <w:rPr>
          <w:b/>
        </w:rPr>
        <w:t xml:space="preserve">dispositif </w:t>
      </w:r>
      <w:r w:rsidRPr="0084798A">
        <w:rPr>
          <w:b/>
        </w:rPr>
        <w:t>SARE</w:t>
      </w:r>
      <w:r w:rsidR="00B802F4" w:rsidRPr="0084798A">
        <w:rPr>
          <w:b/>
        </w:rPr>
        <w:t xml:space="preserve"> (</w:t>
      </w:r>
      <w:r w:rsidR="00157A85" w:rsidRPr="0084798A">
        <w:rPr>
          <w:b/>
        </w:rPr>
        <w:t>Service d’accompagnement pour la rénovation énergétique)</w:t>
      </w:r>
      <w:r w:rsidRPr="0059485A">
        <w:t xml:space="preserve"> </w:t>
      </w:r>
      <w:r w:rsidR="0084798A">
        <w:t>va</w:t>
      </w:r>
      <w:r w:rsidR="00861C54">
        <w:t xml:space="preserve"> être</w:t>
      </w:r>
      <w:r w:rsidR="0084798A">
        <w:t xml:space="preserve"> prochainement</w:t>
      </w:r>
      <w:r w:rsidRPr="0059485A">
        <w:t xml:space="preserve"> disponible pour </w:t>
      </w:r>
      <w:r w:rsidR="00DA22CB">
        <w:t xml:space="preserve">assurer </w:t>
      </w:r>
      <w:r w:rsidR="003A4CFA">
        <w:t>un parcours complet d’accompagnement</w:t>
      </w:r>
      <w:r w:rsidR="00995D7E">
        <w:t>, avec une articulation entre</w:t>
      </w:r>
      <w:r w:rsidR="00FF5C08">
        <w:t xml:space="preserve"> les collectivités,</w:t>
      </w:r>
      <w:r w:rsidR="00995D7E">
        <w:t xml:space="preserve"> les espaces FAIRE</w:t>
      </w:r>
      <w:r w:rsidR="00FF5C08">
        <w:t>,</w:t>
      </w:r>
      <w:r w:rsidR="00995D7E">
        <w:t xml:space="preserve"> les services publics d’accueil et de conseil</w:t>
      </w:r>
      <w:r w:rsidR="006B08F8">
        <w:t>,</w:t>
      </w:r>
      <w:r w:rsidR="006A37D2">
        <w:t xml:space="preserve"> et</w:t>
      </w:r>
      <w:r w:rsidR="006B08F8">
        <w:t xml:space="preserve"> les professionnels</w:t>
      </w:r>
      <w:r w:rsidR="00995D7E">
        <w:t>.</w:t>
      </w:r>
    </w:p>
    <w:p w14:paraId="1239B788" w14:textId="5DFC32A7" w:rsidR="00D800B5" w:rsidRDefault="00D800B5" w:rsidP="00D234A8">
      <w:pPr>
        <w:pStyle w:val="Bullet1"/>
      </w:pPr>
      <w:r>
        <w:t xml:space="preserve">La Région met à disposition des habitants du territoire la </w:t>
      </w:r>
      <w:r w:rsidRPr="00F379E5">
        <w:rPr>
          <w:b/>
          <w:bCs/>
        </w:rPr>
        <w:t xml:space="preserve">Régie régionale du Service Public de l’Efficacité </w:t>
      </w:r>
      <w:r w:rsidR="00F379E5" w:rsidRPr="00F379E5">
        <w:rPr>
          <w:b/>
          <w:bCs/>
        </w:rPr>
        <w:t>Énergétique</w:t>
      </w:r>
      <w:r w:rsidR="00F379E5">
        <w:t xml:space="preserve"> </w:t>
      </w:r>
      <w:r w:rsidR="00F379E5" w:rsidRPr="00F379E5">
        <w:rPr>
          <w:b/>
          <w:bCs/>
        </w:rPr>
        <w:t>(SPEE)</w:t>
      </w:r>
      <w:r>
        <w:t xml:space="preserve"> qui </w:t>
      </w:r>
      <w:r w:rsidR="00492B19">
        <w:t>accompagne</w:t>
      </w:r>
      <w:r w:rsidR="008C08EC">
        <w:t xml:space="preserve"> techniquement et financièrement</w:t>
      </w:r>
      <w:r w:rsidR="00492B19">
        <w:t xml:space="preserve"> les propriétaires et copropriétaires, bailleurs et occupants, </w:t>
      </w:r>
      <w:r w:rsidR="00F379E5">
        <w:t>sans condition de ressources</w:t>
      </w:r>
      <w:r w:rsidR="008C08EC">
        <w:t xml:space="preserve"> ni d’âge</w:t>
      </w:r>
      <w:r w:rsidR="00C84908">
        <w:t xml:space="preserve"> (cf. </w:t>
      </w:r>
      <w:r w:rsidR="00C84908">
        <w:fldChar w:fldCharType="begin"/>
      </w:r>
      <w:r w:rsidR="00C84908">
        <w:instrText xml:space="preserve"> REF _Ref75541293 \h </w:instrText>
      </w:r>
      <w:r w:rsidR="00C84908">
        <w:fldChar w:fldCharType="separate"/>
      </w:r>
      <w:r w:rsidR="009F0282">
        <w:t xml:space="preserve">Encadré </w:t>
      </w:r>
      <w:r w:rsidR="009F0282">
        <w:rPr>
          <w:noProof/>
        </w:rPr>
        <w:t>27</w:t>
      </w:r>
      <w:r w:rsidR="00C84908">
        <w:fldChar w:fldCharType="end"/>
      </w:r>
      <w:r w:rsidR="00C84908">
        <w:t>).</w:t>
      </w:r>
    </w:p>
    <w:p w14:paraId="78879BC2" w14:textId="1951267C" w:rsidR="005C2794" w:rsidRPr="005C2794" w:rsidRDefault="00C56234" w:rsidP="00E67616">
      <w:pPr>
        <w:pStyle w:val="Bullet1"/>
      </w:pPr>
      <w:r>
        <w:t xml:space="preserve">La Région propose un </w:t>
      </w:r>
      <w:r w:rsidRPr="001C7DC4">
        <w:rPr>
          <w:b/>
          <w:bCs/>
        </w:rPr>
        <w:t>Passeport Énergétique du Logement (PEL)</w:t>
      </w:r>
      <w:r w:rsidR="00D57BC7">
        <w:t xml:space="preserve"> qui </w:t>
      </w:r>
      <w:r w:rsidR="001C53FC">
        <w:t xml:space="preserve">permet aux </w:t>
      </w:r>
      <w:r w:rsidR="00A85393">
        <w:t>propriétaires occupants et bailleurs</w:t>
      </w:r>
      <w:r w:rsidR="001C53FC">
        <w:t xml:space="preserve"> d</w:t>
      </w:r>
      <w:r w:rsidR="007828E6">
        <w:t xml:space="preserve">’identifier </w:t>
      </w:r>
      <w:r w:rsidR="00F223FC">
        <w:t xml:space="preserve">les travaux de rénovation énergétique à engager, </w:t>
      </w:r>
      <w:r w:rsidR="00A85393">
        <w:t xml:space="preserve">et </w:t>
      </w:r>
      <w:r w:rsidR="00F223FC">
        <w:t xml:space="preserve">d’estimer </w:t>
      </w:r>
      <w:r w:rsidR="00A85393">
        <w:t>leur coût et leur phasage dans le temps. Une aide de 1</w:t>
      </w:r>
      <w:r w:rsidR="002A332E">
        <w:t>K</w:t>
      </w:r>
      <w:r w:rsidR="00A85393">
        <w:t xml:space="preserve">€ est </w:t>
      </w:r>
      <w:r w:rsidR="00DE7D24">
        <w:t>directement versée au professionnel qui aura réalisé le PEL, afin que les propriétaires n’aient pas à avancer la somme.</w:t>
      </w:r>
    </w:p>
    <w:p w14:paraId="593E1758" w14:textId="31921C51" w:rsidR="00CA5153" w:rsidRDefault="00CA5153" w:rsidP="00E67616">
      <w:pPr>
        <w:pStyle w:val="Bullet1"/>
      </w:pPr>
      <w:r>
        <w:t xml:space="preserve">Le Département de l’Oise a mis en place un </w:t>
      </w:r>
      <w:r w:rsidR="005D7ECD" w:rsidRPr="005D7ECD">
        <w:rPr>
          <w:b/>
          <w:bCs/>
        </w:rPr>
        <w:t>programme d’intérêt général</w:t>
      </w:r>
      <w:r w:rsidR="005D7ECD" w:rsidRPr="005D7ECD">
        <w:t xml:space="preserve"> contractualisé avec l’ANAH où une ingénierie et des aides spécifiques</w:t>
      </w:r>
      <w:r w:rsidR="005D7ECD">
        <w:t xml:space="preserve"> sont proposées aux </w:t>
      </w:r>
      <w:r w:rsidR="005D7ECD" w:rsidRPr="005D7ECD">
        <w:t>ménages modestes et très modestes</w:t>
      </w:r>
      <w:r w:rsidR="005D7ECD">
        <w:t xml:space="preserve">. Ce programme a </w:t>
      </w:r>
      <w:r w:rsidR="00F133FB">
        <w:t xml:space="preserve">pour objectif de </w:t>
      </w:r>
      <w:r w:rsidR="009073B1">
        <w:t xml:space="preserve">détecter les personnes en grande précarité </w:t>
      </w:r>
      <w:r w:rsidR="00F133FB">
        <w:t xml:space="preserve">et économique et finance donc </w:t>
      </w:r>
      <w:r w:rsidR="00835DDB">
        <w:t xml:space="preserve">aussi </w:t>
      </w:r>
      <w:r w:rsidR="00F133FB">
        <w:t xml:space="preserve">des </w:t>
      </w:r>
      <w:r w:rsidR="00835DDB">
        <w:t>projets ne concernant pas l’efficacité énergétique (</w:t>
      </w:r>
      <w:r w:rsidR="00D5590B">
        <w:t>isolation de combles, paiement de factures d’électricité, paiement d’un chauffage d’appoint</w:t>
      </w:r>
      <w:r w:rsidR="00CA731C">
        <w:t>, etc.)</w:t>
      </w:r>
      <w:r w:rsidR="00CA731C">
        <w:rPr>
          <w:rStyle w:val="FootnoteReference"/>
        </w:rPr>
        <w:footnoteReference w:id="26"/>
      </w:r>
      <w:r w:rsidR="00CA731C">
        <w:t>.</w:t>
      </w:r>
    </w:p>
    <w:p w14:paraId="76037B9E" w14:textId="6C107C0C" w:rsidR="007C75F4" w:rsidRDefault="007C75F4" w:rsidP="00E67616">
      <w:pPr>
        <w:pStyle w:val="Bullet1"/>
      </w:pPr>
      <w:r>
        <w:t>La Métropole européenne de Lille</w:t>
      </w:r>
      <w:r w:rsidR="00142F96">
        <w:t xml:space="preserve"> a mis en place </w:t>
      </w:r>
      <w:r w:rsidR="00142F96" w:rsidRPr="009E385C">
        <w:rPr>
          <w:b/>
          <w:bCs/>
        </w:rPr>
        <w:t xml:space="preserve">un </w:t>
      </w:r>
      <w:r w:rsidR="0068517D">
        <w:rPr>
          <w:b/>
          <w:bCs/>
        </w:rPr>
        <w:t>guichet unique</w:t>
      </w:r>
      <w:r w:rsidR="00142F96" w:rsidRPr="009E385C">
        <w:rPr>
          <w:b/>
          <w:bCs/>
        </w:rPr>
        <w:t xml:space="preserve"> de conseil et d’accompagnement</w:t>
      </w:r>
      <w:r w:rsidR="009E385C" w:rsidRPr="009E385C">
        <w:rPr>
          <w:b/>
          <w:bCs/>
        </w:rPr>
        <w:t xml:space="preserve"> à la rénovation </w:t>
      </w:r>
      <w:r w:rsidR="009E385C">
        <w:rPr>
          <w:b/>
          <w:bCs/>
        </w:rPr>
        <w:t>énergétique</w:t>
      </w:r>
      <w:r w:rsidR="009E385C" w:rsidRPr="009E385C">
        <w:rPr>
          <w:b/>
          <w:bCs/>
        </w:rPr>
        <w:t xml:space="preserve"> de l’habitat</w:t>
      </w:r>
      <w:r w:rsidR="009E385C">
        <w:rPr>
          <w:b/>
          <w:bCs/>
        </w:rPr>
        <w:t>,</w:t>
      </w:r>
      <w:r w:rsidR="00142F96" w:rsidRPr="009E385C">
        <w:rPr>
          <w:b/>
          <w:bCs/>
        </w:rPr>
        <w:t xml:space="preserve"> AMELIO</w:t>
      </w:r>
      <w:r w:rsidR="00EE781A">
        <w:rPr>
          <w:b/>
          <w:bCs/>
        </w:rPr>
        <w:t xml:space="preserve">+ </w:t>
      </w:r>
      <w:r w:rsidR="0068517D">
        <w:t xml:space="preserve">(destiné aux particuliers éligibles aux aides de l’ANAH) </w:t>
      </w:r>
      <w:r w:rsidR="00EE781A">
        <w:rPr>
          <w:b/>
          <w:bCs/>
        </w:rPr>
        <w:t>et AMELIO</w:t>
      </w:r>
      <w:r w:rsidR="00BD301E">
        <w:rPr>
          <w:b/>
          <w:bCs/>
        </w:rPr>
        <w:t xml:space="preserve"> Pro</w:t>
      </w:r>
      <w:r w:rsidR="00C84908">
        <w:t xml:space="preserve"> (qui s’adresse aux ménages aux revenus « intermédiaires » et « supérieurs », non éligibles aux aides de l’ANAH)</w:t>
      </w:r>
      <w:r w:rsidR="009E385C">
        <w:t>,</w:t>
      </w:r>
      <w:r w:rsidR="00E93EF7">
        <w:t xml:space="preserve"> qui propose des services de diagnostic énergétique, de sélection des artisans, de contrôle des devis, de montage administratif des dossiers d’aides de financement et de suivi du chantier.</w:t>
      </w:r>
    </w:p>
    <w:p w14:paraId="1E77B673" w14:textId="31F8761F" w:rsidR="00C91E9B" w:rsidRDefault="00F817B8" w:rsidP="00C91E9B">
      <w:pPr>
        <w:pStyle w:val="Bullet1"/>
      </w:pPr>
      <w:r>
        <w:t xml:space="preserve">La Métropole d’Amiens a mis en place le </w:t>
      </w:r>
      <w:r w:rsidRPr="0069551B">
        <w:rPr>
          <w:b/>
          <w:bCs/>
        </w:rPr>
        <w:t>Lieu d’Accueil Unique pour la Rénovation Énergétique (LAURE)</w:t>
      </w:r>
      <w:r>
        <w:t xml:space="preserve"> qui informe et conseille gratuitement sur les aides financières, la réglementation, les techniques de travaux, les économies réalisables, les matériaux, etc. Il propose également un accompagnement vers les solutions travaux les plus adaptés et les dispositifs d’aides les plus cohérents vis-à-vis du projet.</w:t>
      </w:r>
    </w:p>
    <w:p w14:paraId="25D026AF" w14:textId="0D593135" w:rsidR="00461D51" w:rsidRDefault="00461D51" w:rsidP="00C91E9B">
      <w:pPr>
        <w:pStyle w:val="Bullet1"/>
      </w:pPr>
      <w:r>
        <w:t xml:space="preserve">La Communauté de communes de la Picardie Verte a mis en place, en 2016, sa </w:t>
      </w:r>
      <w:r w:rsidR="00405782" w:rsidRPr="00DD3EE3">
        <w:rPr>
          <w:b/>
        </w:rPr>
        <w:t>Plateforme de la rénovation énergétique de l’habitat</w:t>
      </w:r>
      <w:r w:rsidR="00C32BD7">
        <w:rPr>
          <w:rStyle w:val="FootnoteReference"/>
          <w:b/>
          <w:bCs/>
        </w:rPr>
        <w:footnoteReference w:id="27"/>
      </w:r>
      <w:r w:rsidR="00405782">
        <w:t xml:space="preserve"> qui met à disposition un animateur pour </w:t>
      </w:r>
      <w:r w:rsidR="008E0600">
        <w:t xml:space="preserve">conseiller et </w:t>
      </w:r>
      <w:r w:rsidR="00405782">
        <w:t xml:space="preserve">accompagner les habitants du territoire </w:t>
      </w:r>
      <w:r w:rsidR="005A6DA9">
        <w:t xml:space="preserve">sur les travaux, sur le plan technique, administratif et financier. Cet animateur travaille aussi avec les professionnels </w:t>
      </w:r>
      <w:r w:rsidR="00B25082">
        <w:t xml:space="preserve">en leur proposant des formations certifiantes et un appui dans leurs démarches </w:t>
      </w:r>
      <w:proofErr w:type="spellStart"/>
      <w:r w:rsidR="00B25082">
        <w:t>adminstratives</w:t>
      </w:r>
      <w:proofErr w:type="spellEnd"/>
      <w:r w:rsidR="00B25082">
        <w:t>.</w:t>
      </w:r>
    </w:p>
    <w:p w14:paraId="1CC9146A" w14:textId="72443F4C" w:rsidR="00927CCB" w:rsidRDefault="00927CCB" w:rsidP="00927CCB">
      <w:pPr>
        <w:pStyle w:val="Caption"/>
      </w:pPr>
      <w:bookmarkStart w:id="65" w:name="_Ref75541293"/>
      <w:r>
        <w:t xml:space="preserve">Encadré </w:t>
      </w:r>
      <w:r>
        <w:fldChar w:fldCharType="begin"/>
      </w:r>
      <w:r>
        <w:instrText xml:space="preserve"> SEQ Encadré \* ARABIC </w:instrText>
      </w:r>
      <w:r>
        <w:fldChar w:fldCharType="separate"/>
      </w:r>
      <w:r w:rsidR="009F0282">
        <w:rPr>
          <w:noProof/>
        </w:rPr>
        <w:t>27</w:t>
      </w:r>
      <w:r>
        <w:fldChar w:fldCharType="end"/>
      </w:r>
      <w:bookmarkEnd w:id="65"/>
      <w:r>
        <w:t xml:space="preserve"> Le Service Public régional de l'Efficacité Énergétique (SPEE des Hauts-de-France)</w:t>
      </w:r>
    </w:p>
    <w:tbl>
      <w:tblPr>
        <w:tblStyle w:val="TechnopolisTable"/>
        <w:tblW w:w="0" w:type="auto"/>
        <w:tblLook w:val="0480" w:firstRow="0" w:lastRow="0" w:firstColumn="1" w:lastColumn="0" w:noHBand="0" w:noVBand="1"/>
      </w:tblPr>
      <w:tblGrid>
        <w:gridCol w:w="1976"/>
      </w:tblGrid>
      <w:tr w:rsidR="00927CCB" w14:paraId="1D1EB9D5" w14:textId="77777777" w:rsidTr="00DD3EE3">
        <w:trPr>
          <w:cnfStyle w:val="000000100000" w:firstRow="0" w:lastRow="0" w:firstColumn="0" w:lastColumn="0" w:oddVBand="0" w:evenVBand="0" w:oddHBand="1" w:evenHBand="0" w:firstRowFirstColumn="0" w:firstRowLastColumn="0" w:lastRowFirstColumn="0" w:lastRowLastColumn="0"/>
        </w:trPr>
        <w:tc>
          <w:tcPr>
            <w:tcW w:w="0" w:type="dxa"/>
          </w:tcPr>
          <w:p w14:paraId="6920E4D9" w14:textId="77777777" w:rsidR="00927CCB" w:rsidRPr="00CF67DC" w:rsidRDefault="00927CCB" w:rsidP="00C66629">
            <w:pPr>
              <w:pStyle w:val="Tabletext"/>
            </w:pPr>
            <w:r w:rsidRPr="00CF67DC">
              <w:t xml:space="preserve">Initié fin 2013 par l’ex-Région Picardie, le Service Public régional de l’Efficacité Énergétique (SPEE des Hauts-de-France) est le premier opérateur public français dédié à la rénovation énergétique des logements individuels et collectifs du parc résidentiel privé. Avec ce service public local, la </w:t>
            </w:r>
            <w:r>
              <w:t>R</w:t>
            </w:r>
            <w:r w:rsidRPr="00CF67DC">
              <w:t>égion vise une amélioration de son parc résidentiel par la baisse des consommations énergétiques, la lutte contre la précarité énergétique et une relance de l’économie locale dans la filière du bâtiment. Depuis décembre 2017, le SPEE propose deux services :</w:t>
            </w:r>
          </w:p>
          <w:p w14:paraId="2DF83778" w14:textId="77777777" w:rsidR="00927CCB" w:rsidRPr="00AE579F" w:rsidRDefault="00927CCB" w:rsidP="00C66629">
            <w:pPr>
              <w:pStyle w:val="Tablebullet1"/>
            </w:pPr>
            <w:proofErr w:type="spellStart"/>
            <w:r w:rsidRPr="00A22DB8">
              <w:t>Pass</w:t>
            </w:r>
            <w:proofErr w:type="spellEnd"/>
            <w:r w:rsidRPr="00A22DB8">
              <w:t xml:space="preserve"> Rénovation</w:t>
            </w:r>
            <w:r w:rsidRPr="00AE579F">
              <w:t xml:space="preserve"> </w:t>
            </w:r>
            <w:r>
              <w:t>(</w:t>
            </w:r>
            <w:r w:rsidRPr="00AE579F">
              <w:t xml:space="preserve">anciennement </w:t>
            </w:r>
            <w:proofErr w:type="spellStart"/>
            <w:r w:rsidRPr="00AE579F">
              <w:t>Pass</w:t>
            </w:r>
            <w:proofErr w:type="spellEnd"/>
            <w:r w:rsidRPr="00AE579F">
              <w:t xml:space="preserve"> Picardie Rénovation</w:t>
            </w:r>
            <w:r>
              <w:t>)</w:t>
            </w:r>
            <w:r w:rsidRPr="00AE579F">
              <w:t xml:space="preserve"> pour les propriétaires de logements individuels et les communes</w:t>
            </w:r>
            <w:r>
              <w:t> ;</w:t>
            </w:r>
          </w:p>
          <w:p w14:paraId="2674B9E2" w14:textId="77777777" w:rsidR="00927CCB" w:rsidRPr="00AE579F" w:rsidRDefault="00927CCB" w:rsidP="00C66629">
            <w:pPr>
              <w:pStyle w:val="Tablebullet1"/>
            </w:pPr>
            <w:r w:rsidRPr="00AE579F">
              <w:t xml:space="preserve">Hauts-de-France </w:t>
            </w:r>
            <w:proofErr w:type="spellStart"/>
            <w:r w:rsidRPr="00AE579F">
              <w:t>Pass</w:t>
            </w:r>
            <w:proofErr w:type="spellEnd"/>
            <w:r w:rsidRPr="00AE579F">
              <w:t xml:space="preserve"> Copropriété : spécifique aux projets des syndicats de copropriétaires et déployé sur toute la Région Hauts-de-France.</w:t>
            </w:r>
          </w:p>
          <w:p w14:paraId="670BCAEC" w14:textId="77777777" w:rsidR="00927CCB" w:rsidRPr="00CF67DC" w:rsidRDefault="00927CCB" w:rsidP="00C66629">
            <w:pPr>
              <w:pStyle w:val="Tabletext"/>
            </w:pPr>
            <w:r w:rsidRPr="00AE579F">
              <w:t xml:space="preserve">Le </w:t>
            </w:r>
            <w:r w:rsidRPr="00A22DB8">
              <w:rPr>
                <w:b/>
                <w:bCs/>
              </w:rPr>
              <w:t xml:space="preserve">service </w:t>
            </w:r>
            <w:proofErr w:type="spellStart"/>
            <w:r w:rsidRPr="00A22DB8">
              <w:rPr>
                <w:b/>
                <w:bCs/>
              </w:rPr>
              <w:t>Pass</w:t>
            </w:r>
            <w:proofErr w:type="spellEnd"/>
            <w:r w:rsidRPr="00A22DB8">
              <w:rPr>
                <w:b/>
                <w:bCs/>
              </w:rPr>
              <w:t xml:space="preserve"> Rénovation</w:t>
            </w:r>
            <w:r w:rsidRPr="00CF67DC">
              <w:t xml:space="preserve"> propose un accompagnement avant, pendant et après les travaux, et propose aussi une solution de financement qui repose sur le principe de tiers-financement.</w:t>
            </w:r>
            <w:r>
              <w:t xml:space="preserve"> </w:t>
            </w:r>
            <w:r w:rsidRPr="00CF67DC">
              <w:t>L’accompagnement financier proposé par la Régie repose sur un prêt de service de tiers-financement : en cas de difficulté de financement, le SPEE des Hauts-de-France avance aux propriétaires la somme nécessaire pour financer leurs travaux de rénovation thermique, avec un remboursement calé sur les économies réalisables sur les factures d’énergie après travaux. Autrement dit, le prêt longue durée octroyé dans le cadre du dispositif est conçu comme une avance sur les économies d’énergie générées après travaux, sur une longue période (cohérente avec la durée de vie des travaux et au maximum de 25 ans).</w:t>
            </w:r>
          </w:p>
          <w:p w14:paraId="4A74A5F0" w14:textId="77777777" w:rsidR="00927CCB" w:rsidRPr="00CF67DC" w:rsidRDefault="00927CCB" w:rsidP="00C66629">
            <w:pPr>
              <w:pStyle w:val="Tabletext"/>
            </w:pPr>
            <w:r w:rsidRPr="00CF67DC">
              <w:t xml:space="preserve">Le particulier peut choisir entre deux formules : </w:t>
            </w:r>
          </w:p>
          <w:p w14:paraId="780EB8BB" w14:textId="7EF53A6B" w:rsidR="00927CCB" w:rsidRPr="00704FC3" w:rsidRDefault="00927CCB" w:rsidP="00C66629">
            <w:pPr>
              <w:pStyle w:val="Tablebullet1"/>
            </w:pPr>
            <w:r w:rsidRPr="00704FC3">
              <w:t>Accompagnement technique et financier comprenant : l’accompagnement dans le choix et la conduite et des travaux, un préfinancement des travaux et des aides, et un suivi des consommations pendant 3 ans</w:t>
            </w:r>
            <w:r w:rsidR="00BF03FF">
              <w:t> ;</w:t>
            </w:r>
          </w:p>
          <w:p w14:paraId="67D1E840" w14:textId="77777777" w:rsidR="00927CCB" w:rsidRPr="00704FC3" w:rsidRDefault="00927CCB" w:rsidP="00C66629">
            <w:pPr>
              <w:pStyle w:val="Tablebullet1"/>
            </w:pPr>
            <w:r w:rsidRPr="00704FC3">
              <w:t>Accompagnement technique.</w:t>
            </w:r>
          </w:p>
          <w:p w14:paraId="7AC7C513" w14:textId="77777777" w:rsidR="00927CCB" w:rsidRPr="00BF03FF" w:rsidRDefault="00927CCB" w:rsidP="00C66629">
            <w:pPr>
              <w:pStyle w:val="Tabletext"/>
            </w:pPr>
            <w:r>
              <w:t xml:space="preserve">Le </w:t>
            </w:r>
            <w:proofErr w:type="spellStart"/>
            <w:r w:rsidRPr="00BF03FF">
              <w:rPr>
                <w:b/>
                <w:bCs/>
              </w:rPr>
              <w:t>Pass</w:t>
            </w:r>
            <w:proofErr w:type="spellEnd"/>
            <w:r w:rsidRPr="00BF03FF">
              <w:rPr>
                <w:b/>
                <w:bCs/>
              </w:rPr>
              <w:t xml:space="preserve"> Copropriété</w:t>
            </w:r>
            <w:r>
              <w:t xml:space="preserve"> </w:t>
            </w:r>
            <w:r w:rsidRPr="00CF67DC">
              <w:t xml:space="preserve">accompagne les copropriétaires dans la mise en place des dossiers de subventions et de </w:t>
            </w:r>
            <w:r w:rsidRPr="00BF03FF">
              <w:t>financement. Les différents modes de financement mis en œuvre sont les suivants :</w:t>
            </w:r>
          </w:p>
          <w:p w14:paraId="5CE06455" w14:textId="67DFD8E9" w:rsidR="00927CCB" w:rsidRPr="00BF03FF" w:rsidRDefault="008C7120" w:rsidP="00C66629">
            <w:pPr>
              <w:pStyle w:val="Tablebullet1"/>
            </w:pPr>
            <w:r>
              <w:rPr>
                <w:rStyle w:val="Strong"/>
                <w:rFonts w:cs="Arial"/>
                <w:bCs w:val="0"/>
              </w:rPr>
              <w:t>L</w:t>
            </w:r>
            <w:r w:rsidR="00927CCB" w:rsidRPr="00BF03FF">
              <w:rPr>
                <w:rStyle w:val="Strong"/>
                <w:rFonts w:cs="Arial"/>
                <w:bCs w:val="0"/>
              </w:rPr>
              <w:t>’éco-prêt à taux zéro copropriété</w:t>
            </w:r>
            <w:r w:rsidR="00927CCB" w:rsidRPr="00BF03FF">
              <w:rPr>
                <w:rStyle w:val="apple-converted-space"/>
                <w:rFonts w:cs="Arial"/>
                <w:b/>
              </w:rPr>
              <w:t> </w:t>
            </w:r>
            <w:r w:rsidR="00927CCB" w:rsidRPr="00BF03FF">
              <w:t>classique (la Régie assiste le Syndic) ;</w:t>
            </w:r>
          </w:p>
          <w:p w14:paraId="27760997" w14:textId="0CC44779" w:rsidR="00927CCB" w:rsidRPr="00BF03FF" w:rsidRDefault="008C7120" w:rsidP="00C66629">
            <w:pPr>
              <w:pStyle w:val="Tablebullet1"/>
            </w:pPr>
            <w:r>
              <w:rPr>
                <w:rStyle w:val="Strong"/>
                <w:rFonts w:cs="Arial"/>
                <w:bCs w:val="0"/>
              </w:rPr>
              <w:t>L</w:t>
            </w:r>
            <w:r w:rsidR="00927CCB" w:rsidRPr="00BF03FF">
              <w:rPr>
                <w:rStyle w:val="Strong"/>
                <w:rFonts w:cs="Arial"/>
                <w:bCs w:val="0"/>
              </w:rPr>
              <w:t>es prêts collectifs</w:t>
            </w:r>
            <w:r w:rsidR="00927CCB" w:rsidRPr="00BF03FF">
              <w:rPr>
                <w:rStyle w:val="apple-converted-space"/>
                <w:rFonts w:cs="Arial"/>
                <w:b/>
              </w:rPr>
              <w:t> </w:t>
            </w:r>
            <w:r w:rsidR="00927CCB" w:rsidRPr="00BF03FF">
              <w:t>distribués par les organismes de financement ;</w:t>
            </w:r>
          </w:p>
          <w:p w14:paraId="765AB13B" w14:textId="6E678BA9" w:rsidR="00927CCB" w:rsidRPr="00BF03FF" w:rsidRDefault="008C7120" w:rsidP="00C66629">
            <w:pPr>
              <w:pStyle w:val="Tablebullet1"/>
            </w:pPr>
            <w:r>
              <w:rPr>
                <w:rStyle w:val="Strong"/>
                <w:rFonts w:cs="Arial"/>
                <w:bCs w:val="0"/>
              </w:rPr>
              <w:t>L</w:t>
            </w:r>
            <w:r w:rsidR="00927CCB" w:rsidRPr="00BF03FF">
              <w:rPr>
                <w:rStyle w:val="Strong"/>
                <w:rFonts w:cs="Arial"/>
                <w:bCs w:val="0"/>
              </w:rPr>
              <w:t>’autofinancement</w:t>
            </w:r>
            <w:r w:rsidR="00927CCB" w:rsidRPr="00BF03FF">
              <w:t> : les copropriétaires financent leur quote-part de travaux ;</w:t>
            </w:r>
          </w:p>
          <w:p w14:paraId="104E1A4D" w14:textId="7C44C0CF" w:rsidR="00927CCB" w:rsidRPr="00BF03FF" w:rsidRDefault="008C7120" w:rsidP="00C66629">
            <w:pPr>
              <w:pStyle w:val="Tablebullet1"/>
            </w:pPr>
            <w:r>
              <w:rPr>
                <w:rStyle w:val="Strong"/>
                <w:rFonts w:cs="Arial"/>
                <w:bCs w:val="0"/>
              </w:rPr>
              <w:t>L</w:t>
            </w:r>
            <w:r w:rsidR="00927CCB" w:rsidRPr="00BF03FF">
              <w:rPr>
                <w:rStyle w:val="Strong"/>
                <w:rFonts w:cs="Arial"/>
                <w:bCs w:val="0"/>
              </w:rPr>
              <w:t>a solution de tiers-financement du SPEE</w:t>
            </w:r>
            <w:r w:rsidR="00927CCB" w:rsidRPr="00BF03FF">
              <w:rPr>
                <w:rStyle w:val="apple-converted-space"/>
                <w:rFonts w:cs="Arial"/>
                <w:b/>
              </w:rPr>
              <w:t> </w:t>
            </w:r>
            <w:r w:rsidR="00927CCB" w:rsidRPr="00BF03FF">
              <w:t>à chaque copropriétaire.</w:t>
            </w:r>
          </w:p>
          <w:p w14:paraId="1F53A4D0" w14:textId="77777777" w:rsidR="00927CCB" w:rsidRPr="007F2271" w:rsidRDefault="00927CCB" w:rsidP="00C66629">
            <w:pPr>
              <w:pStyle w:val="Tabletext"/>
            </w:pPr>
            <w:r w:rsidRPr="00CF67DC">
              <w:t>Le projet définitif est de no</w:t>
            </w:r>
            <w:r w:rsidRPr="007F2271">
              <w:t>uveau présenté au vote de la copropriété pour permettre la réalisation des travaux. En cas de vote positif, la Régie intervient en tant que Maître d’Ouvrage Déléguée et contractualise directement avec les différentes entreprises.</w:t>
            </w:r>
            <w:r w:rsidRPr="007F2271">
              <w:rPr>
                <w:rStyle w:val="apple-converted-space"/>
                <w:rFonts w:cs="Arial"/>
                <w:b/>
                <w:szCs w:val="16"/>
              </w:rPr>
              <w:t> </w:t>
            </w:r>
            <w:r w:rsidRPr="007F2271">
              <w:rPr>
                <w:rStyle w:val="Strong"/>
                <w:rFonts w:cs="Arial"/>
                <w:bCs w:val="0"/>
                <w:szCs w:val="16"/>
              </w:rPr>
              <w:t>La Régie avance le montant des travaux</w:t>
            </w:r>
            <w:r w:rsidRPr="007F2271">
              <w:rPr>
                <w:rStyle w:val="apple-converted-space"/>
                <w:rFonts w:cs="Arial"/>
                <w:b/>
                <w:szCs w:val="16"/>
              </w:rPr>
              <w:t> </w:t>
            </w:r>
            <w:r w:rsidRPr="007F2271">
              <w:t>et le syndic rembourse à la Régie les montants correspondants :</w:t>
            </w:r>
          </w:p>
          <w:p w14:paraId="66E672D0" w14:textId="1564FFD2" w:rsidR="00927CCB" w:rsidRPr="007F2271" w:rsidRDefault="008C7120" w:rsidP="00C66629">
            <w:pPr>
              <w:pStyle w:val="Tablebullet1"/>
            </w:pPr>
            <w:r w:rsidRPr="007F2271">
              <w:t>A</w:t>
            </w:r>
            <w:r w:rsidR="00927CCB" w:rsidRPr="007F2271">
              <w:t>u montant de l’éco-prêt à taux zéro copropriété, lorsqu’il est versé au syndic par l’organisme financeur choisi ;</w:t>
            </w:r>
          </w:p>
          <w:p w14:paraId="31CF78B2" w14:textId="29CA5CFA" w:rsidR="00927CCB" w:rsidRPr="007F2271" w:rsidRDefault="008C7120" w:rsidP="00C66629">
            <w:pPr>
              <w:pStyle w:val="Tablebullet1"/>
            </w:pPr>
            <w:r w:rsidRPr="007F2271">
              <w:t>À</w:t>
            </w:r>
            <w:r w:rsidR="00927CCB" w:rsidRPr="007F2271">
              <w:t xml:space="preserve"> la part d’autofinancement des copropriétaires en 3 fois (30 % à la commande, 40 % et 30 %).</w:t>
            </w:r>
          </w:p>
          <w:p w14:paraId="061D70CF" w14:textId="47EB544A" w:rsidR="00AB0246" w:rsidRDefault="00AB0246" w:rsidP="00AB0246">
            <w:pPr>
              <w:pStyle w:val="Tabletext"/>
            </w:pPr>
            <w:r>
              <w:t xml:space="preserve">Le SPEE a mis en place </w:t>
            </w:r>
            <w:r w:rsidRPr="00E124CD">
              <w:rPr>
                <w:b/>
                <w:bCs/>
              </w:rPr>
              <w:t>un coût forfaitaire pour ses services d’AMO technique</w:t>
            </w:r>
            <w:r>
              <w:t xml:space="preserve"> (accompagnement technique et financier : 1850€ TTC / accompagnement technique : 1200€ TTC), qui est en-deçà du coût réel (3,5K€). </w:t>
            </w:r>
            <w:r w:rsidR="00633B83">
              <w:t>Ce</w:t>
            </w:r>
            <w:r w:rsidR="006A0A82">
              <w:t xml:space="preserve"> rest</w:t>
            </w:r>
            <w:r w:rsidR="00633B83">
              <w:t>e</w:t>
            </w:r>
            <w:r w:rsidR="006A0A82">
              <w:t xml:space="preserve"> est</w:t>
            </w:r>
            <w:r>
              <w:t xml:space="preserve"> financé en partie par des subventions</w:t>
            </w:r>
            <w:r w:rsidR="00AA17A4">
              <w:t xml:space="preserve"> et par du CEE</w:t>
            </w:r>
            <w:r w:rsidR="006A0A82">
              <w:t>.</w:t>
            </w:r>
            <w:r w:rsidR="00633B83">
              <w:t xml:space="preserve"> Certains territoires ont signé des conventions spécifiques afin de prendre en charge la gestion </w:t>
            </w:r>
            <w:r w:rsidR="004C4CFB">
              <w:t>administrative</w:t>
            </w:r>
            <w:r w:rsidR="00633B83">
              <w:t xml:space="preserve"> et financière pour compte de ménages, notamment </w:t>
            </w:r>
            <w:r w:rsidR="006A0A82">
              <w:t>éligibles à l’ANAH.</w:t>
            </w:r>
            <w:r w:rsidR="00E124CD">
              <w:t xml:space="preserve"> Il s’agit, toutefois, d’un service qui reste aujourd’hui déficitaire</w:t>
            </w:r>
            <w:r w:rsidR="00E124CD">
              <w:rPr>
                <w:rStyle w:val="FootnoteReference"/>
              </w:rPr>
              <w:footnoteReference w:id="28"/>
            </w:r>
            <w:r w:rsidR="00E124CD">
              <w:t>.</w:t>
            </w:r>
          </w:p>
          <w:p w14:paraId="7F56040D" w14:textId="77777777" w:rsidR="00927CCB" w:rsidRDefault="00927CCB" w:rsidP="00C66629">
            <w:pPr>
              <w:pStyle w:val="Tabletext"/>
              <w:rPr>
                <w:color w:val="454545"/>
                <w:shd w:val="clear" w:color="auto" w:fill="FFFFFF"/>
              </w:rPr>
            </w:pPr>
            <w:r w:rsidRPr="00CF67DC">
              <w:br/>
            </w:r>
            <w:r w:rsidRPr="00CF67DC">
              <w:rPr>
                <w:shd w:val="clear" w:color="auto" w:fill="FFFFFF"/>
              </w:rPr>
              <w:t xml:space="preserve">La Régie du SPEE fait aussi appel </w:t>
            </w:r>
            <w:r>
              <w:rPr>
                <w:shd w:val="clear" w:color="auto" w:fill="FFFFFF"/>
              </w:rPr>
              <w:t>à</w:t>
            </w:r>
            <w:r w:rsidRPr="00CF67DC">
              <w:rPr>
                <w:shd w:val="clear" w:color="auto" w:fill="FFFFFF"/>
              </w:rPr>
              <w:t xml:space="preserve"> des entreprises locales (93 % des entreprises partenaires sont basées dans les Hauts-de-France), le plus souvent via des appels d’offres :</w:t>
            </w:r>
            <w:r w:rsidRPr="00CF67DC">
              <w:rPr>
                <w:rStyle w:val="apple-converted-space"/>
                <w:rFonts w:cs="Arial"/>
                <w:b/>
                <w:color w:val="000000" w:themeColor="text1"/>
                <w:shd w:val="clear" w:color="auto" w:fill="FFFFFF"/>
              </w:rPr>
              <w:t> </w:t>
            </w:r>
            <w:r w:rsidRPr="00CF67DC">
              <w:rPr>
                <w:rStyle w:val="Strong"/>
                <w:rFonts w:cs="Arial"/>
                <w:bCs w:val="0"/>
                <w:color w:val="000000" w:themeColor="text1"/>
              </w:rPr>
              <w:t>75 % des entreprises ayant travaillé sur des chantiers de la Régie sont des TPE</w:t>
            </w:r>
            <w:r w:rsidRPr="00CF67DC">
              <w:rPr>
                <w:shd w:val="clear" w:color="auto" w:fill="FFFFFF"/>
              </w:rPr>
              <w:t>. La collaboration entre ces entreprises et la Régie du SPEE permet d’</w:t>
            </w:r>
            <w:r w:rsidRPr="00CF67DC">
              <w:rPr>
                <w:rStyle w:val="Strong"/>
                <w:rFonts w:cs="Arial"/>
                <w:bCs w:val="0"/>
                <w:color w:val="000000" w:themeColor="text1"/>
              </w:rPr>
              <w:t>accompagner la montée en compétences des professionnels du bâtiment</w:t>
            </w:r>
            <w:r w:rsidRPr="00CF67DC">
              <w:rPr>
                <w:shd w:val="clear" w:color="auto" w:fill="FFFFFF"/>
              </w:rPr>
              <w:t>, et de faciliter la mutation des pratiques aux nouvelles techniques et nouveaux matériaux. Cela permet de soutenir la création d’emplois dans le secteur du bâtiment et la structuration de filières régionales innovantes en matière d’écoproduits. En effet,</w:t>
            </w:r>
            <w:r w:rsidRPr="00CF67DC">
              <w:rPr>
                <w:rStyle w:val="apple-converted-space"/>
                <w:rFonts w:cs="Arial"/>
                <w:b/>
                <w:color w:val="000000" w:themeColor="text1"/>
                <w:shd w:val="clear" w:color="auto" w:fill="FFFFFF"/>
              </w:rPr>
              <w:t> </w:t>
            </w:r>
            <w:r w:rsidRPr="00CF67DC">
              <w:rPr>
                <w:rStyle w:val="Strong"/>
                <w:rFonts w:cs="Arial"/>
                <w:bCs w:val="0"/>
                <w:color w:val="000000" w:themeColor="text1"/>
              </w:rPr>
              <w:t>42 % des entreprises ayant collaboré avec le SPEE des Hauts-de-France ont amélioré leur santé financière</w:t>
            </w:r>
            <w:r w:rsidRPr="00CF67DC">
              <w:rPr>
                <w:rStyle w:val="apple-converted-space"/>
                <w:rFonts w:cs="Arial"/>
                <w:b/>
                <w:color w:val="000000" w:themeColor="text1"/>
                <w:shd w:val="clear" w:color="auto" w:fill="FFFFFF"/>
              </w:rPr>
              <w:t> </w:t>
            </w:r>
            <w:r w:rsidRPr="00CF67DC">
              <w:rPr>
                <w:shd w:val="clear" w:color="auto" w:fill="FFFFFF"/>
              </w:rPr>
              <w:t xml:space="preserve">grâce </w:t>
            </w:r>
            <w:r w:rsidRPr="00CF67DC">
              <w:rPr>
                <w:color w:val="454545"/>
                <w:shd w:val="clear" w:color="auto" w:fill="FFFFFF"/>
              </w:rPr>
              <w:t>aux chantiers de rénovation du SPEE.</w:t>
            </w:r>
          </w:p>
          <w:p w14:paraId="39F8B7AB" w14:textId="77777777" w:rsidR="00AB0246" w:rsidRPr="00CF67DC" w:rsidRDefault="00AB0246" w:rsidP="00C66629">
            <w:pPr>
              <w:pStyle w:val="Tabletext"/>
            </w:pPr>
          </w:p>
          <w:p w14:paraId="4AB4DCF8" w14:textId="77777777" w:rsidR="00927CCB" w:rsidRDefault="0014574C" w:rsidP="00C66629">
            <w:pPr>
              <w:pStyle w:val="Tabletext"/>
              <w:rPr>
                <w:szCs w:val="16"/>
              </w:rPr>
            </w:pPr>
            <w:r>
              <w:rPr>
                <w:szCs w:val="16"/>
              </w:rPr>
              <w:t>Entre fin 2013 et début mai 2021</w:t>
            </w:r>
            <w:r w:rsidRPr="0014574C">
              <w:rPr>
                <w:szCs w:val="16"/>
              </w:rPr>
              <w:t xml:space="preserve">, les dossiers accompagnés par </w:t>
            </w:r>
            <w:proofErr w:type="spellStart"/>
            <w:r w:rsidRPr="0014574C">
              <w:rPr>
                <w:szCs w:val="16"/>
              </w:rPr>
              <w:t>MaPrimeRénov</w:t>
            </w:r>
            <w:proofErr w:type="spellEnd"/>
            <w:r w:rsidRPr="0014574C">
              <w:rPr>
                <w:szCs w:val="16"/>
              </w:rPr>
              <w:t xml:space="preserve">’ </w:t>
            </w:r>
            <w:r w:rsidR="007D1A3D">
              <w:rPr>
                <w:szCs w:val="16"/>
              </w:rPr>
              <w:t xml:space="preserve">au travers du SPEE </w:t>
            </w:r>
            <w:r w:rsidRPr="0014574C">
              <w:rPr>
                <w:szCs w:val="16"/>
              </w:rPr>
              <w:t>représentent 577M€ de travaux sur des rénovations globales, avec un montant moyen des projets à 43K€.</w:t>
            </w:r>
            <w:r w:rsidR="007D1A3D">
              <w:rPr>
                <w:szCs w:val="16"/>
              </w:rPr>
              <w:t xml:space="preserve"> En comparaison, sur la même période, l’ANAH a financé 30M€ de travaux</w:t>
            </w:r>
            <w:r w:rsidR="001A4504">
              <w:rPr>
                <w:szCs w:val="16"/>
              </w:rPr>
              <w:t xml:space="preserve">, </w:t>
            </w:r>
            <w:r w:rsidR="007E7C8B">
              <w:rPr>
                <w:szCs w:val="16"/>
              </w:rPr>
              <w:t>principalement</w:t>
            </w:r>
            <w:r w:rsidR="001A4504">
              <w:rPr>
                <w:szCs w:val="16"/>
              </w:rPr>
              <w:t xml:space="preserve"> sur du lot par lot auprès de ménages modestes voire très modestes, ayant un reste à charge relativement faible.</w:t>
            </w:r>
            <w:r w:rsidR="007E7C8B">
              <w:rPr>
                <w:szCs w:val="16"/>
              </w:rPr>
              <w:t xml:space="preserve"> </w:t>
            </w:r>
            <w:r w:rsidR="007E7C8B" w:rsidRPr="007E7C8B">
              <w:rPr>
                <w:szCs w:val="16"/>
              </w:rPr>
              <w:t xml:space="preserve">L’ANAH comme le SPEE requièrent au moins 35% d’économie d’énergie ; le SPEE a, en outre, des critères sur le reste à vivre, le taux d’endettement et la mensualité comparée aux factures d’énergie. Globalement, </w:t>
            </w:r>
            <w:proofErr w:type="spellStart"/>
            <w:r w:rsidR="007E7C8B" w:rsidRPr="007E7C8B">
              <w:rPr>
                <w:szCs w:val="16"/>
              </w:rPr>
              <w:t>MaPrimeRénov</w:t>
            </w:r>
            <w:proofErr w:type="spellEnd"/>
            <w:r w:rsidR="007E7C8B" w:rsidRPr="007E7C8B">
              <w:rPr>
                <w:szCs w:val="16"/>
              </w:rPr>
              <w:t>’ couvre 28% des travaux et le CEE 17%, et le reste à charge s’élève à 55%. Cependant, les différences d’un dossier à un autre peuvent être importantes, étant donné que le SPEE n’a pas de critère de ressources et peut donc s’adresser à des ménages très modestes, qui bénéficieront de davantage d’aides, comme à des ménages plus solvables, qui pourront mener des travaux plus ambitieux</w:t>
            </w:r>
            <w:r w:rsidR="00012ECA">
              <w:rPr>
                <w:rStyle w:val="FootnoteReference"/>
                <w:szCs w:val="16"/>
              </w:rPr>
              <w:footnoteReference w:id="29"/>
            </w:r>
            <w:r w:rsidR="007E7C8B" w:rsidRPr="007E7C8B">
              <w:rPr>
                <w:szCs w:val="16"/>
              </w:rPr>
              <w:t>.</w:t>
            </w:r>
          </w:p>
          <w:p w14:paraId="021E1755" w14:textId="77777777" w:rsidR="00012ECA" w:rsidRDefault="00012ECA" w:rsidP="00C66629">
            <w:pPr>
              <w:pStyle w:val="Tabletext"/>
              <w:rPr>
                <w:szCs w:val="16"/>
              </w:rPr>
            </w:pPr>
            <w:r w:rsidRPr="00CF67DC">
              <w:rPr>
                <w:szCs w:val="16"/>
              </w:rPr>
              <w:t xml:space="preserve">A date, le SPEE a permis de rénover 555 maisons </w:t>
            </w:r>
            <w:r>
              <w:rPr>
                <w:szCs w:val="16"/>
              </w:rPr>
              <w:t xml:space="preserve">et 7 copropriétés. De plus, il y a actuellement </w:t>
            </w:r>
            <w:r w:rsidRPr="00CF67DC">
              <w:rPr>
                <w:szCs w:val="16"/>
              </w:rPr>
              <w:t xml:space="preserve">157 chantiers </w:t>
            </w:r>
            <w:r>
              <w:rPr>
                <w:szCs w:val="16"/>
              </w:rPr>
              <w:t xml:space="preserve">de rénovation de maisons </w:t>
            </w:r>
            <w:r w:rsidRPr="00CF67DC">
              <w:rPr>
                <w:szCs w:val="16"/>
              </w:rPr>
              <w:t xml:space="preserve">en cours 2 </w:t>
            </w:r>
            <w:r>
              <w:rPr>
                <w:szCs w:val="16"/>
              </w:rPr>
              <w:t>de copropriété</w:t>
            </w:r>
            <w:r w:rsidRPr="004825F5">
              <w:rPr>
                <w:rStyle w:val="FootnoteReference"/>
                <w:bCs/>
                <w:szCs w:val="16"/>
              </w:rPr>
              <w:footnoteReference w:id="30"/>
            </w:r>
            <w:r>
              <w:rPr>
                <w:szCs w:val="16"/>
              </w:rPr>
              <w:t>.</w:t>
            </w:r>
            <w:r w:rsidR="00376D6D">
              <w:rPr>
                <w:szCs w:val="16"/>
              </w:rPr>
              <w:t xml:space="preserve"> L’objectif, </w:t>
            </w:r>
            <w:r w:rsidR="00BB5ACC">
              <w:rPr>
                <w:szCs w:val="16"/>
              </w:rPr>
              <w:t>d’ici 2024, est d’acquérir un rythme de rénovation de 1000 dossiers de maison individuelle par an</w:t>
            </w:r>
            <w:r w:rsidR="00BB5ACC">
              <w:rPr>
                <w:rStyle w:val="FootnoteReference"/>
                <w:szCs w:val="16"/>
              </w:rPr>
              <w:footnoteReference w:id="31"/>
            </w:r>
            <w:r w:rsidR="00BB5ACC">
              <w:rPr>
                <w:szCs w:val="16"/>
              </w:rPr>
              <w:t>.</w:t>
            </w:r>
          </w:p>
          <w:p w14:paraId="44B8668B" w14:textId="77777777" w:rsidR="008D3A8A" w:rsidRDefault="008D3A8A" w:rsidP="00C66629">
            <w:pPr>
              <w:pStyle w:val="Tabletext"/>
            </w:pPr>
          </w:p>
          <w:p w14:paraId="21E65A30" w14:textId="04E13220" w:rsidR="00012ECA" w:rsidRDefault="008D3A8A" w:rsidP="00C66629">
            <w:pPr>
              <w:pStyle w:val="Tabletext"/>
            </w:pPr>
            <w:r>
              <w:t xml:space="preserve">Le SPEE est également en </w:t>
            </w:r>
            <w:r w:rsidR="00290D61">
              <w:t xml:space="preserve">cours de déploiement d’une expérimentation d’un </w:t>
            </w:r>
            <w:r w:rsidR="00290D61" w:rsidRPr="0067613C">
              <w:rPr>
                <w:b/>
                <w:bCs/>
              </w:rPr>
              <w:t>éco-prêt à taux zéro</w:t>
            </w:r>
            <w:r w:rsidR="00290D61">
              <w:t xml:space="preserve"> dont l’accord de financement a été signé </w:t>
            </w:r>
            <w:r w:rsidR="0067613C">
              <w:t>fin avril 2021, financé à hauteur de 1,8M€ par le FEDER et de 1,2M€ par la régi</w:t>
            </w:r>
            <w:r w:rsidR="002B4F17">
              <w:t>e</w:t>
            </w:r>
            <w:r w:rsidR="0067613C">
              <w:t xml:space="preserve"> du SPEE. </w:t>
            </w:r>
          </w:p>
        </w:tc>
      </w:tr>
    </w:tbl>
    <w:p w14:paraId="5BA324D6" w14:textId="77777777" w:rsidR="00927CCB" w:rsidRDefault="00927CCB" w:rsidP="00C91E9B">
      <w:pPr>
        <w:pStyle w:val="BodyText"/>
      </w:pPr>
    </w:p>
    <w:p w14:paraId="378278F4" w14:textId="69F2B0DB" w:rsidR="00C91E9B" w:rsidRDefault="00C91E9B" w:rsidP="00C91E9B">
      <w:pPr>
        <w:pStyle w:val="BodyText"/>
      </w:pPr>
      <w:r>
        <w:t xml:space="preserve">Concernant le financement des travaux, l’État propose une </w:t>
      </w:r>
      <w:r>
        <w:rPr>
          <w:b/>
        </w:rPr>
        <w:t>TVA réduite</w:t>
      </w:r>
      <w:r>
        <w:t xml:space="preserve"> de 5,5% pour encourager la rénovation énergétique des bâtiments (pour tous les travaux éligibles CITE), au lieu de 10% (TVA sur des travaux classiques) sur l’achat des équipements destinés à certains travaux d’économie d’énergie</w:t>
      </w:r>
      <w:r>
        <w:rPr>
          <w:rStyle w:val="FootnoteReference"/>
        </w:rPr>
        <w:footnoteReference w:id="32"/>
      </w:r>
      <w:r>
        <w:t>. Disponibles pour tous les types de logements et profils sociaux (propriétaires bailleurs ou occupants, locataires, syndicats de propriétaires ou SCI), la TVA réduite est cumulable avec la majorité des aides existantes.</w:t>
      </w:r>
    </w:p>
    <w:p w14:paraId="1BA8D866" w14:textId="389187F5" w:rsidR="00C91E9B" w:rsidRDefault="00C91E9B" w:rsidP="00C91E9B">
      <w:pPr>
        <w:pStyle w:val="BodyText"/>
      </w:pPr>
      <w:r>
        <w:t xml:space="preserve">Par ailleurs, les propriétaires peuvent avoir accès à des </w:t>
      </w:r>
      <w:r w:rsidRPr="0067613C">
        <w:rPr>
          <w:b/>
        </w:rPr>
        <w:t>subventions</w:t>
      </w:r>
      <w:r>
        <w:t> :</w:t>
      </w:r>
    </w:p>
    <w:p w14:paraId="201634C7" w14:textId="77777777" w:rsidR="002A360E" w:rsidRPr="0059485A" w:rsidRDefault="002A360E" w:rsidP="002A360E">
      <w:pPr>
        <w:pStyle w:val="Bullet1"/>
      </w:pPr>
      <w:r w:rsidRPr="0059485A">
        <w:t xml:space="preserve">Les propriétaires privés peuvent faire appel, comme les acteurs publics et les propriétaires et occupants de bâti tertiaire privé au </w:t>
      </w:r>
      <w:r w:rsidRPr="0059485A">
        <w:rPr>
          <w:b/>
        </w:rPr>
        <w:t>CEE</w:t>
      </w:r>
      <w:r>
        <w:t>.</w:t>
      </w:r>
      <w:r w:rsidRPr="0059485A">
        <w:t xml:space="preserve"> Pour les propriétaires privés, il s’agit d’une aide relativement facile à obtenir, et qui est en plus accordée dans des délais courts (moins de deux mois). Le CEE est l’un des seuls dispositifs à récompenser les rénovations à hauteur des économies qu’elles vont pouvoir entraîner, et non une aide proportionnelle aux revenus du propriétaire – ce qui permet de le solliciter sur une majorité du parc immobilier. Le calcul de la hauteur de l’aide dépend à la fois de l’opération réalisée, de la zone d’implantation du logement, du type d’énergie utilisé pour le chauffage, et du prix de l’amende par kWh décidée par l’État. La prime peut couvrir jusqu’à 20% des travaux.</w:t>
      </w:r>
      <w:r>
        <w:t xml:space="preserve"> Il est à noter que le dispositif du CEE peut être combiné avec les aides de la Région, </w:t>
      </w:r>
      <w:r w:rsidRPr="0059485A">
        <w:t>les crédits d’impôt, l’éco-PTZ ou les aides de l’ANAH</w:t>
      </w:r>
      <w:r>
        <w:t>.</w:t>
      </w:r>
    </w:p>
    <w:p w14:paraId="43D97745" w14:textId="77777777" w:rsidR="00D44DC4" w:rsidRPr="0059485A" w:rsidRDefault="00D44DC4" w:rsidP="00D44DC4">
      <w:pPr>
        <w:pStyle w:val="Bullet1"/>
      </w:pPr>
      <w:r w:rsidRPr="0059485A">
        <w:t xml:space="preserve">Le CEE finance également le </w:t>
      </w:r>
      <w:r w:rsidRPr="0059485A">
        <w:rPr>
          <w:b/>
        </w:rPr>
        <w:t xml:space="preserve">Pacte Énergie Solidarité (PES), </w:t>
      </w:r>
      <w:r w:rsidRPr="0059485A">
        <w:t>un programme de lutte contre la précarité énergétique qui permet aux ménages modestes de réaliser l’isolation des combles perdus de leur logement par la pose de laine de verre minérale réalisée par une entreprise RGE</w:t>
      </w:r>
      <w:r w:rsidRPr="0059485A">
        <w:rPr>
          <w:rStyle w:val="FootnoteReference"/>
        </w:rPr>
        <w:footnoteReference w:id="33"/>
      </w:r>
      <w:r w:rsidRPr="0059485A">
        <w:t>. Le dispositif permet des travaux à partir de 1€, mais le coût final pour le propriétaire dépend de ses revenus et de la surface à isoler. Porté par EFFY et validé par le Ministère de la Transition écologique et solidaire, il est cumulable avec les autres aides d’État, sauf avec la prime énergie, qui est elle aussi un dispositif CEE.</w:t>
      </w:r>
    </w:p>
    <w:p w14:paraId="749474D0" w14:textId="423420C0" w:rsidR="008A7219" w:rsidRPr="0059485A" w:rsidRDefault="008A7219" w:rsidP="008A7219">
      <w:pPr>
        <w:pStyle w:val="Bullet1"/>
      </w:pPr>
      <w:r w:rsidRPr="0059485A">
        <w:t xml:space="preserve">Les ménages les plus modestes peuvent également bénéficier de l’aide nationale </w:t>
      </w:r>
      <w:proofErr w:type="spellStart"/>
      <w:r w:rsidRPr="0059485A">
        <w:rPr>
          <w:b/>
        </w:rPr>
        <w:t>MaPrimeRénov</w:t>
      </w:r>
      <w:proofErr w:type="spellEnd"/>
      <w:r w:rsidRPr="0059485A">
        <w:t>, lancée en 2020</w:t>
      </w:r>
      <w:r w:rsidRPr="0059485A">
        <w:rPr>
          <w:vertAlign w:val="superscript"/>
        </w:rPr>
        <w:footnoteReference w:id="34"/>
      </w:r>
      <w:r w:rsidRPr="0059485A">
        <w:t xml:space="preserve">. Elle remplace progressivement le crédit d’impôt pour la transition Énergétique (cf. </w:t>
      </w:r>
      <w:r w:rsidRPr="0059485A">
        <w:fldChar w:fldCharType="begin"/>
      </w:r>
      <w:r w:rsidRPr="0059485A">
        <w:instrText xml:space="preserve"> REF _Ref46418823 \h  \* MERGEFORMAT </w:instrText>
      </w:r>
      <w:r w:rsidRPr="0059485A">
        <w:fldChar w:fldCharType="separate"/>
      </w:r>
      <w:r w:rsidR="009F0282">
        <w:t>Encadré 28</w:t>
      </w:r>
      <w:r w:rsidRPr="0059485A">
        <w:fldChar w:fldCharType="end"/>
      </w:r>
      <w:r w:rsidRPr="0059485A">
        <w:t xml:space="preserve">) ainsi que les aides « Habiter mieux » (cf. </w:t>
      </w:r>
      <w:r w:rsidRPr="0059485A">
        <w:fldChar w:fldCharType="begin"/>
      </w:r>
      <w:r w:rsidRPr="0059485A">
        <w:instrText xml:space="preserve"> REF _Ref46419057 \h  \* MERGEFORMAT </w:instrText>
      </w:r>
      <w:r w:rsidRPr="0059485A">
        <w:fldChar w:fldCharType="separate"/>
      </w:r>
      <w:r w:rsidR="009F0282">
        <w:t>Encadré 29</w:t>
      </w:r>
      <w:r w:rsidRPr="0059485A">
        <w:fldChar w:fldCharType="end"/>
      </w:r>
      <w:r w:rsidRPr="0059485A">
        <w:t xml:space="preserve">), et est allouée uniquement aux propriétaires occupants leurs logements, selon les conditions de ressources jusqu’à un plafond de 200K€. Les ménages non éligibles à </w:t>
      </w:r>
      <w:proofErr w:type="spellStart"/>
      <w:r w:rsidRPr="0059485A">
        <w:t>MaPrimeRénov</w:t>
      </w:r>
      <w:proofErr w:type="spellEnd"/>
      <w:r w:rsidRPr="0059485A">
        <w:t>’ bénéficieront sous certaines conditions d’un CITE transitoire jusqu’au 31 décembre 2020. Au 1</w:t>
      </w:r>
      <w:r w:rsidRPr="0059485A">
        <w:rPr>
          <w:vertAlign w:val="superscript"/>
        </w:rPr>
        <w:t>er</w:t>
      </w:r>
      <w:r w:rsidRPr="0059485A">
        <w:t xml:space="preserve"> janvier 2021, le CITE sera définitivement supprimé et </w:t>
      </w:r>
      <w:proofErr w:type="spellStart"/>
      <w:r w:rsidRPr="0059485A">
        <w:t>MaPrimeRénov</w:t>
      </w:r>
      <w:proofErr w:type="spellEnd"/>
      <w:r w:rsidRPr="0059485A">
        <w:t>’ étendue à tous les ménages ainsi qu’aux propriétaires bailleurs et aux syndicats de copropriété. La prime permet de financer les travaux d’isolation, de chauffage, de ventilation ou d’audit énergétique d’une maison individuelle ou d’un appartement en habitat collectif, à condition que l’entreprise de travaux soit labellisée RGE (reconnues garantes pour l’environnement).</w:t>
      </w:r>
    </w:p>
    <w:p w14:paraId="07A9E518" w14:textId="6FC6F44F" w:rsidR="00620BBE" w:rsidRDefault="008A7219" w:rsidP="00620BBE">
      <w:pPr>
        <w:pStyle w:val="Bullet1"/>
        <w:numPr>
          <w:ilvl w:val="0"/>
          <w:numId w:val="0"/>
        </w:numPr>
        <w:ind w:left="360"/>
      </w:pPr>
      <w:r w:rsidRPr="0059485A">
        <w:t>En 6 mois d’existence, 47 775 dossiers ont été déposés en France</w:t>
      </w:r>
      <w:r w:rsidRPr="0059485A">
        <w:rPr>
          <w:vertAlign w:val="superscript"/>
        </w:rPr>
        <w:footnoteReference w:id="35"/>
      </w:r>
      <w:r w:rsidRPr="0059485A">
        <w:t xml:space="preserve">. Suite à la crise sanitaire du premier semestre 2020, il a été indiqué par le gouvernement que les montants alloués à </w:t>
      </w:r>
      <w:proofErr w:type="spellStart"/>
      <w:r w:rsidRPr="0059485A">
        <w:t>MaPrimeRénov</w:t>
      </w:r>
      <w:proofErr w:type="spellEnd"/>
      <w:r w:rsidRPr="0059485A">
        <w:t xml:space="preserve"> seraient augmentés de 2 Md€ pour la période 2021-2022 afin qu’elle soit accessible aux ménages les plus modestes</w:t>
      </w:r>
      <w:r w:rsidRPr="0059485A">
        <w:rPr>
          <w:rStyle w:val="FootnoteReference"/>
        </w:rPr>
        <w:footnoteReference w:id="36"/>
      </w:r>
      <w:r w:rsidRPr="0059485A">
        <w:t>.</w:t>
      </w:r>
    </w:p>
    <w:p w14:paraId="64697DBE" w14:textId="145D7189" w:rsidR="00D87DDF" w:rsidRDefault="00D87DDF" w:rsidP="00620BBE">
      <w:pPr>
        <w:pStyle w:val="Bullet1"/>
        <w:numPr>
          <w:ilvl w:val="0"/>
          <w:numId w:val="0"/>
        </w:numPr>
        <w:ind w:left="360"/>
      </w:pPr>
      <w:r>
        <w:t xml:space="preserve">Le dispositif </w:t>
      </w:r>
      <w:proofErr w:type="spellStart"/>
      <w:r>
        <w:t>MaPrimeRénov</w:t>
      </w:r>
      <w:proofErr w:type="spellEnd"/>
      <w:r>
        <w:t>’ prévoit également un financement à hauteur de 150€ pour</w:t>
      </w:r>
      <w:r w:rsidR="00B019E7">
        <w:t xml:space="preserve"> soutenir les frais d’AMO</w:t>
      </w:r>
      <w:r w:rsidR="00B019E7">
        <w:rPr>
          <w:rStyle w:val="FootnoteReference"/>
        </w:rPr>
        <w:footnoteReference w:id="37"/>
      </w:r>
      <w:r w:rsidR="00B019E7">
        <w:t>.</w:t>
      </w:r>
    </w:p>
    <w:p w14:paraId="4289831E" w14:textId="45438DF1" w:rsidR="00620BBE" w:rsidRDefault="00620BBE" w:rsidP="00620BBE">
      <w:pPr>
        <w:pStyle w:val="Caption"/>
        <w:spacing w:before="120"/>
      </w:pPr>
      <w:bookmarkStart w:id="66" w:name="_Ref46418823"/>
      <w:r>
        <w:t xml:space="preserve">Encadré </w:t>
      </w:r>
      <w:r>
        <w:fldChar w:fldCharType="begin"/>
      </w:r>
      <w:r>
        <w:instrText xml:space="preserve"> SEQ Encadré \* ARABIC </w:instrText>
      </w:r>
      <w:r>
        <w:fldChar w:fldCharType="separate"/>
      </w:r>
      <w:r w:rsidR="009F0282">
        <w:rPr>
          <w:noProof/>
        </w:rPr>
        <w:t>28</w:t>
      </w:r>
      <w:r>
        <w:fldChar w:fldCharType="end"/>
      </w:r>
      <w:bookmarkEnd w:id="66"/>
      <w:r>
        <w:t xml:space="preserve"> Présentation du Crédit d’impôt pour la transition énergétique (CITE)</w:t>
      </w:r>
    </w:p>
    <w:tbl>
      <w:tblPr>
        <w:tblStyle w:val="TechnopolisTable4"/>
        <w:tblW w:w="5000" w:type="pct"/>
        <w:tblLook w:val="0480" w:firstRow="0" w:lastRow="0" w:firstColumn="1" w:lastColumn="0" w:noHBand="0" w:noVBand="1"/>
      </w:tblPr>
      <w:tblGrid>
        <w:gridCol w:w="9062"/>
      </w:tblGrid>
      <w:tr w:rsidR="00620BBE" w:rsidRPr="00752D01" w14:paraId="058DE7D1" w14:textId="77777777" w:rsidTr="00DD3EE3">
        <w:trPr>
          <w:cnfStyle w:val="000000100000" w:firstRow="0" w:lastRow="0" w:firstColumn="0" w:lastColumn="0" w:oddVBand="0" w:evenVBand="0" w:oddHBand="1" w:evenHBand="0" w:firstRowFirstColumn="0" w:firstRowLastColumn="0" w:lastRowFirstColumn="0" w:lastRowLastColumn="0"/>
        </w:trPr>
        <w:tc>
          <w:tcPr>
            <w:tcW w:w="0" w:type="pct"/>
            <w:hideMark/>
          </w:tcPr>
          <w:p w14:paraId="3077F8BB" w14:textId="77777777" w:rsidR="00620BBE" w:rsidRPr="00FC1A98" w:rsidRDefault="00620BBE" w:rsidP="00DD3EE3">
            <w:pPr>
              <w:pStyle w:val="Tabletext"/>
              <w:keepNext/>
            </w:pPr>
            <w:r w:rsidRPr="00FC1A98">
              <w:t xml:space="preserve">Le </w:t>
            </w:r>
            <w:r w:rsidRPr="00FC1A98">
              <w:rPr>
                <w:b/>
                <w:bCs/>
              </w:rPr>
              <w:t>Crédit d’impôt pour la transition énergétique (CITE)</w:t>
            </w:r>
            <w:r w:rsidRPr="00FC1A98">
              <w:t xml:space="preserve">, créé en 2005 sous le nom de crédit d’impôt, a évolué au fil des différentes lois de finance. En 2020, il est attribué aux ménages aux revenus intermédiaires et supérieurs, selon une grille établie en fonction du nombre de personnes à charge et des revenus, et complète ainsi l’offre </w:t>
            </w:r>
            <w:proofErr w:type="spellStart"/>
            <w:r w:rsidRPr="00FC1A98">
              <w:t>MaPrimeRénov</w:t>
            </w:r>
            <w:proofErr w:type="spellEnd"/>
            <w:r w:rsidRPr="00FC1A98">
              <w:t>’ destinée aux ménages de plus petits moyens. Applicable pour des travaux sur résidence principale de plus de 2 ans, le CITE permet de bénéficier d’aides d’un plafond de 2 400 euros pour une personne seule, 4 800 euros pour un couple puis 120 euros de plus par personne à charge. Le montant de l’aide est calculé précisément en fonction des types de travaux réalisés. Le CITE étant un crédit d’impôt et non une réduction d’impôt, si son montant est supérieur au montant de l’impôt, le surplus (ou la totalité si le ménage n’est pas imposable) donne lieu à un versement par la Direction Générale des Finances Publiques.</w:t>
            </w:r>
          </w:p>
        </w:tc>
      </w:tr>
    </w:tbl>
    <w:p w14:paraId="3002F426" w14:textId="7493121D" w:rsidR="00620BBE" w:rsidRDefault="00620BBE" w:rsidP="00620BBE">
      <w:pPr>
        <w:pStyle w:val="Source"/>
        <w:keepNext/>
      </w:pPr>
      <w:r>
        <w:t xml:space="preserve">Source : Site du ministère de l’Économie, des Finances et de la Relance </w:t>
      </w:r>
    </w:p>
    <w:p w14:paraId="7C5D2A9F" w14:textId="29FA282E" w:rsidR="00620BBE" w:rsidRDefault="00620BBE" w:rsidP="00620BBE">
      <w:pPr>
        <w:pStyle w:val="Caption"/>
        <w:spacing w:before="120"/>
        <w:ind w:left="0" w:firstLine="0"/>
      </w:pPr>
      <w:bookmarkStart w:id="67" w:name="_Ref46419057"/>
      <w:r>
        <w:t xml:space="preserve">Encadré </w:t>
      </w:r>
      <w:r>
        <w:fldChar w:fldCharType="begin"/>
      </w:r>
      <w:r>
        <w:instrText xml:space="preserve"> SEQ Encadré \* ARABIC </w:instrText>
      </w:r>
      <w:r>
        <w:fldChar w:fldCharType="separate"/>
      </w:r>
      <w:r w:rsidR="009F0282">
        <w:rPr>
          <w:noProof/>
        </w:rPr>
        <w:t>29</w:t>
      </w:r>
      <w:r>
        <w:fldChar w:fldCharType="end"/>
      </w:r>
      <w:bookmarkEnd w:id="67"/>
      <w:r>
        <w:t xml:space="preserve"> Aides « Habiter Mieux »</w:t>
      </w:r>
    </w:p>
    <w:tbl>
      <w:tblPr>
        <w:tblStyle w:val="TechnopolisTable4"/>
        <w:tblW w:w="5000" w:type="pct"/>
        <w:tblLook w:val="0480" w:firstRow="0" w:lastRow="0" w:firstColumn="1" w:lastColumn="0" w:noHBand="0" w:noVBand="1"/>
      </w:tblPr>
      <w:tblGrid>
        <w:gridCol w:w="9062"/>
      </w:tblGrid>
      <w:tr w:rsidR="00620BBE" w:rsidRPr="00752D01" w14:paraId="3540F41C" w14:textId="77777777" w:rsidTr="00DD3EE3">
        <w:trPr>
          <w:cnfStyle w:val="000000100000" w:firstRow="0" w:lastRow="0" w:firstColumn="0" w:lastColumn="0" w:oddVBand="0" w:evenVBand="0" w:oddHBand="1" w:evenHBand="0" w:firstRowFirstColumn="0" w:firstRowLastColumn="0" w:lastRowFirstColumn="0" w:lastRowLastColumn="0"/>
        </w:trPr>
        <w:tc>
          <w:tcPr>
            <w:tcW w:w="0" w:type="pct"/>
            <w:hideMark/>
          </w:tcPr>
          <w:p w14:paraId="1D390748" w14:textId="77777777" w:rsidR="00620BBE" w:rsidRPr="00FC1A98" w:rsidRDefault="00620BBE" w:rsidP="00FC1A98">
            <w:pPr>
              <w:pStyle w:val="Tabletext"/>
            </w:pPr>
            <w:r w:rsidRPr="00FC1A98">
              <w:t xml:space="preserve">L’Agence nationale de l’habitat (Anah) dispose d’une gamme de programmes « Habiter mieux » d’aides financières et de conseil pour réaliser des travaux de rénovation énergétique : </w:t>
            </w:r>
            <w:r w:rsidRPr="00FC1A98">
              <w:rPr>
                <w:b/>
                <w:bCs/>
              </w:rPr>
              <w:t>Habiter Mieux Agilité</w:t>
            </w:r>
            <w:r w:rsidRPr="00FC1A98">
              <w:t xml:space="preserve"> peut financer un changement de chaudière ou de mode de chauffage ou bien l’isolation des murs ou des combles. </w:t>
            </w:r>
            <w:r w:rsidRPr="00FC1A98">
              <w:rPr>
                <w:b/>
                <w:bCs/>
              </w:rPr>
              <w:t>Habiter Mieux Sérénité</w:t>
            </w:r>
            <w:r w:rsidRPr="00FC1A98">
              <w:t xml:space="preserve"> permet de financer un bouquet de travaux de rénovation énergétique qui permettent un gain d’au minimum 25%. Le montant maximum de ces aides est compris chacun entre 7 et 10K€ selon les moyens du propriétaire occupant, et peut financer entre 35 et 50% du cout des travaux. Proposés depuis 2018, les programmes peuvent être cumulés avec un Crédit d’Impôt pour la Transition Énergétique, un éco-Prêt à Taux zéro (éco-PTZ) et la vente de Certificats d’Économie d’Énergie (CEE).</w:t>
            </w:r>
          </w:p>
          <w:p w14:paraId="2FD90FD4" w14:textId="77777777" w:rsidR="00620BBE" w:rsidRPr="00752D01" w:rsidRDefault="00620BBE" w:rsidP="00FC1A98">
            <w:pPr>
              <w:pStyle w:val="Tabletext"/>
            </w:pPr>
            <w:r w:rsidRPr="00FC1A98">
              <w:t>Entre 2010 et 2017, 660M€ (HT) de travaux ont bénéficié d’une aide ANAH, dont plus de la moitié (389,2M€) dans le cadre d’Habiter Mieux. Le nombre de logements subventionnés en 2017 est d’ailleurs en hausse, après une baisse observée en 2015 lorsque le montant de la prime a été abaissé et la catégorisation des revenus des propriétaires occupants modifiée.</w:t>
            </w:r>
          </w:p>
        </w:tc>
      </w:tr>
    </w:tbl>
    <w:p w14:paraId="295BD1BA" w14:textId="2948B951" w:rsidR="00620BBE" w:rsidRPr="0059485A" w:rsidRDefault="00620BBE" w:rsidP="00620BBE">
      <w:pPr>
        <w:pStyle w:val="Source"/>
      </w:pPr>
      <w:r>
        <w:t xml:space="preserve">Source : Quelle énergie, </w:t>
      </w:r>
      <w:r>
        <w:rPr>
          <w:i/>
        </w:rPr>
        <w:t>Aides de l’ANAH : Aides Habiter Mieux</w:t>
      </w:r>
    </w:p>
    <w:p w14:paraId="5AD6D9D1" w14:textId="77777777" w:rsidR="00777CB5" w:rsidRPr="0059485A" w:rsidRDefault="00777CB5" w:rsidP="00777CB5">
      <w:pPr>
        <w:pStyle w:val="Bullet1"/>
      </w:pPr>
      <w:r w:rsidRPr="0059485A">
        <w:t xml:space="preserve">Dans le cadre du Plan d’Investissement Volontaire (PIV) conclu avec le gouvernement, </w:t>
      </w:r>
      <w:r w:rsidRPr="0059485A">
        <w:rPr>
          <w:b/>
        </w:rPr>
        <w:t xml:space="preserve">Action Logement propose une subvention </w:t>
      </w:r>
      <w:r w:rsidRPr="0059485A">
        <w:t xml:space="preserve">pouvant aller jusqu’à 20K€ pour la rénovation énergétique de logements occupés par des salariés locataires ou propriétaires. Cette aide peut être </w:t>
      </w:r>
      <w:r w:rsidRPr="0059485A">
        <w:rPr>
          <w:b/>
        </w:rPr>
        <w:t xml:space="preserve">complétée par un prêt </w:t>
      </w:r>
      <w:r w:rsidRPr="0059485A">
        <w:t>de 30K€ (taux 1%, durée de 20 ans maximum)</w:t>
      </w:r>
      <w:r w:rsidRPr="008A40D8">
        <w:rPr>
          <w:vertAlign w:val="superscript"/>
        </w:rPr>
        <w:footnoteReference w:id="38"/>
      </w:r>
      <w:r w:rsidRPr="0059485A">
        <w:t>. Les logements éligibles doivent être situés en zone rurale (B2 ou C) et les bénéficiaires doivent être des ménages aux revenus modestes. Action Logement mobilise une enveloppe d’un milliard d’euros pour ce dispositif pour toute la France</w:t>
      </w:r>
      <w:r w:rsidRPr="0059485A">
        <w:rPr>
          <w:rStyle w:val="FootnoteReference"/>
        </w:rPr>
        <w:footnoteReference w:id="39"/>
      </w:r>
      <w:r w:rsidRPr="0059485A">
        <w:t>.</w:t>
      </w:r>
    </w:p>
    <w:p w14:paraId="42D59C97" w14:textId="6BE6CA03" w:rsidR="00D44DC4" w:rsidRDefault="00D44DC4" w:rsidP="00D44DC4">
      <w:pPr>
        <w:pStyle w:val="Bullet1"/>
      </w:pPr>
      <w:r>
        <w:t xml:space="preserve">La Région propose également une </w:t>
      </w:r>
      <w:r w:rsidRPr="00506B09">
        <w:rPr>
          <w:b/>
          <w:bCs/>
        </w:rPr>
        <w:t>Aide à la rénovation énergétique des logements privés (AREL)</w:t>
      </w:r>
      <w:r>
        <w:t xml:space="preserve"> aux propriétaires occupants et bailleurs, aux locataires, aux bailleurs privés et aux syndicats de copropriétaires qui bénéficient d’une aide de l’ANAH. Cette aide, qui peut aller jusqu’à 4</w:t>
      </w:r>
      <w:r w:rsidR="002A332E">
        <w:t>K</w:t>
      </w:r>
      <w:r>
        <w:t xml:space="preserve">€ par logement (pour </w:t>
      </w:r>
      <w:r w:rsidRPr="0044514F">
        <w:t>les projets de réhabilitation nécessitant des travaux dont le montant global au titre des économies d'énergie est supérieur à 30</w:t>
      </w:r>
      <w:r w:rsidR="002A332E">
        <w:t>K</w:t>
      </w:r>
      <w:r w:rsidRPr="0044514F">
        <w:t>€ HT</w:t>
      </w:r>
      <w:r>
        <w:t>), peut être complétée par trois bonus cumulables :</w:t>
      </w:r>
    </w:p>
    <w:p w14:paraId="17E515FD" w14:textId="77777777" w:rsidR="00D44DC4" w:rsidRDefault="00D44DC4" w:rsidP="00D44DC4">
      <w:pPr>
        <w:pStyle w:val="Bullet2"/>
      </w:pPr>
      <w:r>
        <w:t>Le bonus « logement situé dans les communes rurales » : 750€ par logement ;</w:t>
      </w:r>
    </w:p>
    <w:p w14:paraId="4A89492D" w14:textId="77777777" w:rsidR="00D44DC4" w:rsidRDefault="00D44DC4" w:rsidP="00D44DC4">
      <w:pPr>
        <w:pStyle w:val="Bullet2"/>
      </w:pPr>
      <w:r>
        <w:t>Le bonus « ventilation mécanique » : 500€ par logement ;</w:t>
      </w:r>
    </w:p>
    <w:p w14:paraId="516CB9EB" w14:textId="0B49620A" w:rsidR="00E10658" w:rsidRDefault="00D44DC4" w:rsidP="003B09A5">
      <w:pPr>
        <w:pStyle w:val="Bullet2"/>
      </w:pPr>
      <w:r>
        <w:t xml:space="preserve">Le bonus « matériaux </w:t>
      </w:r>
      <w:proofErr w:type="spellStart"/>
      <w:r>
        <w:t>bio-sourcés</w:t>
      </w:r>
      <w:proofErr w:type="spellEnd"/>
      <w:r>
        <w:t xml:space="preserve"> » : 500€ par logement pour </w:t>
      </w:r>
      <w:r w:rsidRPr="00523CA6">
        <w:t xml:space="preserve">l'achat et la pose de matériaux </w:t>
      </w:r>
      <w:proofErr w:type="spellStart"/>
      <w:r w:rsidRPr="00523CA6">
        <w:t>bio-sourcés</w:t>
      </w:r>
      <w:proofErr w:type="spellEnd"/>
      <w:r w:rsidRPr="00523CA6">
        <w:t xml:space="preserve"> d'origine végétale ou animale</w:t>
      </w:r>
      <w:r>
        <w:t>.</w:t>
      </w:r>
    </w:p>
    <w:p w14:paraId="30B29546" w14:textId="59133CBB" w:rsidR="006E0C69" w:rsidRDefault="003E4787" w:rsidP="003B09A5">
      <w:pPr>
        <w:pStyle w:val="Bullet1"/>
      </w:pPr>
      <w:r>
        <w:t>En plus de proposer un accompagnement technique, l</w:t>
      </w:r>
      <w:r w:rsidR="00D954D7">
        <w:t xml:space="preserve">a SPEE </w:t>
      </w:r>
      <w:r w:rsidR="002F100A">
        <w:t>met également à disposition des financements</w:t>
      </w:r>
      <w:r>
        <w:t>,</w:t>
      </w:r>
      <w:r w:rsidR="00A22DB8">
        <w:t xml:space="preserve"> le </w:t>
      </w:r>
      <w:proofErr w:type="spellStart"/>
      <w:r w:rsidR="00A22DB8" w:rsidRPr="00927CCB">
        <w:rPr>
          <w:b/>
          <w:bCs/>
        </w:rPr>
        <w:t>Pass</w:t>
      </w:r>
      <w:proofErr w:type="spellEnd"/>
      <w:r w:rsidR="00A22DB8" w:rsidRPr="00927CCB">
        <w:rPr>
          <w:b/>
          <w:bCs/>
        </w:rPr>
        <w:t xml:space="preserve"> Rénovation et le </w:t>
      </w:r>
      <w:proofErr w:type="spellStart"/>
      <w:r w:rsidR="00A22DB8" w:rsidRPr="00927CCB">
        <w:rPr>
          <w:b/>
          <w:bCs/>
        </w:rPr>
        <w:t>Pass</w:t>
      </w:r>
      <w:proofErr w:type="spellEnd"/>
      <w:r w:rsidR="00A22DB8" w:rsidRPr="00927CCB">
        <w:rPr>
          <w:b/>
          <w:bCs/>
        </w:rPr>
        <w:t xml:space="preserve"> Copropriété</w:t>
      </w:r>
      <w:r>
        <w:t>, afin de financer le reste à charge</w:t>
      </w:r>
      <w:r w:rsidR="00927CCB">
        <w:t xml:space="preserve"> (cf. </w:t>
      </w:r>
      <w:r w:rsidR="00BF03FF">
        <w:fldChar w:fldCharType="begin"/>
      </w:r>
      <w:r w:rsidR="00BF03FF">
        <w:instrText xml:space="preserve"> REF _Ref75541293 \h </w:instrText>
      </w:r>
      <w:r w:rsidR="00BF03FF">
        <w:fldChar w:fldCharType="separate"/>
      </w:r>
      <w:r w:rsidR="009F0282">
        <w:t xml:space="preserve">Encadré </w:t>
      </w:r>
      <w:r w:rsidR="009F0282">
        <w:rPr>
          <w:noProof/>
        </w:rPr>
        <w:t>27</w:t>
      </w:r>
      <w:r w:rsidR="00BF03FF">
        <w:fldChar w:fldCharType="end"/>
      </w:r>
      <w:r w:rsidR="00BF03FF">
        <w:t>).</w:t>
      </w:r>
    </w:p>
    <w:p w14:paraId="2583A563" w14:textId="29B1912B" w:rsidR="00E10658" w:rsidRDefault="00E10658" w:rsidP="003B09A5">
      <w:pPr>
        <w:pStyle w:val="BodyText"/>
      </w:pPr>
      <w:r>
        <w:t xml:space="preserve">Selon leur localisation, les </w:t>
      </w:r>
      <w:r w:rsidR="006E0C69">
        <w:t>ménages peuvent également bénéficier d’aides locales</w:t>
      </w:r>
      <w:r w:rsidR="00D94B30">
        <w:t xml:space="preserve"> pour financer leurs travaux</w:t>
      </w:r>
      <w:r w:rsidR="006E0C69">
        <w:t> :</w:t>
      </w:r>
    </w:p>
    <w:p w14:paraId="371A23D7" w14:textId="77777777" w:rsidR="001E3E6C" w:rsidRDefault="001E3E6C" w:rsidP="001E3E6C">
      <w:pPr>
        <w:pStyle w:val="Bullet1"/>
      </w:pPr>
      <w:r>
        <w:t xml:space="preserve">Le Département de l’Oise a mis en place un </w:t>
      </w:r>
      <w:r w:rsidRPr="0012673A">
        <w:rPr>
          <w:b/>
          <w:bCs/>
        </w:rPr>
        <w:t>Fonds Départemental d’Amélioration de l’Habitat (FDAH)</w:t>
      </w:r>
      <w:r>
        <w:t>.</w:t>
      </w:r>
    </w:p>
    <w:p w14:paraId="2BC00893" w14:textId="00DDC20E" w:rsidR="006A4318" w:rsidRDefault="006A4318" w:rsidP="003C2F44">
      <w:pPr>
        <w:pStyle w:val="Bullet1"/>
      </w:pPr>
      <w:r>
        <w:t xml:space="preserve">Le Département du Nord propose une aide </w:t>
      </w:r>
      <w:r w:rsidRPr="001F3DBF">
        <w:rPr>
          <w:b/>
          <w:bCs/>
        </w:rPr>
        <w:t xml:space="preserve">Nord </w:t>
      </w:r>
      <w:r w:rsidR="002F1374" w:rsidRPr="001F3DBF">
        <w:rPr>
          <w:b/>
          <w:bCs/>
        </w:rPr>
        <w:t>Équipement</w:t>
      </w:r>
      <w:r w:rsidRPr="001F3DBF">
        <w:rPr>
          <w:b/>
          <w:bCs/>
        </w:rPr>
        <w:t xml:space="preserve"> Habitat Solidarité</w:t>
      </w:r>
      <w:r w:rsidR="002F1374" w:rsidRPr="001F3DBF">
        <w:rPr>
          <w:b/>
          <w:bCs/>
        </w:rPr>
        <w:t xml:space="preserve"> (NEHS)</w:t>
      </w:r>
      <w:r w:rsidR="00BF1BAF">
        <w:t xml:space="preserve"> à hauteur de 1K€</w:t>
      </w:r>
      <w:r w:rsidR="001F3DBF">
        <w:t xml:space="preserve"> afin de réduire la précarité énergétique sur son territoire. </w:t>
      </w:r>
      <w:r w:rsidR="00131A6A">
        <w:t>C</w:t>
      </w:r>
      <w:r w:rsidR="001F3DBF">
        <w:t xml:space="preserve">ette aide s’adresse aux propriétaires bailleurs et occupants et aux locataires, </w:t>
      </w:r>
      <w:r w:rsidR="00131A6A">
        <w:t xml:space="preserve">sous condition de ressources, pour des travaux de réfection (vitrages, menuiserie, etc.), des travaux d’entretien </w:t>
      </w:r>
      <w:r w:rsidR="0083669C" w:rsidRPr="0083669C">
        <w:t>(stores et volets, canalisations eau et gaz, chaudières et robinetterie, ramonage, …)</w:t>
      </w:r>
      <w:r w:rsidR="0083669C">
        <w:t xml:space="preserve"> et des travaux de réparation (évier et appareils sanitaires, WC, etc.).</w:t>
      </w:r>
    </w:p>
    <w:p w14:paraId="566A497C" w14:textId="7724742A" w:rsidR="001E3E6C" w:rsidRDefault="00712A14" w:rsidP="003C2F44">
      <w:pPr>
        <w:pStyle w:val="Bullet1"/>
      </w:pPr>
      <w:r>
        <w:t xml:space="preserve">Le Département de la Somme propose une </w:t>
      </w:r>
      <w:r w:rsidRPr="00E32CD5">
        <w:rPr>
          <w:b/>
          <w:bCs/>
        </w:rPr>
        <w:t xml:space="preserve">aide </w:t>
      </w:r>
      <w:r w:rsidR="00E32CD5" w:rsidRPr="00E32CD5">
        <w:rPr>
          <w:b/>
          <w:bCs/>
        </w:rPr>
        <w:t>à la rénovation énergétique</w:t>
      </w:r>
      <w:r w:rsidR="00E32CD5">
        <w:t xml:space="preserve">, </w:t>
      </w:r>
      <w:r>
        <w:t>complémentaire au soutien de l’ANAH</w:t>
      </w:r>
      <w:r w:rsidR="00E32CD5">
        <w:t xml:space="preserve">, d’un montant maximum de 750 </w:t>
      </w:r>
      <w:r w:rsidR="00A50B36">
        <w:t>€</w:t>
      </w:r>
      <w:r w:rsidR="00E32CD5">
        <w:t xml:space="preserve"> pour lutter contre la précarité énergétique et </w:t>
      </w:r>
      <w:r w:rsidR="000B3105">
        <w:t>soutenir les ménages dans la maîtrise de leurs dépenses énergétiques.</w:t>
      </w:r>
    </w:p>
    <w:p w14:paraId="5DCD7D78" w14:textId="77777777" w:rsidR="00712A14" w:rsidRDefault="00712A14" w:rsidP="00712A14">
      <w:pPr>
        <w:pStyle w:val="Bullet1"/>
      </w:pPr>
      <w:r>
        <w:t xml:space="preserve">La Communauté d’Agglomération du Beauvaisis a mis en place le </w:t>
      </w:r>
      <w:r w:rsidRPr="00790F6B">
        <w:rPr>
          <w:b/>
          <w:bCs/>
        </w:rPr>
        <w:t>dispositif « Bien chez soi »</w:t>
      </w:r>
      <w:r>
        <w:t>, reconduit pour 2018-2021, dans le cadre du Plan Rénovation Confort du Beauvaisis. Ce dispositif s’adresse aux propriétaires bailleurs et occupants souhaitant effectuer des travaux pour améliorer le confort du logement, dont les travaux visant à réduire la consommation énergétique.</w:t>
      </w:r>
    </w:p>
    <w:p w14:paraId="34857ACE" w14:textId="3AC97881" w:rsidR="0054726A" w:rsidRDefault="003C2F44" w:rsidP="001D5454">
      <w:pPr>
        <w:pStyle w:val="Bullet1"/>
      </w:pPr>
      <w:r>
        <w:t>La Métropole européenne de Lille propose une</w:t>
      </w:r>
      <w:r w:rsidRPr="003C2F44">
        <w:rPr>
          <w:b/>
          <w:bCs/>
        </w:rPr>
        <w:t xml:space="preserve"> aide à la rénovation énergétique</w:t>
      </w:r>
      <w:r>
        <w:t xml:space="preserve"> de 2</w:t>
      </w:r>
      <w:r w:rsidR="00BF1BAF">
        <w:t>K</w:t>
      </w:r>
      <w:r>
        <w:t xml:space="preserve">€ </w:t>
      </w:r>
      <w:r w:rsidR="001A2081">
        <w:t xml:space="preserve">pour les ménages éligibles selon les critères de ressources qui réalisent des travaux portant sur au moins deux postes </w:t>
      </w:r>
      <w:r w:rsidR="00FC34D4" w:rsidRPr="00FC34D4">
        <w:t>qui engendrent un gain énergétique d’au minimum 40 % ou l’obtention d’une étiquette énergétique C</w:t>
      </w:r>
      <w:r w:rsidR="00FC34D4">
        <w:t xml:space="preserve">. </w:t>
      </w:r>
      <w:r w:rsidR="00FC34D4" w:rsidRPr="00FC34D4">
        <w:t xml:space="preserve">Une </w:t>
      </w:r>
      <w:r w:rsidR="00FC34D4" w:rsidRPr="00776CD2">
        <w:rPr>
          <w:b/>
          <w:bCs/>
        </w:rPr>
        <w:t xml:space="preserve">prime supplémentaire </w:t>
      </w:r>
      <w:r w:rsidR="00FC34D4" w:rsidRPr="00FC34D4">
        <w:t>de 5</w:t>
      </w:r>
      <w:r w:rsidR="00BF1BAF">
        <w:t>K</w:t>
      </w:r>
      <w:r w:rsidR="00FC34D4" w:rsidRPr="00FC34D4">
        <w:t>€ est prévue pour les projets de rénovation complète et performante de type BBC (Bâtiments Basse Consommation). Elle pourra également être attribuée aux propriétaires occupants modestes et très modestes bénéficiant de l’accompagnement renforcé AMELIO+ qui s’engagent dans des travaux de rénovation complète de leur logement</w:t>
      </w:r>
      <w:r w:rsidR="001D5454">
        <w:t>.</w:t>
      </w:r>
    </w:p>
    <w:p w14:paraId="11E2B150" w14:textId="77777777" w:rsidR="006D59FD" w:rsidRDefault="006D59FD" w:rsidP="006D59FD">
      <w:pPr>
        <w:pStyle w:val="BodyText"/>
      </w:pPr>
      <w:r>
        <w:t>L’offre en dette est elle aussi plutôt fournie :</w:t>
      </w:r>
    </w:p>
    <w:p w14:paraId="40B91584" w14:textId="21455917" w:rsidR="006D59FD" w:rsidRPr="0059485A" w:rsidRDefault="006D59FD" w:rsidP="006D59FD">
      <w:pPr>
        <w:pStyle w:val="Bullet1"/>
      </w:pPr>
      <w:r w:rsidRPr="0059485A">
        <w:t xml:space="preserve">L’État propose un </w:t>
      </w:r>
      <w:r w:rsidRPr="0059485A">
        <w:rPr>
          <w:b/>
        </w:rPr>
        <w:t>éco-prêt à taux zéro (éco-PTZ)</w:t>
      </w:r>
      <w:r w:rsidRPr="0059485A">
        <w:t>. Tous les propriétaires occupants et bailleurs sont éligibles sans conditions de ressources</w:t>
      </w:r>
      <w:r w:rsidRPr="0059485A">
        <w:rPr>
          <w:rStyle w:val="FootnoteReference"/>
        </w:rPr>
        <w:footnoteReference w:id="40"/>
      </w:r>
      <w:r w:rsidRPr="0059485A">
        <w:t>. Il peut être applicable pour toute résidence principale d’au moins 2 ans, pour l’ensemble des travaux permettant de réaliser des actions de performance énergétique, dont la globalité doit permettre d’atteindre au moins 35% d’économies d’énergie par rapport à la consommation avant travaux. Les types de travaux finançables sont assez variés, mais doivent être réalisés par des professionnels RGE.</w:t>
      </w:r>
    </w:p>
    <w:p w14:paraId="177B3F6C" w14:textId="77777777" w:rsidR="006D59FD" w:rsidRPr="0059485A" w:rsidRDefault="006D59FD" w:rsidP="006D59FD">
      <w:pPr>
        <w:pStyle w:val="Bullet1"/>
        <w:numPr>
          <w:ilvl w:val="0"/>
          <w:numId w:val="0"/>
        </w:numPr>
        <w:ind w:left="360"/>
      </w:pPr>
      <w:r w:rsidRPr="0059485A">
        <w:t>Sans frais de dossier ni taux d’intérêt, la somme empruntable peut couvrir les frais de travaux ainsi que toutes les dépenses périphériques (dépose et mise en décharge des ouvrages, frais d’études), et dépend du nombre et du type d’actions mise en œuvre allant de 7,5K€ pour un remplacement des vitrages à 30K€ pour une amélioration de la performance globale du bâtiment. Le prêt est ensuite remboursable sur des échéances de 3 à 15 ans, et un prêt complémentaire de 10K€ maximum peut être demandé dans les 5 ans qui suivent la clôture du premier pour réaliser des travaux supplémentaires. L’éco-PTZ est aussi mobilisable pour la rénovation des espaces communs de copropriétés et cumulable avec un autre éco-prêt pour les espaces privés, du moment que les coûts de travaux totaux ne dépassent pas 30K€ par logement.</w:t>
      </w:r>
    </w:p>
    <w:p w14:paraId="6E3CDD3C" w14:textId="766B0F3C" w:rsidR="006D59FD" w:rsidRPr="0059485A" w:rsidRDefault="006D59FD" w:rsidP="006D59FD">
      <w:pPr>
        <w:pStyle w:val="Bullet1"/>
        <w:numPr>
          <w:ilvl w:val="0"/>
          <w:numId w:val="0"/>
        </w:numPr>
        <w:ind w:left="360"/>
      </w:pPr>
      <w:r w:rsidRPr="0059485A">
        <w:t xml:space="preserve">Cette formule ne fonctionne cependant pas de manière optimale et suscite parfois des réticences de mobilisation de la part des acteurs bancaires qui trouvent peu d’intérêt dans le dispositif. </w:t>
      </w:r>
      <w:r w:rsidRPr="0059485A">
        <w:rPr>
          <w:b/>
        </w:rPr>
        <w:t xml:space="preserve">Le niveau de mobilisation de l’éco-PTZ est </w:t>
      </w:r>
      <w:r w:rsidR="00F908DC">
        <w:rPr>
          <w:b/>
        </w:rPr>
        <w:t>faible</w:t>
      </w:r>
      <w:r w:rsidRPr="0059485A">
        <w:rPr>
          <w:b/>
        </w:rPr>
        <w:t xml:space="preserve"> </w:t>
      </w:r>
      <w:r w:rsidRPr="0059485A">
        <w:t>(</w:t>
      </w:r>
      <w:r w:rsidR="00DE3873">
        <w:t xml:space="preserve">moins de 36 000 éco-PTZ ont été mobilisés en France en 2019, </w:t>
      </w:r>
      <w:r w:rsidR="00B93B26">
        <w:t>contre 91 000 PTZ</w:t>
      </w:r>
      <w:r w:rsidR="00CC77BC">
        <w:t xml:space="preserve"> mobilisés la même année pour faciliter </w:t>
      </w:r>
      <w:r w:rsidR="00D20018">
        <w:t>l’achat de logement neuf</w:t>
      </w:r>
      <w:r w:rsidR="00D20018">
        <w:rPr>
          <w:rStyle w:val="FootnoteReference"/>
        </w:rPr>
        <w:footnoteReference w:id="41"/>
      </w:r>
      <w:r w:rsidRPr="0059485A">
        <w:t>). Depuis le 1</w:t>
      </w:r>
      <w:r w:rsidRPr="0059485A">
        <w:rPr>
          <w:vertAlign w:val="superscript"/>
        </w:rPr>
        <w:t>er</w:t>
      </w:r>
      <w:r w:rsidRPr="0059485A">
        <w:t xml:space="preserve"> mars 2019, la condition de bouquet de travaux est supprimée, et l’éco-PTZ ne peut plus financer qu’une seule action.</w:t>
      </w:r>
    </w:p>
    <w:p w14:paraId="14AB0872" w14:textId="77777777" w:rsidR="006D59FD" w:rsidRPr="0059485A" w:rsidRDefault="006D59FD" w:rsidP="006D59FD">
      <w:pPr>
        <w:pStyle w:val="Bullet1"/>
      </w:pPr>
      <w:r w:rsidRPr="0059485A">
        <w:t xml:space="preserve">Pour financer le reste à charge, qui reste une difficulté pour les ménages les plus modestes (publics cibles de l’ANAH) et pour les ménages au-dessus des seuils de l’ANAH mais déjà endettés, un </w:t>
      </w:r>
      <w:r w:rsidRPr="0059485A">
        <w:rPr>
          <w:b/>
        </w:rPr>
        <w:t>Fonds de garantie pour la rénovation énergétique (FGRE)</w:t>
      </w:r>
      <w:r w:rsidRPr="0059485A">
        <w:t xml:space="preserve"> est disponible pour faciliter la délivrance, par les banques, des éco-PTZ. Son financement - à hauteur de 14M€/an pour les ménages modestes et de 5M€/an pour les copropriétés – sera assuré par un programme de certificats d’économies d’énergie (CEE). A la faveur d’un abondement de 57M€ d’EDF, près de 35 000 ménages modestes devraient ainsi avoir accès aux éco-prêts, notamment ceux bénéficiaires de </w:t>
      </w:r>
      <w:proofErr w:type="spellStart"/>
      <w:r w:rsidRPr="0059485A">
        <w:t>MaPrimeRénov</w:t>
      </w:r>
      <w:proofErr w:type="spellEnd"/>
      <w:r w:rsidRPr="0059485A">
        <w:t>’ et du programme « Habiter mieux », pour financer à taux zéro le reste à charge de leurs travaux.</w:t>
      </w:r>
    </w:p>
    <w:p w14:paraId="006FA7D4" w14:textId="583736BF" w:rsidR="006D59FD" w:rsidRPr="0059485A" w:rsidRDefault="006D59FD" w:rsidP="006D59FD">
      <w:pPr>
        <w:pStyle w:val="Bullet1"/>
      </w:pPr>
      <w:r w:rsidRPr="0059485A">
        <w:rPr>
          <w:b/>
        </w:rPr>
        <w:t>Action Logement propose un dispositif de prêt</w:t>
      </w:r>
      <w:r w:rsidRPr="0059485A">
        <w:t xml:space="preserve"> qui s’adresse aux propriétaires salariés d’une entreprise d’une entreprise (hors TPE) qui souhaitent réaliser des travaux de rénovation énergétique dans leur résidence principale. Il peut financer un coût de travaux dans la limite de 10K€ et est remboursable sur une durée maximale de 10 ans.</w:t>
      </w:r>
    </w:p>
    <w:p w14:paraId="12659F8C" w14:textId="242A5F04" w:rsidR="006142D8" w:rsidRDefault="006D59FD" w:rsidP="00787774">
      <w:pPr>
        <w:pStyle w:val="Bullet1"/>
      </w:pPr>
      <w:r w:rsidRPr="0059485A">
        <w:rPr>
          <w:b/>
        </w:rPr>
        <w:t>La CAF propose également un prêt</w:t>
      </w:r>
      <w:r w:rsidRPr="0059485A">
        <w:t>, destiné à la rénovation énergétique de toute résidence principale, il peut couvrir jusqu’à 80% des travaux plafonnés à 1067,14€, dont la moitié est versée à la signature du contrat sur présentation du devis et l’autre moitié à la fin des travaux sur présentation de la facture. Le prêt est remboursable en 36 mois avec un taux d’intérêt de 1%. De par la faible somme empruntable, il est destiné aux travaux légers.</w:t>
      </w:r>
    </w:p>
    <w:p w14:paraId="09BD9476" w14:textId="524A27AB" w:rsidR="0064198B" w:rsidRDefault="0064198B" w:rsidP="00536470">
      <w:pPr>
        <w:pStyle w:val="Heading3"/>
      </w:pPr>
      <w:bookmarkStart w:id="68" w:name="_Toc93390274"/>
      <w:r>
        <w:t>Bilan de l’offre de financement de l’efficacité énergétique</w:t>
      </w:r>
      <w:bookmarkEnd w:id="68"/>
    </w:p>
    <w:p w14:paraId="3AE50817" w14:textId="77777777" w:rsidR="00B847E4" w:rsidRPr="000D4248" w:rsidRDefault="00C40F54" w:rsidP="00C40F54">
      <w:pPr>
        <w:pStyle w:val="BodyText"/>
      </w:pPr>
      <w:r w:rsidRPr="00B52629">
        <w:t xml:space="preserve">L’offre de financement de la rénovation énergétique à destination du bâti public et du résidentiel privé est </w:t>
      </w:r>
      <w:r w:rsidRPr="00B52629">
        <w:rPr>
          <w:b/>
        </w:rPr>
        <w:t>très dense</w:t>
      </w:r>
      <w:r w:rsidRPr="00B52629">
        <w:t xml:space="preserve"> au niveau national. Ces outils sont bien articulés car la plupart sont des </w:t>
      </w:r>
      <w:r w:rsidRPr="00B52629">
        <w:rPr>
          <w:b/>
        </w:rPr>
        <w:t>subventions</w:t>
      </w:r>
      <w:r w:rsidRPr="00B52629">
        <w:t xml:space="preserve"> ou des </w:t>
      </w:r>
      <w:r w:rsidRPr="00B52629">
        <w:rPr>
          <w:b/>
        </w:rPr>
        <w:t>prêts avantageux</w:t>
      </w:r>
      <w:r w:rsidRPr="00B52629">
        <w:t xml:space="preserve"> et cumulables pour financer des travaux qui sont trop coûteux à l’échelle d’un ménage ou d’une collectivité seule. Des dispositifs locaux ou régionaux viennent parfois compléter l’offre.</w:t>
      </w:r>
      <w:r w:rsidRPr="000D4248">
        <w:t xml:space="preserve"> </w:t>
      </w:r>
    </w:p>
    <w:p w14:paraId="4F9FBAF0" w14:textId="01187937" w:rsidR="00E44F90" w:rsidRPr="000D4248" w:rsidRDefault="00E44F90" w:rsidP="00C40F54">
      <w:pPr>
        <w:pStyle w:val="BodyText"/>
        <w:rPr>
          <w:b/>
          <w:bCs/>
        </w:rPr>
      </w:pPr>
      <w:r w:rsidRPr="000D4248">
        <w:t xml:space="preserve">Toutefois, en observant </w:t>
      </w:r>
      <w:r w:rsidR="00043B2A" w:rsidRPr="000D4248">
        <w:t>l</w:t>
      </w:r>
      <w:r w:rsidRPr="000D4248">
        <w:t xml:space="preserve">es montants programmés dans le cadre des PO FEDER Nord-Pas-de-Calais et Picardie en 2014-2020, on </w:t>
      </w:r>
      <w:r w:rsidR="00043B2A" w:rsidRPr="000D4248">
        <w:t>constate une importante sous-consommation par rapport aux montants maquettés initialement (</w:t>
      </w:r>
      <w:r w:rsidR="00FE5981" w:rsidRPr="000D4248">
        <w:t>58,5</w:t>
      </w:r>
      <w:r w:rsidR="00043B2A" w:rsidRPr="000D4248">
        <w:t>% de consommation), pour des montants totaux également inférieurs aux anticipations initiales (</w:t>
      </w:r>
      <w:r w:rsidR="00FE5981" w:rsidRPr="000D4248">
        <w:t>68</w:t>
      </w:r>
      <w:r w:rsidR="00043B2A" w:rsidRPr="000D4248">
        <w:t>%)</w:t>
      </w:r>
      <w:r w:rsidR="00C77511" w:rsidRPr="000D4248">
        <w:t xml:space="preserve">. </w:t>
      </w:r>
      <w:r w:rsidR="00C77511" w:rsidRPr="00B52629">
        <w:t>Cette sous-consommation peut être expliquée par divers facteurs</w:t>
      </w:r>
      <w:r w:rsidR="005D4930" w:rsidRPr="00B52629">
        <w:t xml:space="preserve"> et illustre l’existence de </w:t>
      </w:r>
      <w:r w:rsidR="005D4930" w:rsidRPr="00B52629">
        <w:rPr>
          <w:b/>
          <w:bCs/>
        </w:rPr>
        <w:t>freins autres que financiers dans l’absence de massification des opérations de rénovation énergétique</w:t>
      </w:r>
      <w:r w:rsidR="00B22509" w:rsidRPr="00B52629">
        <w:rPr>
          <w:b/>
          <w:bCs/>
        </w:rPr>
        <w:t xml:space="preserve"> en Hauts-de-France</w:t>
      </w:r>
      <w:r w:rsidR="005D4930" w:rsidRPr="000D4248">
        <w:rPr>
          <w:b/>
          <w:bCs/>
        </w:rPr>
        <w:t>.</w:t>
      </w:r>
    </w:p>
    <w:p w14:paraId="078FA1FE" w14:textId="495D9393" w:rsidR="00B847E4" w:rsidRPr="000D4248" w:rsidRDefault="00B847E4" w:rsidP="00B847E4">
      <w:pPr>
        <w:pStyle w:val="Caption"/>
      </w:pPr>
      <w:bookmarkStart w:id="69" w:name="_Toc88842097"/>
      <w:r w:rsidRPr="000D4248">
        <w:t xml:space="preserve">Tableau </w:t>
      </w:r>
      <w:r w:rsidRPr="000D4248">
        <w:fldChar w:fldCharType="begin"/>
      </w:r>
      <w:r w:rsidRPr="000D4248">
        <w:instrText xml:space="preserve"> SEQ Tableau \* ARABIC </w:instrText>
      </w:r>
      <w:r w:rsidRPr="000D4248">
        <w:fldChar w:fldCharType="separate"/>
      </w:r>
      <w:r w:rsidR="009F0282">
        <w:rPr>
          <w:noProof/>
        </w:rPr>
        <w:t>5</w:t>
      </w:r>
      <w:r w:rsidRPr="000D4248">
        <w:fldChar w:fldCharType="end"/>
      </w:r>
      <w:r w:rsidRPr="000D4248">
        <w:t xml:space="preserve"> Montants maquettés et consommés au titre de la priorité 4</w:t>
      </w:r>
      <w:r w:rsidR="00BC4D1E" w:rsidRPr="000D4248">
        <w:t>c</w:t>
      </w:r>
      <w:r w:rsidRPr="000D4248">
        <w:t xml:space="preserve"> (E</w:t>
      </w:r>
      <w:r w:rsidR="00BC4D1E" w:rsidRPr="000D4248">
        <w:t>fficacité énergétique</w:t>
      </w:r>
      <w:r w:rsidRPr="000D4248">
        <w:t>) des PO FEDER Nord-Pas-de-Calais et Picardie 2014-2020</w:t>
      </w:r>
      <w:bookmarkEnd w:id="69"/>
    </w:p>
    <w:tbl>
      <w:tblPr>
        <w:tblStyle w:val="TechnopolisTable1"/>
        <w:tblW w:w="0" w:type="auto"/>
        <w:tblLook w:val="04A0" w:firstRow="1" w:lastRow="0" w:firstColumn="1" w:lastColumn="0" w:noHBand="0" w:noVBand="1"/>
      </w:tblPr>
      <w:tblGrid>
        <w:gridCol w:w="805"/>
        <w:gridCol w:w="1450"/>
        <w:gridCol w:w="1518"/>
        <w:gridCol w:w="1214"/>
        <w:gridCol w:w="1417"/>
        <w:gridCol w:w="1485"/>
        <w:gridCol w:w="1173"/>
      </w:tblGrid>
      <w:tr w:rsidR="00774995" w:rsidRPr="000D4248" w14:paraId="3804334A" w14:textId="77777777" w:rsidTr="00774995">
        <w:trPr>
          <w:cnfStyle w:val="100000000000" w:firstRow="1" w:lastRow="0" w:firstColumn="0" w:lastColumn="0" w:oddVBand="0" w:evenVBand="0" w:oddHBand="0" w:evenHBand="0" w:firstRowFirstColumn="0" w:firstRowLastColumn="0" w:lastRowFirstColumn="0" w:lastRowLastColumn="0"/>
        </w:trPr>
        <w:tc>
          <w:tcPr>
            <w:tcW w:w="0" w:type="auto"/>
          </w:tcPr>
          <w:p w14:paraId="215218E9" w14:textId="77777777" w:rsidR="00774995" w:rsidRPr="000D4248" w:rsidRDefault="00774995" w:rsidP="00DD3EE3">
            <w:pPr>
              <w:pStyle w:val="Tabletext"/>
              <w:keepNext/>
            </w:pPr>
            <w:r w:rsidRPr="000D4248">
              <w:t>PO</w:t>
            </w:r>
          </w:p>
        </w:tc>
        <w:tc>
          <w:tcPr>
            <w:tcW w:w="0" w:type="auto"/>
          </w:tcPr>
          <w:p w14:paraId="65926D0C" w14:textId="77777777" w:rsidR="00774995" w:rsidRPr="000D4248" w:rsidRDefault="00774995" w:rsidP="00DD3EE3">
            <w:pPr>
              <w:pStyle w:val="Tabletext"/>
              <w:keepNext/>
            </w:pPr>
            <w:r w:rsidRPr="000D4248">
              <w:t>Montant total maquetté (révisé en 2019)</w:t>
            </w:r>
          </w:p>
        </w:tc>
        <w:tc>
          <w:tcPr>
            <w:tcW w:w="0" w:type="auto"/>
          </w:tcPr>
          <w:p w14:paraId="3D6E4D5C" w14:textId="77777777" w:rsidR="00774995" w:rsidRPr="000D4248" w:rsidRDefault="00774995" w:rsidP="00DD3EE3">
            <w:pPr>
              <w:pStyle w:val="Tabletext"/>
              <w:keepNext/>
            </w:pPr>
            <w:r w:rsidRPr="000D4248">
              <w:t>Montant total programmé (07/2021)</w:t>
            </w:r>
          </w:p>
        </w:tc>
        <w:tc>
          <w:tcPr>
            <w:tcW w:w="0" w:type="auto"/>
          </w:tcPr>
          <w:p w14:paraId="4B9AA0C2" w14:textId="77777777" w:rsidR="00774995" w:rsidRPr="000D4248" w:rsidRDefault="00774995" w:rsidP="00DD3EE3">
            <w:pPr>
              <w:pStyle w:val="Tabletext"/>
              <w:keepNext/>
              <w:rPr>
                <w:b w:val="0"/>
              </w:rPr>
            </w:pPr>
            <w:r w:rsidRPr="000D4248">
              <w:t>% programmé/</w:t>
            </w:r>
          </w:p>
          <w:p w14:paraId="06160042" w14:textId="77777777" w:rsidR="00774995" w:rsidRPr="000D4248" w:rsidRDefault="00774995" w:rsidP="00DD3EE3">
            <w:pPr>
              <w:pStyle w:val="Tabletext"/>
              <w:keepNext/>
            </w:pPr>
            <w:r w:rsidRPr="000D4248">
              <w:t>maquetté</w:t>
            </w:r>
          </w:p>
        </w:tc>
        <w:tc>
          <w:tcPr>
            <w:tcW w:w="0" w:type="auto"/>
          </w:tcPr>
          <w:p w14:paraId="151485EC" w14:textId="77777777" w:rsidR="00774995" w:rsidRPr="000D4248" w:rsidRDefault="00774995" w:rsidP="00DD3EE3">
            <w:pPr>
              <w:pStyle w:val="Tabletext"/>
              <w:keepNext/>
            </w:pPr>
            <w:r w:rsidRPr="000D4248">
              <w:t>Montant UE maquetté (révisé en 2019)</w:t>
            </w:r>
          </w:p>
        </w:tc>
        <w:tc>
          <w:tcPr>
            <w:tcW w:w="0" w:type="auto"/>
          </w:tcPr>
          <w:p w14:paraId="4F626D13" w14:textId="77777777" w:rsidR="00774995" w:rsidRPr="000D4248" w:rsidRDefault="00774995" w:rsidP="00DD3EE3">
            <w:pPr>
              <w:pStyle w:val="Tabletext"/>
              <w:keepNext/>
            </w:pPr>
            <w:r w:rsidRPr="000D4248">
              <w:t>Montant UE programmé (07/2021)</w:t>
            </w:r>
          </w:p>
        </w:tc>
        <w:tc>
          <w:tcPr>
            <w:tcW w:w="0" w:type="auto"/>
          </w:tcPr>
          <w:p w14:paraId="0DFF508A" w14:textId="77777777" w:rsidR="00774995" w:rsidRPr="000D4248" w:rsidRDefault="00774995" w:rsidP="00DD3EE3">
            <w:pPr>
              <w:pStyle w:val="Tabletext"/>
              <w:keepNext/>
              <w:rPr>
                <w:b w:val="0"/>
              </w:rPr>
            </w:pPr>
            <w:r w:rsidRPr="000D4248">
              <w:t>%</w:t>
            </w:r>
          </w:p>
          <w:p w14:paraId="16C1816C" w14:textId="77777777" w:rsidR="00774995" w:rsidRPr="000D4248" w:rsidRDefault="00774995" w:rsidP="00DD3EE3">
            <w:pPr>
              <w:pStyle w:val="Tabletext"/>
              <w:keepNext/>
              <w:rPr>
                <w:b w:val="0"/>
              </w:rPr>
            </w:pPr>
            <w:r w:rsidRPr="000D4248">
              <w:t>Programmé/</w:t>
            </w:r>
          </w:p>
          <w:p w14:paraId="188EC40F" w14:textId="77777777" w:rsidR="00774995" w:rsidRPr="000D4248" w:rsidRDefault="00774995" w:rsidP="00DD3EE3">
            <w:pPr>
              <w:pStyle w:val="Tabletext"/>
              <w:keepNext/>
            </w:pPr>
            <w:r w:rsidRPr="000D4248">
              <w:t>maquetté</w:t>
            </w:r>
          </w:p>
        </w:tc>
      </w:tr>
      <w:tr w:rsidR="00774995" w:rsidRPr="000D4248" w14:paraId="18C45432" w14:textId="77777777" w:rsidTr="00774995">
        <w:trPr>
          <w:cnfStyle w:val="000000100000" w:firstRow="0" w:lastRow="0" w:firstColumn="0" w:lastColumn="0" w:oddVBand="0" w:evenVBand="0" w:oddHBand="1" w:evenHBand="0" w:firstRowFirstColumn="0" w:firstRowLastColumn="0" w:lastRowFirstColumn="0" w:lastRowLastColumn="0"/>
        </w:trPr>
        <w:tc>
          <w:tcPr>
            <w:tcW w:w="0" w:type="auto"/>
          </w:tcPr>
          <w:p w14:paraId="14306E6F" w14:textId="77777777" w:rsidR="00774995" w:rsidRPr="000D4248" w:rsidRDefault="00774995" w:rsidP="00DD3EE3">
            <w:pPr>
              <w:pStyle w:val="Tabletext"/>
              <w:keepNext/>
            </w:pPr>
            <w:proofErr w:type="spellStart"/>
            <w:r w:rsidRPr="000D4248">
              <w:t>NPdC</w:t>
            </w:r>
            <w:proofErr w:type="spellEnd"/>
          </w:p>
        </w:tc>
        <w:tc>
          <w:tcPr>
            <w:tcW w:w="0" w:type="auto"/>
          </w:tcPr>
          <w:p w14:paraId="210955EB" w14:textId="6AFBFFF4" w:rsidR="00774995" w:rsidRPr="000D4248" w:rsidRDefault="00186260" w:rsidP="00DD3EE3">
            <w:pPr>
              <w:pStyle w:val="Tabletext"/>
              <w:keepNext/>
            </w:pPr>
            <w:r w:rsidRPr="000D4248">
              <w:t>84</w:t>
            </w:r>
            <w:r w:rsidR="00774995" w:rsidRPr="000D4248">
              <w:t>M€</w:t>
            </w:r>
          </w:p>
        </w:tc>
        <w:tc>
          <w:tcPr>
            <w:tcW w:w="0" w:type="auto"/>
          </w:tcPr>
          <w:p w14:paraId="7E31D7AF" w14:textId="1037F55F" w:rsidR="00774995" w:rsidRPr="000D4248" w:rsidRDefault="00186260" w:rsidP="00DD3EE3">
            <w:pPr>
              <w:pStyle w:val="Tabletext"/>
              <w:keepNext/>
            </w:pPr>
            <w:r w:rsidRPr="000D4248">
              <w:t>87,5</w:t>
            </w:r>
            <w:r w:rsidR="00774995" w:rsidRPr="000D4248">
              <w:t>M€</w:t>
            </w:r>
          </w:p>
        </w:tc>
        <w:tc>
          <w:tcPr>
            <w:tcW w:w="0" w:type="auto"/>
          </w:tcPr>
          <w:p w14:paraId="592C4112" w14:textId="0300679A" w:rsidR="00774995" w:rsidRPr="000D4248" w:rsidRDefault="007C646A" w:rsidP="00DD3EE3">
            <w:pPr>
              <w:pStyle w:val="Tabletext"/>
              <w:keepNext/>
            </w:pPr>
            <w:r w:rsidRPr="000D4248">
              <w:t>104</w:t>
            </w:r>
            <w:r w:rsidR="00774995" w:rsidRPr="000D4248">
              <w:t>%</w:t>
            </w:r>
          </w:p>
        </w:tc>
        <w:tc>
          <w:tcPr>
            <w:tcW w:w="0" w:type="auto"/>
          </w:tcPr>
          <w:p w14:paraId="11C929FB" w14:textId="144F14B4" w:rsidR="00774995" w:rsidRPr="00B52629" w:rsidRDefault="00186260" w:rsidP="00DD3EE3">
            <w:pPr>
              <w:pStyle w:val="Tabletext"/>
              <w:keepNext/>
            </w:pPr>
            <w:r w:rsidRPr="00B52629">
              <w:t>42</w:t>
            </w:r>
            <w:r w:rsidR="00774995" w:rsidRPr="00B52629">
              <w:t>M€</w:t>
            </w:r>
          </w:p>
        </w:tc>
        <w:tc>
          <w:tcPr>
            <w:tcW w:w="0" w:type="auto"/>
          </w:tcPr>
          <w:p w14:paraId="6D5C3EE0" w14:textId="48F2660C" w:rsidR="00774995" w:rsidRPr="00B52629" w:rsidRDefault="00186260" w:rsidP="00DD3EE3">
            <w:pPr>
              <w:pStyle w:val="Tabletext"/>
              <w:keepNext/>
            </w:pPr>
            <w:r w:rsidRPr="00B52629">
              <w:t>24</w:t>
            </w:r>
            <w:r w:rsidR="00774995" w:rsidRPr="00B52629">
              <w:t>M€</w:t>
            </w:r>
          </w:p>
        </w:tc>
        <w:tc>
          <w:tcPr>
            <w:tcW w:w="0" w:type="auto"/>
          </w:tcPr>
          <w:p w14:paraId="06E4F62A" w14:textId="7F306EFE" w:rsidR="00774995" w:rsidRPr="00B52629" w:rsidRDefault="00B26906" w:rsidP="00DD3EE3">
            <w:pPr>
              <w:pStyle w:val="Tabletext"/>
              <w:keepNext/>
            </w:pPr>
            <w:r w:rsidRPr="00B52629">
              <w:t>57</w:t>
            </w:r>
            <w:r w:rsidR="00774995" w:rsidRPr="00B52629">
              <w:t>%</w:t>
            </w:r>
          </w:p>
        </w:tc>
      </w:tr>
      <w:tr w:rsidR="00774995" w14:paraId="79001B3B" w14:textId="77777777" w:rsidTr="00774995">
        <w:trPr>
          <w:cnfStyle w:val="000000010000" w:firstRow="0" w:lastRow="0" w:firstColumn="0" w:lastColumn="0" w:oddVBand="0" w:evenVBand="0" w:oddHBand="0" w:evenHBand="1" w:firstRowFirstColumn="0" w:firstRowLastColumn="0" w:lastRowFirstColumn="0" w:lastRowLastColumn="0"/>
        </w:trPr>
        <w:tc>
          <w:tcPr>
            <w:tcW w:w="0" w:type="auto"/>
          </w:tcPr>
          <w:p w14:paraId="3EDEB8B6" w14:textId="77777777" w:rsidR="00774995" w:rsidRPr="000D4248" w:rsidRDefault="00774995" w:rsidP="00DD3EE3">
            <w:pPr>
              <w:pStyle w:val="Tabletext"/>
              <w:keepNext/>
            </w:pPr>
            <w:r w:rsidRPr="000D4248">
              <w:t>Picardie</w:t>
            </w:r>
          </w:p>
        </w:tc>
        <w:tc>
          <w:tcPr>
            <w:tcW w:w="0" w:type="auto"/>
          </w:tcPr>
          <w:p w14:paraId="016100F4" w14:textId="5A018C8A" w:rsidR="00774995" w:rsidRPr="000D4248" w:rsidRDefault="00FF0CB5" w:rsidP="00DD3EE3">
            <w:pPr>
              <w:pStyle w:val="Tabletext"/>
              <w:keepNext/>
            </w:pPr>
            <w:r w:rsidRPr="000D4248">
              <w:t>148</w:t>
            </w:r>
            <w:r w:rsidR="00774995" w:rsidRPr="000D4248">
              <w:t>M€</w:t>
            </w:r>
          </w:p>
        </w:tc>
        <w:tc>
          <w:tcPr>
            <w:tcW w:w="0" w:type="auto"/>
          </w:tcPr>
          <w:p w14:paraId="016E3429" w14:textId="37E0F550" w:rsidR="00774995" w:rsidRPr="000D4248" w:rsidRDefault="00FF0CB5" w:rsidP="00DD3EE3">
            <w:pPr>
              <w:pStyle w:val="Tabletext"/>
              <w:keepNext/>
            </w:pPr>
            <w:r w:rsidRPr="000D4248">
              <w:t>70</w:t>
            </w:r>
            <w:r w:rsidR="00774995" w:rsidRPr="000D4248">
              <w:t>M€</w:t>
            </w:r>
          </w:p>
        </w:tc>
        <w:tc>
          <w:tcPr>
            <w:tcW w:w="0" w:type="auto"/>
          </w:tcPr>
          <w:p w14:paraId="7BD3C01D" w14:textId="449E4F0F" w:rsidR="00774995" w:rsidRPr="000D4248" w:rsidRDefault="007C646A" w:rsidP="00DD3EE3">
            <w:pPr>
              <w:pStyle w:val="Tabletext"/>
              <w:keepNext/>
            </w:pPr>
            <w:r w:rsidRPr="000D4248">
              <w:t>47</w:t>
            </w:r>
            <w:r w:rsidR="00774995" w:rsidRPr="000D4248">
              <w:t>%</w:t>
            </w:r>
          </w:p>
        </w:tc>
        <w:tc>
          <w:tcPr>
            <w:tcW w:w="0" w:type="auto"/>
          </w:tcPr>
          <w:p w14:paraId="057E1F38" w14:textId="51232287" w:rsidR="00774995" w:rsidRPr="00B52629" w:rsidRDefault="00FF0CB5" w:rsidP="00DD3EE3">
            <w:pPr>
              <w:pStyle w:val="Tabletext"/>
              <w:keepNext/>
            </w:pPr>
            <w:r w:rsidRPr="00B52629">
              <w:t>30</w:t>
            </w:r>
            <w:r w:rsidR="00774995" w:rsidRPr="00B52629">
              <w:t>M€</w:t>
            </w:r>
          </w:p>
        </w:tc>
        <w:tc>
          <w:tcPr>
            <w:tcW w:w="0" w:type="auto"/>
          </w:tcPr>
          <w:p w14:paraId="52806A41" w14:textId="54659940" w:rsidR="00774995" w:rsidRPr="00B52629" w:rsidRDefault="00FF0CB5" w:rsidP="00DD3EE3">
            <w:pPr>
              <w:pStyle w:val="Tabletext"/>
              <w:keepNext/>
            </w:pPr>
            <w:r w:rsidRPr="00B52629">
              <w:t>18</w:t>
            </w:r>
            <w:r w:rsidR="00774995" w:rsidRPr="00B52629">
              <w:t>M€</w:t>
            </w:r>
          </w:p>
        </w:tc>
        <w:tc>
          <w:tcPr>
            <w:tcW w:w="0" w:type="auto"/>
          </w:tcPr>
          <w:p w14:paraId="23792152" w14:textId="289C7FCB" w:rsidR="00774995" w:rsidRPr="00B52629" w:rsidRDefault="00E8036D" w:rsidP="00DD3EE3">
            <w:pPr>
              <w:pStyle w:val="Tabletext"/>
              <w:keepNext/>
            </w:pPr>
            <w:r w:rsidRPr="00B52629">
              <w:t>60</w:t>
            </w:r>
            <w:r w:rsidR="00774995" w:rsidRPr="00B52629">
              <w:t>%</w:t>
            </w:r>
          </w:p>
        </w:tc>
      </w:tr>
      <w:tr w:rsidR="00774995" w:rsidRPr="000D4248" w14:paraId="15A9008C" w14:textId="77777777" w:rsidTr="00774995">
        <w:trPr>
          <w:cnfStyle w:val="000000100000" w:firstRow="0" w:lastRow="0" w:firstColumn="0" w:lastColumn="0" w:oddVBand="0" w:evenVBand="0" w:oddHBand="1" w:evenHBand="0" w:firstRowFirstColumn="0" w:firstRowLastColumn="0" w:lastRowFirstColumn="0" w:lastRowLastColumn="0"/>
        </w:trPr>
        <w:tc>
          <w:tcPr>
            <w:tcW w:w="0" w:type="auto"/>
          </w:tcPr>
          <w:p w14:paraId="14219B79" w14:textId="77777777" w:rsidR="00774995" w:rsidRPr="000D4248" w:rsidRDefault="00774995" w:rsidP="00DD3EE3">
            <w:pPr>
              <w:pStyle w:val="Tabletext"/>
              <w:keepNext/>
            </w:pPr>
            <w:r w:rsidRPr="000D4248">
              <w:t xml:space="preserve">Total </w:t>
            </w:r>
            <w:proofErr w:type="spellStart"/>
            <w:r w:rsidRPr="000D4248">
              <w:t>HdF</w:t>
            </w:r>
            <w:proofErr w:type="spellEnd"/>
          </w:p>
        </w:tc>
        <w:tc>
          <w:tcPr>
            <w:tcW w:w="0" w:type="auto"/>
          </w:tcPr>
          <w:p w14:paraId="6856404E" w14:textId="4D357B52" w:rsidR="00774995" w:rsidRPr="000D4248" w:rsidRDefault="00DE10E7" w:rsidP="00DD3EE3">
            <w:pPr>
              <w:pStyle w:val="Tabletext"/>
              <w:keepNext/>
            </w:pPr>
            <w:r w:rsidRPr="000D4248">
              <w:t>23</w:t>
            </w:r>
            <w:r w:rsidR="00774995" w:rsidRPr="000D4248">
              <w:t>2M€</w:t>
            </w:r>
          </w:p>
        </w:tc>
        <w:tc>
          <w:tcPr>
            <w:tcW w:w="0" w:type="auto"/>
          </w:tcPr>
          <w:p w14:paraId="4FEDD7E3" w14:textId="6C905E4E" w:rsidR="00774995" w:rsidRPr="000D4248" w:rsidRDefault="00DE10E7" w:rsidP="00DD3EE3">
            <w:pPr>
              <w:pStyle w:val="Tabletext"/>
              <w:keepNext/>
            </w:pPr>
            <w:r w:rsidRPr="000D4248">
              <w:t>157,5</w:t>
            </w:r>
            <w:r w:rsidR="00774995" w:rsidRPr="000D4248">
              <w:t>M€</w:t>
            </w:r>
          </w:p>
        </w:tc>
        <w:tc>
          <w:tcPr>
            <w:tcW w:w="0" w:type="auto"/>
          </w:tcPr>
          <w:p w14:paraId="727FFA5A" w14:textId="4EE7D296" w:rsidR="00774995" w:rsidRPr="000D4248" w:rsidRDefault="00DE10E7" w:rsidP="00DD3EE3">
            <w:pPr>
              <w:pStyle w:val="Tabletext"/>
              <w:keepNext/>
            </w:pPr>
            <w:r w:rsidRPr="000D4248">
              <w:t>68</w:t>
            </w:r>
            <w:r w:rsidR="00774995" w:rsidRPr="000D4248">
              <w:t>%</w:t>
            </w:r>
          </w:p>
        </w:tc>
        <w:tc>
          <w:tcPr>
            <w:tcW w:w="0" w:type="auto"/>
          </w:tcPr>
          <w:p w14:paraId="32B43533" w14:textId="57276166" w:rsidR="00774995" w:rsidRPr="00B52629" w:rsidRDefault="00DE10E7" w:rsidP="00DD3EE3">
            <w:pPr>
              <w:pStyle w:val="Tabletext"/>
              <w:keepNext/>
            </w:pPr>
            <w:r w:rsidRPr="00B52629">
              <w:t>72</w:t>
            </w:r>
            <w:r w:rsidR="00774995" w:rsidRPr="00B52629">
              <w:t>M€</w:t>
            </w:r>
          </w:p>
        </w:tc>
        <w:tc>
          <w:tcPr>
            <w:tcW w:w="0" w:type="auto"/>
          </w:tcPr>
          <w:p w14:paraId="4669AB96" w14:textId="0BCD200E" w:rsidR="00774995" w:rsidRPr="00B52629" w:rsidRDefault="006807CA" w:rsidP="00DD3EE3">
            <w:pPr>
              <w:pStyle w:val="Tabletext"/>
              <w:keepNext/>
            </w:pPr>
            <w:r w:rsidRPr="00B52629">
              <w:t>42</w:t>
            </w:r>
            <w:r w:rsidR="00774995" w:rsidRPr="00B52629">
              <w:t>M€</w:t>
            </w:r>
          </w:p>
        </w:tc>
        <w:tc>
          <w:tcPr>
            <w:tcW w:w="0" w:type="auto"/>
          </w:tcPr>
          <w:p w14:paraId="5EE86CF6" w14:textId="2B9D19F8" w:rsidR="00774995" w:rsidRPr="00B52629" w:rsidRDefault="006807CA" w:rsidP="00DD3EE3">
            <w:pPr>
              <w:pStyle w:val="Tabletext"/>
              <w:keepNext/>
            </w:pPr>
            <w:r w:rsidRPr="00B52629">
              <w:t>58,5</w:t>
            </w:r>
            <w:r w:rsidR="00774995" w:rsidRPr="00B52629">
              <w:t>%</w:t>
            </w:r>
          </w:p>
        </w:tc>
      </w:tr>
    </w:tbl>
    <w:p w14:paraId="27371D05" w14:textId="77777777" w:rsidR="00B847E4" w:rsidRPr="000D4248" w:rsidRDefault="00B847E4" w:rsidP="00C40F54">
      <w:pPr>
        <w:pStyle w:val="BodyText"/>
      </w:pPr>
    </w:p>
    <w:p w14:paraId="7AFFF029" w14:textId="04FFB4A6" w:rsidR="00271C80" w:rsidRPr="000D4248" w:rsidRDefault="00271C80" w:rsidP="00271C80">
      <w:pPr>
        <w:pStyle w:val="BodyText"/>
      </w:pPr>
      <w:r w:rsidRPr="00B52629">
        <w:t xml:space="preserve">Par ailleurs, </w:t>
      </w:r>
      <w:r w:rsidR="001A1C09" w:rsidRPr="00B52629">
        <w:t>le choix de r</w:t>
      </w:r>
      <w:r w:rsidR="00C810F3">
        <w:t>épondre au besoin</w:t>
      </w:r>
      <w:r w:rsidR="001A1C09" w:rsidRPr="00B52629">
        <w:t xml:space="preserve"> en majorité </w:t>
      </w:r>
      <w:r w:rsidR="00C810F3">
        <w:t>par</w:t>
      </w:r>
      <w:r w:rsidRPr="00B52629">
        <w:t xml:space="preserve"> des subventions</w:t>
      </w:r>
      <w:r w:rsidR="001A1C09" w:rsidRPr="00B52629">
        <w:t xml:space="preserve"> à faible effet levier </w:t>
      </w:r>
      <w:r w:rsidRPr="00B52629">
        <w:rPr>
          <w:b/>
          <w:bCs/>
        </w:rPr>
        <w:t xml:space="preserve">limite structurellement </w:t>
      </w:r>
      <w:r w:rsidR="001A1C09" w:rsidRPr="00B52629">
        <w:rPr>
          <w:b/>
          <w:bCs/>
        </w:rPr>
        <w:t>l</w:t>
      </w:r>
      <w:r w:rsidRPr="00B52629">
        <w:rPr>
          <w:b/>
          <w:bCs/>
        </w:rPr>
        <w:t>es possibilités de massification</w:t>
      </w:r>
      <w:r w:rsidRPr="00B52629">
        <w:t xml:space="preserve"> des interventions.</w:t>
      </w:r>
      <w:r w:rsidRPr="000D4248">
        <w:t xml:space="preserve"> </w:t>
      </w:r>
    </w:p>
    <w:p w14:paraId="214ACCDF" w14:textId="63462876" w:rsidR="00C40F54" w:rsidRPr="000D4248" w:rsidRDefault="00D51FC1" w:rsidP="00C40F54">
      <w:pPr>
        <w:pStyle w:val="BodyText"/>
      </w:pPr>
      <w:r w:rsidRPr="00B52629">
        <w:t xml:space="preserve">On note </w:t>
      </w:r>
      <w:r w:rsidR="008A1B1E" w:rsidRPr="00B52629">
        <w:t>également</w:t>
      </w:r>
      <w:r w:rsidRPr="00B52629">
        <w:t xml:space="preserve"> </w:t>
      </w:r>
      <w:r w:rsidRPr="00B52629">
        <w:rPr>
          <w:b/>
        </w:rPr>
        <w:t>l’absence d’outils en fonds propres</w:t>
      </w:r>
      <w:r w:rsidR="006252C1" w:rsidRPr="00B52629">
        <w:t xml:space="preserve">, </w:t>
      </w:r>
      <w:r w:rsidR="00815E64" w:rsidRPr="00B52629">
        <w:t>bien qu’ils soient envisagés pour la structuration de la filière industrielle pour EnergieSprong.</w:t>
      </w:r>
      <w:r w:rsidR="00815E64" w:rsidRPr="000D4248">
        <w:t xml:space="preserve"> </w:t>
      </w:r>
    </w:p>
    <w:p w14:paraId="48F528BE" w14:textId="494C878C" w:rsidR="0064198B" w:rsidRPr="000D4248" w:rsidRDefault="0064198B" w:rsidP="0064198B">
      <w:pPr>
        <w:pStyle w:val="Caption"/>
        <w:ind w:left="0" w:firstLine="0"/>
      </w:pPr>
      <w:bookmarkStart w:id="70" w:name="_Toc88842098"/>
      <w:r w:rsidRPr="000D4248">
        <w:t xml:space="preserve">Tableau </w:t>
      </w:r>
      <w:r w:rsidRPr="000D4248">
        <w:fldChar w:fldCharType="begin"/>
      </w:r>
      <w:r w:rsidRPr="000D4248">
        <w:instrText xml:space="preserve"> SEQ Tableau \* ARABIC </w:instrText>
      </w:r>
      <w:r w:rsidRPr="000D4248">
        <w:fldChar w:fldCharType="separate"/>
      </w:r>
      <w:r w:rsidR="009F0282">
        <w:rPr>
          <w:noProof/>
        </w:rPr>
        <w:t>6</w:t>
      </w:r>
      <w:r w:rsidRPr="000D4248">
        <w:fldChar w:fldCharType="end"/>
      </w:r>
      <w:r w:rsidRPr="000D4248">
        <w:t xml:space="preserve"> AFOM offre de financement de l’efficacité énergétique</w:t>
      </w:r>
      <w:bookmarkEnd w:id="70"/>
    </w:p>
    <w:tbl>
      <w:tblPr>
        <w:tblStyle w:val="TechnopolisLight"/>
        <w:tblW w:w="0" w:type="auto"/>
        <w:tblLook w:val="0480" w:firstRow="0" w:lastRow="0" w:firstColumn="1" w:lastColumn="0" w:noHBand="0" w:noVBand="1"/>
      </w:tblPr>
      <w:tblGrid>
        <w:gridCol w:w="4531"/>
        <w:gridCol w:w="4531"/>
      </w:tblGrid>
      <w:tr w:rsidR="0064198B" w14:paraId="673958B9" w14:textId="77777777" w:rsidTr="00D70F6D">
        <w:tc>
          <w:tcPr>
            <w:tcW w:w="4531" w:type="dxa"/>
          </w:tcPr>
          <w:p w14:paraId="0028CB82" w14:textId="77777777" w:rsidR="0064198B" w:rsidRPr="000D4248" w:rsidRDefault="0064198B" w:rsidP="00D70F6D">
            <w:pPr>
              <w:pStyle w:val="Tabletext"/>
              <w:rPr>
                <w:b/>
              </w:rPr>
            </w:pPr>
            <w:r w:rsidRPr="000D4248">
              <w:rPr>
                <w:b/>
              </w:rPr>
              <w:t>Forces</w:t>
            </w:r>
          </w:p>
          <w:p w14:paraId="31983960" w14:textId="18CFCEA2" w:rsidR="00AA3CFD" w:rsidRPr="000D4248" w:rsidRDefault="00AA3CFD" w:rsidP="00AA3CFD">
            <w:pPr>
              <w:pStyle w:val="Tablebullet1"/>
            </w:pPr>
            <w:r w:rsidRPr="000D4248">
              <w:t>Nombreuses offres de financement pour le bâti tertiaire public, en subvention</w:t>
            </w:r>
            <w:r w:rsidR="000E71D4">
              <w:t>s</w:t>
            </w:r>
            <w:r w:rsidRPr="000D4248">
              <w:t xml:space="preserve"> et en prêt</w:t>
            </w:r>
            <w:r w:rsidR="000E71D4">
              <w:t>s</w:t>
            </w:r>
          </w:p>
          <w:p w14:paraId="2EB326A3" w14:textId="7BB92FDD" w:rsidR="00A67C8D" w:rsidRPr="000D4248" w:rsidRDefault="00A67C8D" w:rsidP="008C515C">
            <w:pPr>
              <w:pStyle w:val="Tablebullet1"/>
            </w:pPr>
            <w:r w:rsidRPr="000D4248">
              <w:t xml:space="preserve">Nombreuses offres de financement pour le bâti </w:t>
            </w:r>
            <w:r w:rsidR="003763C5" w:rsidRPr="000D4248">
              <w:t>résidentiel social</w:t>
            </w:r>
            <w:r w:rsidR="008C515C" w:rsidRPr="000D4248">
              <w:t>, en subvention</w:t>
            </w:r>
            <w:r w:rsidR="000E71D4">
              <w:t>s</w:t>
            </w:r>
            <w:r w:rsidR="008C515C" w:rsidRPr="000D4248">
              <w:t>, en prêt</w:t>
            </w:r>
            <w:r w:rsidR="000E71D4">
              <w:t>s</w:t>
            </w:r>
            <w:r w:rsidR="008C515C" w:rsidRPr="000D4248">
              <w:t xml:space="preserve"> et en financements innovants</w:t>
            </w:r>
          </w:p>
          <w:p w14:paraId="16A06CE5" w14:textId="0BAEBE41" w:rsidR="00AA3CFD" w:rsidRPr="000D4248" w:rsidRDefault="00AA3CFD" w:rsidP="00AA3CFD">
            <w:pPr>
              <w:pStyle w:val="Tablebullet1"/>
            </w:pPr>
            <w:r w:rsidRPr="000D4248">
              <w:t>Nombreuses offres de financement pour le bâti résidentiel privé, en subvention</w:t>
            </w:r>
            <w:r w:rsidR="000E71D4">
              <w:t>s</w:t>
            </w:r>
            <w:r w:rsidRPr="000D4248">
              <w:t xml:space="preserve"> et en prêt</w:t>
            </w:r>
            <w:r w:rsidR="000E71D4">
              <w:t>s</w:t>
            </w:r>
          </w:p>
          <w:p w14:paraId="29DE02A0" w14:textId="77777777" w:rsidR="00A67C8D" w:rsidRPr="000D4248" w:rsidRDefault="00A67C8D" w:rsidP="00A67C8D">
            <w:pPr>
              <w:pStyle w:val="Tablebullet1"/>
            </w:pPr>
            <w:r w:rsidRPr="000D4248">
              <w:t xml:space="preserve">L’État, moteur sur la filière, qui engage des moyens conséquents </w:t>
            </w:r>
          </w:p>
          <w:p w14:paraId="45176B92" w14:textId="77777777" w:rsidR="00A67C8D" w:rsidRPr="000D4248" w:rsidRDefault="00A67C8D" w:rsidP="00A67C8D">
            <w:pPr>
              <w:pStyle w:val="Tablebullet1"/>
            </w:pPr>
            <w:r w:rsidRPr="000D4248">
              <w:t>Des initiatives locales et régionales qui complètent l’offre nationale</w:t>
            </w:r>
          </w:p>
          <w:p w14:paraId="225A7F07" w14:textId="77777777" w:rsidR="0064198B" w:rsidRPr="000D4248" w:rsidRDefault="00A67C8D" w:rsidP="0064198B">
            <w:pPr>
              <w:pStyle w:val="Tablebullet1"/>
            </w:pPr>
            <w:r w:rsidRPr="000D4248">
              <w:t>Un réseau dense de conseillers dédié à l’accompagnement des ménages et des collectivités dans leurs projets de rénovation énergétique (conseillers en énergie partagée, des plateformes locales de rénovation de l'habitat)</w:t>
            </w:r>
          </w:p>
          <w:p w14:paraId="3813DC78" w14:textId="7819ABEA" w:rsidR="005C3E88" w:rsidRPr="000D4248" w:rsidRDefault="005C3E88" w:rsidP="0064198B">
            <w:pPr>
              <w:pStyle w:val="Tablebullet1"/>
            </w:pPr>
            <w:r w:rsidRPr="000D4248">
              <w:t>La régie publique, qui propose une offre en tiers-financement</w:t>
            </w:r>
          </w:p>
        </w:tc>
        <w:tc>
          <w:tcPr>
            <w:tcW w:w="4531" w:type="dxa"/>
          </w:tcPr>
          <w:p w14:paraId="6CFDC1CE" w14:textId="77777777" w:rsidR="0064198B" w:rsidRPr="000D4248" w:rsidRDefault="0064198B" w:rsidP="00D70F6D">
            <w:pPr>
              <w:pStyle w:val="Tabletext"/>
              <w:rPr>
                <w:b/>
              </w:rPr>
            </w:pPr>
            <w:r w:rsidRPr="000D4248">
              <w:rPr>
                <w:b/>
              </w:rPr>
              <w:t>Faiblesses</w:t>
            </w:r>
          </w:p>
          <w:p w14:paraId="78FD3AE3" w14:textId="3F471336" w:rsidR="00F31E37" w:rsidRPr="00B52629" w:rsidRDefault="00F31E37" w:rsidP="00F31E37">
            <w:pPr>
              <w:pStyle w:val="Tablebullet1"/>
            </w:pPr>
            <w:r w:rsidRPr="00B52629">
              <w:t>Offre de financement pour le bâti résidentiel</w:t>
            </w:r>
            <w:r w:rsidR="004D6DD1" w:rsidRPr="00B52629">
              <w:t xml:space="preserve"> social et</w:t>
            </w:r>
            <w:r w:rsidRPr="00B52629">
              <w:t xml:space="preserve"> privé dense mais peu lisible</w:t>
            </w:r>
            <w:r w:rsidR="00C810F3">
              <w:t xml:space="preserve"> et fortement évolutive dans le temps</w:t>
            </w:r>
          </w:p>
          <w:p w14:paraId="43D7C4A1" w14:textId="77777777" w:rsidR="0064198B" w:rsidRPr="000D4248" w:rsidRDefault="00F31E37" w:rsidP="00783AE4">
            <w:pPr>
              <w:pStyle w:val="Tablebullet1"/>
            </w:pPr>
            <w:r w:rsidRPr="000D4248">
              <w:t>Conditions d’accès aux financements et délais de paiements parfois rédhibitoires</w:t>
            </w:r>
          </w:p>
          <w:p w14:paraId="17EC494D" w14:textId="77777777" w:rsidR="0064198B" w:rsidRPr="00B52629" w:rsidRDefault="008175A9" w:rsidP="0064198B">
            <w:pPr>
              <w:pStyle w:val="Tablebullet1"/>
            </w:pPr>
            <w:r w:rsidRPr="00B52629">
              <w:t>Une inégalité de financements disponibles d’un Département à un autre</w:t>
            </w:r>
          </w:p>
          <w:p w14:paraId="5E00FEBC" w14:textId="599EC14D" w:rsidR="0064198B" w:rsidRPr="000D4248" w:rsidRDefault="008A1B1E" w:rsidP="0064198B">
            <w:pPr>
              <w:pStyle w:val="Tablebullet1"/>
            </w:pPr>
            <w:r w:rsidRPr="00B52629">
              <w:t>Sous-consommation des crédits FEDER et des aides à la rénovation énergétique</w:t>
            </w:r>
          </w:p>
        </w:tc>
      </w:tr>
      <w:tr w:rsidR="0064198B" w14:paraId="0615019E" w14:textId="77777777" w:rsidTr="00D70F6D">
        <w:tc>
          <w:tcPr>
            <w:tcW w:w="4531" w:type="dxa"/>
          </w:tcPr>
          <w:p w14:paraId="1E0D96AA" w14:textId="77777777" w:rsidR="0064198B" w:rsidRPr="00A84B29" w:rsidRDefault="0064198B" w:rsidP="00D70F6D">
            <w:pPr>
              <w:pStyle w:val="Tabletext"/>
              <w:rPr>
                <w:b/>
              </w:rPr>
            </w:pPr>
            <w:r w:rsidRPr="00A84B29">
              <w:rPr>
                <w:b/>
              </w:rPr>
              <w:t>Opportunités</w:t>
            </w:r>
          </w:p>
          <w:p w14:paraId="50B6FF1A" w14:textId="77777777" w:rsidR="007E461B" w:rsidRPr="00A84B29" w:rsidRDefault="007E461B" w:rsidP="007E461B">
            <w:pPr>
              <w:pStyle w:val="Tablebullet1"/>
            </w:pPr>
            <w:r w:rsidRPr="00A84B29">
              <w:t>De nouveaux montages sans solliciter les finances publiques par l’utilisation de CEE</w:t>
            </w:r>
          </w:p>
          <w:p w14:paraId="17657492" w14:textId="77777777" w:rsidR="007E461B" w:rsidRPr="00A84B29" w:rsidRDefault="007E461B" w:rsidP="007E461B">
            <w:pPr>
              <w:pStyle w:val="Tablebullet1"/>
            </w:pPr>
            <w:r w:rsidRPr="00A84B29">
              <w:t>Mise en place de la loi portant Évolution du logement, de l’aménagement et du numérique (ÉLAN)</w:t>
            </w:r>
          </w:p>
          <w:p w14:paraId="2A35BCA3" w14:textId="77777777" w:rsidR="007E461B" w:rsidRPr="00A84B29" w:rsidRDefault="007E461B" w:rsidP="007E461B">
            <w:pPr>
              <w:pStyle w:val="Tablebullet1"/>
            </w:pPr>
            <w:r w:rsidRPr="00A84B29">
              <w:t xml:space="preserve">Plan de relance « France relance » qui augmente le budget de </w:t>
            </w:r>
            <w:proofErr w:type="spellStart"/>
            <w:r w:rsidRPr="00A84B29">
              <w:t>MaPrimeRénov</w:t>
            </w:r>
            <w:proofErr w:type="spellEnd"/>
            <w:r w:rsidRPr="00A84B29">
              <w:t>’ et qui dédie 4 milliards d’euros à la rénovation énergétique du bâti public, dont 300 millions délégués aux Régions</w:t>
            </w:r>
          </w:p>
          <w:p w14:paraId="117B5F02" w14:textId="77777777" w:rsidR="0064198B" w:rsidRDefault="007E461B" w:rsidP="0064198B">
            <w:pPr>
              <w:pStyle w:val="Tablebullet1"/>
            </w:pPr>
            <w:r w:rsidRPr="00A84B29">
              <w:t>Dynamique de sensibilisation et de formation des acteurs économiques du bâtiment (artisans, bureaux d’études, entreprises du BTP) à la rénovation énergétique</w:t>
            </w:r>
          </w:p>
          <w:p w14:paraId="0A59A8FD" w14:textId="2629A18A" w:rsidR="0064198B" w:rsidRPr="00156592" w:rsidRDefault="00C810F3" w:rsidP="0064198B">
            <w:pPr>
              <w:pStyle w:val="Tablebullet1"/>
            </w:pPr>
            <w:r>
              <w:t>Un prix de l’énergie en potentielle hausse durable qui pourra inciter à la mise en œuvre de projets de rénovation</w:t>
            </w:r>
          </w:p>
        </w:tc>
        <w:tc>
          <w:tcPr>
            <w:tcW w:w="4531" w:type="dxa"/>
          </w:tcPr>
          <w:p w14:paraId="2CB4B25A" w14:textId="77777777" w:rsidR="0064198B" w:rsidRPr="000D4248" w:rsidRDefault="0064198B" w:rsidP="00D70F6D">
            <w:pPr>
              <w:pStyle w:val="Tabletext"/>
              <w:rPr>
                <w:b/>
              </w:rPr>
            </w:pPr>
            <w:r w:rsidRPr="000D4248">
              <w:rPr>
                <w:b/>
              </w:rPr>
              <w:t xml:space="preserve">Menaces </w:t>
            </w:r>
          </w:p>
          <w:p w14:paraId="484A726F" w14:textId="7DA6F4F9" w:rsidR="00E2504E" w:rsidRPr="000D4248" w:rsidRDefault="00E2504E" w:rsidP="00E2504E">
            <w:pPr>
              <w:pStyle w:val="Tablebullet1"/>
            </w:pPr>
            <w:r w:rsidRPr="000D4248">
              <w:t xml:space="preserve">Le prix </w:t>
            </w:r>
            <w:r w:rsidR="00815E64" w:rsidRPr="000D4248">
              <w:t>de l’énergie</w:t>
            </w:r>
            <w:r w:rsidRPr="000D4248">
              <w:t xml:space="preserve"> trop bas qui incite peu les propriétaires à investir dans la rénovation </w:t>
            </w:r>
          </w:p>
          <w:p w14:paraId="1EA5EA36" w14:textId="77777777" w:rsidR="00E2504E" w:rsidRPr="000D4248" w:rsidRDefault="00E2504E" w:rsidP="00E2504E">
            <w:pPr>
              <w:pStyle w:val="Tablebullet1"/>
            </w:pPr>
            <w:r w:rsidRPr="000D4248">
              <w:t>La baisse des dotations des collectivités, ce qui amène à réévaluer les projets prioritaires</w:t>
            </w:r>
          </w:p>
          <w:p w14:paraId="5E16EC43" w14:textId="026D008F" w:rsidR="00E2504E" w:rsidRPr="00B52629" w:rsidRDefault="00E2504E" w:rsidP="00E2504E">
            <w:pPr>
              <w:pStyle w:val="Tablebullet1"/>
            </w:pPr>
            <w:r w:rsidRPr="00B52629">
              <w:t xml:space="preserve">Des aides pour le logement privé trop concentrées sur les foyers modestes en laissant de côté les </w:t>
            </w:r>
            <w:r w:rsidR="00483E15" w:rsidRPr="00B52629">
              <w:t>foyers</w:t>
            </w:r>
            <w:r w:rsidRPr="00B52629">
              <w:t xml:space="preserve"> supérieurs qui ne sont pas encouragés à la mise en œuvre de travaux</w:t>
            </w:r>
          </w:p>
          <w:p w14:paraId="2B2AE244" w14:textId="3072AD98" w:rsidR="0064198B" w:rsidRPr="00B52629" w:rsidRDefault="00E2504E" w:rsidP="0064198B">
            <w:pPr>
              <w:pStyle w:val="Tablebullet1"/>
            </w:pPr>
            <w:r w:rsidRPr="00B52629">
              <w:t>Les délais de prise de décision rallongés au sein des copropriétés, qui ralentissent l’instruction des projets de rénovation énergétique</w:t>
            </w:r>
          </w:p>
          <w:p w14:paraId="27370DB1" w14:textId="74F3FFE1" w:rsidR="0064198B" w:rsidRPr="000D4248" w:rsidRDefault="005C3E88" w:rsidP="005C3E88">
            <w:pPr>
              <w:pStyle w:val="Tablebullet1"/>
            </w:pPr>
            <w:r w:rsidRPr="00B52629">
              <w:t>Le service d’AMO du SPEE qui est aujourd’hui déficitaire</w:t>
            </w:r>
          </w:p>
        </w:tc>
      </w:tr>
    </w:tbl>
    <w:p w14:paraId="140BBC97" w14:textId="28D6CCF7" w:rsidR="0064198B" w:rsidRPr="0064198B" w:rsidRDefault="00831C3C" w:rsidP="0064198B">
      <w:pPr>
        <w:pStyle w:val="Heading2"/>
      </w:pPr>
      <w:r>
        <w:br w:type="page"/>
      </w:r>
      <w:bookmarkStart w:id="71" w:name="_Toc93390275"/>
      <w:r w:rsidR="0064198B">
        <w:t>Financement du recyclage foncier (friches)</w:t>
      </w:r>
      <w:bookmarkEnd w:id="71"/>
    </w:p>
    <w:tbl>
      <w:tblPr>
        <w:tblStyle w:val="TableGrid"/>
        <w:tblW w:w="0" w:type="auto"/>
        <w:tblBorders>
          <w:top w:val="single" w:sz="4" w:space="0" w:color="C73C3A" w:themeColor="accent1"/>
          <w:left w:val="single" w:sz="4" w:space="0" w:color="C73C3A" w:themeColor="accent1"/>
          <w:bottom w:val="single" w:sz="4" w:space="0" w:color="C73C3A" w:themeColor="accent1"/>
          <w:right w:val="single" w:sz="4" w:space="0" w:color="C73C3A" w:themeColor="accent1"/>
          <w:insideH w:val="single" w:sz="4" w:space="0" w:color="C73C3A" w:themeColor="accent1"/>
          <w:insideV w:val="single" w:sz="4" w:space="0" w:color="C73C3A" w:themeColor="accent1"/>
        </w:tblBorders>
        <w:tblLook w:val="04A0" w:firstRow="1" w:lastRow="0" w:firstColumn="1" w:lastColumn="0" w:noHBand="0" w:noVBand="1"/>
      </w:tblPr>
      <w:tblGrid>
        <w:gridCol w:w="9062"/>
      </w:tblGrid>
      <w:tr w:rsidR="001C130F" w14:paraId="511F3042" w14:textId="77777777" w:rsidTr="00307F5D">
        <w:trPr>
          <w:trHeight w:val="1035"/>
        </w:trPr>
        <w:tc>
          <w:tcPr>
            <w:tcW w:w="9062"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60423D68" w14:textId="77777777" w:rsidR="001C130F" w:rsidRPr="00007625" w:rsidRDefault="001C130F" w:rsidP="00307F5D">
            <w:pPr>
              <w:pStyle w:val="Tabletext"/>
              <w:rPr>
                <w:b/>
              </w:rPr>
            </w:pPr>
            <w:r w:rsidRPr="009942E8">
              <w:rPr>
                <w:b/>
              </w:rPr>
              <w:t>Points clefs à retenir</w:t>
            </w:r>
          </w:p>
          <w:p w14:paraId="683AB637" w14:textId="77777777" w:rsidR="001C130F" w:rsidRPr="00E01F2F" w:rsidRDefault="001C130F" w:rsidP="00307F5D">
            <w:pPr>
              <w:pStyle w:val="Tablebullet1"/>
              <w:tabs>
                <w:tab w:val="clear" w:pos="227"/>
              </w:tabs>
              <w:ind w:left="720" w:hanging="360"/>
            </w:pPr>
            <w:r>
              <w:t xml:space="preserve">Le gouvernement apparaît se mobiliser sur le sujet de la réhabilitation des friches à travers le </w:t>
            </w:r>
            <w:r w:rsidRPr="007E53FD">
              <w:rPr>
                <w:b/>
              </w:rPr>
              <w:t>Fonds Friches</w:t>
            </w:r>
            <w:r>
              <w:t xml:space="preserve"> du Plan de Relance dont le montant a été doublé en mai 2021 passant d’une enveloppe de 300 M€ à une enveloppe </w:t>
            </w:r>
            <w:r w:rsidRPr="00BA0E10">
              <w:rPr>
                <w:b/>
              </w:rPr>
              <w:t>de 650 M€.</w:t>
            </w:r>
            <w:r>
              <w:t xml:space="preserve"> Certains projets de réhabilitation de friches peuvent également bénéficier de financement </w:t>
            </w:r>
            <w:r w:rsidRPr="00E01F2F">
              <w:t>d’autres programmes nationaux portés par la Caisse des Dépôts (Petites Villes de Demain Action Cœur de Ville).</w:t>
            </w:r>
          </w:p>
          <w:p w14:paraId="2F6D4A5A" w14:textId="77777777" w:rsidR="001C130F" w:rsidRPr="00E01F2F" w:rsidRDefault="001C130F" w:rsidP="00307F5D">
            <w:pPr>
              <w:pStyle w:val="Tablebullet1"/>
              <w:tabs>
                <w:tab w:val="clear" w:pos="227"/>
              </w:tabs>
              <w:ind w:left="720" w:hanging="360"/>
            </w:pPr>
            <w:r w:rsidRPr="00E01F2F">
              <w:t xml:space="preserve">Les </w:t>
            </w:r>
            <w:r w:rsidRPr="00E01F2F">
              <w:rPr>
                <w:b/>
              </w:rPr>
              <w:t>Établissements Publics Foncier</w:t>
            </w:r>
            <w:r w:rsidRPr="00E01F2F">
              <w:t xml:space="preserve"> jouent un rôle clé sur le territoire en tant que premier acteur de la chaine de recyclage du foncier. Il existe cependant des </w:t>
            </w:r>
            <w:r w:rsidRPr="00E01F2F">
              <w:rPr>
                <w:b/>
              </w:rPr>
              <w:t>disparités géographiques</w:t>
            </w:r>
            <w:r w:rsidRPr="00E01F2F">
              <w:t xml:space="preserve"> du fait de la localisation des deux établissements publics fonciers du territoire : l’EPF de l’Oise et l’EPF Nord-Pas-de-Calais puisqu’une partie de l’Aisne et la Somme n’ont pas d’EPF sur leur territoire. La Somme devrait cependant intégrer prochainement l’EPFR. </w:t>
            </w:r>
          </w:p>
          <w:p w14:paraId="0ECA2787" w14:textId="77777777" w:rsidR="001C130F" w:rsidRPr="00C935D6" w:rsidRDefault="001C130F" w:rsidP="00307F5D">
            <w:pPr>
              <w:pStyle w:val="Tablebullet1"/>
              <w:tabs>
                <w:tab w:val="clear" w:pos="227"/>
              </w:tabs>
              <w:ind w:left="720" w:hanging="360"/>
              <w:rPr>
                <w:b/>
              </w:rPr>
            </w:pPr>
            <w:r w:rsidRPr="00C935D6">
              <w:t xml:space="preserve">L’offre de prêt à destination des acteurs publics est portée par la </w:t>
            </w:r>
            <w:r w:rsidRPr="00C935D6">
              <w:rPr>
                <w:b/>
              </w:rPr>
              <w:t>Banque des Territoires avec une offre de prêt Gaia Territorial de court et long terme.</w:t>
            </w:r>
          </w:p>
          <w:p w14:paraId="7C5B2ECC" w14:textId="77777777" w:rsidR="001C130F" w:rsidRPr="0059485A" w:rsidRDefault="001C130F" w:rsidP="00307F5D">
            <w:pPr>
              <w:pStyle w:val="Tablebullet1"/>
              <w:tabs>
                <w:tab w:val="clear" w:pos="227"/>
              </w:tabs>
              <w:ind w:left="720" w:hanging="360"/>
            </w:pPr>
            <w:r w:rsidRPr="00E01F2F">
              <w:t xml:space="preserve">Concernant l’apport de fonds propres, il existe des </w:t>
            </w:r>
            <w:r w:rsidRPr="00C935D6">
              <w:rPr>
                <w:b/>
              </w:rPr>
              <w:t>structures dédiées</w:t>
            </w:r>
            <w:r w:rsidRPr="00C935D6">
              <w:t xml:space="preserve"> comme la Plateforme Aménagement Urbain porté par la Caisse des Dépôts ou encore des </w:t>
            </w:r>
            <w:r w:rsidRPr="00C935D6">
              <w:rPr>
                <w:color w:val="000000" w:themeColor="text1"/>
              </w:rPr>
              <w:t xml:space="preserve">fonds d’investissements privés comme </w:t>
            </w:r>
            <w:proofErr w:type="spellStart"/>
            <w:r w:rsidRPr="00C935D6">
              <w:rPr>
                <w:color w:val="000000" w:themeColor="text1"/>
              </w:rPr>
              <w:t>Brownfield</w:t>
            </w:r>
            <w:proofErr w:type="spellEnd"/>
            <w:r w:rsidRPr="00C935D6">
              <w:rPr>
                <w:color w:val="000000" w:themeColor="text1"/>
              </w:rPr>
              <w:t>. Ce fonds privé se positionne cependant majoritairement sur des opérations rentables donc en zone urbaine tendue.</w:t>
            </w:r>
          </w:p>
        </w:tc>
      </w:tr>
    </w:tbl>
    <w:p w14:paraId="348B4066" w14:textId="77777777" w:rsidR="001C130F" w:rsidRDefault="001C130F" w:rsidP="001C130F">
      <w:pPr>
        <w:pStyle w:val="BodyText"/>
      </w:pPr>
    </w:p>
    <w:p w14:paraId="5D325C86" w14:textId="77777777" w:rsidR="001C130F" w:rsidRDefault="001C130F" w:rsidP="001C130F">
      <w:pPr>
        <w:pStyle w:val="BodyText"/>
      </w:pPr>
      <w:r>
        <w:t>Il n’existe pas de définition harmonisée d’une friche. Le dernier rapport d’information parlementaire à ce sujet proposait la définition suivante « b</w:t>
      </w:r>
      <w:r w:rsidRPr="00205F1E">
        <w:t>ien ou droit immobilier, bâ</w:t>
      </w:r>
      <w:r w:rsidRPr="00205F1E">
        <w:rPr>
          <w:rFonts w:ascii="Arial" w:hAnsi="Arial" w:cs="Arial"/>
        </w:rPr>
        <w:t>t</w:t>
      </w:r>
      <w:r w:rsidRPr="00205F1E">
        <w:t>i ou non bâ</w:t>
      </w:r>
      <w:r w:rsidRPr="00205F1E">
        <w:rPr>
          <w:rFonts w:ascii="Arial" w:hAnsi="Arial" w:cs="Arial"/>
        </w:rPr>
        <w:t>t</w:t>
      </w:r>
      <w:r w:rsidRPr="00205F1E">
        <w:t>i, inutilisé depuis plus de deux ans, dont l’état, la configuration ou l’occupation totale ou partielle ne permet pas un réemploi sans une intervention préalable</w:t>
      </w:r>
      <w:r>
        <w:rPr>
          <w:rStyle w:val="FootnoteReference"/>
        </w:rPr>
        <w:footnoteReference w:id="42"/>
      </w:r>
      <w:r>
        <w:t>».</w:t>
      </w:r>
    </w:p>
    <w:p w14:paraId="701467DA" w14:textId="77777777" w:rsidR="001C130F" w:rsidRDefault="001C130F" w:rsidP="001C130F">
      <w:pPr>
        <w:pStyle w:val="BodyText"/>
      </w:pPr>
      <w:r>
        <w:t>Cette définition globale englobe les différentes typologies de friches que sont :</w:t>
      </w:r>
    </w:p>
    <w:p w14:paraId="59E11AF8" w14:textId="77777777" w:rsidR="001C130F" w:rsidRDefault="001C130F" w:rsidP="003114FD">
      <w:pPr>
        <w:pStyle w:val="Bullet1"/>
      </w:pPr>
      <w:r>
        <w:t xml:space="preserve">les friches industrielles, </w:t>
      </w:r>
    </w:p>
    <w:p w14:paraId="2BD470D7" w14:textId="77777777" w:rsidR="001C130F" w:rsidRDefault="001C130F" w:rsidP="003114FD">
      <w:pPr>
        <w:pStyle w:val="Bullet1"/>
      </w:pPr>
      <w:r>
        <w:t xml:space="preserve">les friches commerciales, </w:t>
      </w:r>
    </w:p>
    <w:p w14:paraId="0FF9AC4B" w14:textId="77777777" w:rsidR="001C130F" w:rsidRDefault="001C130F" w:rsidP="003114FD">
      <w:pPr>
        <w:pStyle w:val="Bullet1"/>
      </w:pPr>
      <w:r>
        <w:t>les friches administratives.</w:t>
      </w:r>
    </w:p>
    <w:p w14:paraId="785377F5" w14:textId="77777777" w:rsidR="001C130F" w:rsidRDefault="001C130F" w:rsidP="001C130F">
      <w:pPr>
        <w:pStyle w:val="BodyText"/>
      </w:pPr>
      <w:r>
        <w:t>Les opérations de réhabilitation impliquent des acteurs variés (établissements publics fonciers, régions, ADEME, Banque des Territoires, collectivités …). Les différentes étapes d’un projet de revitalisation sont résumés dans le schéma ci-dessous.</w:t>
      </w:r>
    </w:p>
    <w:p w14:paraId="352DF37B" w14:textId="0781A859" w:rsidR="001C130F" w:rsidRDefault="001C130F" w:rsidP="001C130F">
      <w:pPr>
        <w:pStyle w:val="Caption"/>
      </w:pPr>
      <w:bookmarkStart w:id="72" w:name="_Toc88842116"/>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rsidR="00A77540">
        <w:rPr>
          <w:noProof/>
        </w:rPr>
        <w:t>2</w:t>
      </w:r>
      <w:r>
        <w:rPr>
          <w:color w:val="2B579A"/>
          <w:shd w:val="clear" w:color="auto" w:fill="E6E6E6"/>
        </w:rPr>
        <w:fldChar w:fldCharType="end"/>
      </w:r>
      <w:r>
        <w:t xml:space="preserve"> Étapes d’un projet de revitalisation de friches</w:t>
      </w:r>
      <w:bookmarkEnd w:id="72"/>
    </w:p>
    <w:p w14:paraId="3EE28ABA" w14:textId="77777777" w:rsidR="001C130F" w:rsidRDefault="001C130F" w:rsidP="001C130F">
      <w:pPr>
        <w:pStyle w:val="BodyText"/>
      </w:pPr>
      <w:r>
        <w:rPr>
          <w:noProof/>
          <w:color w:val="2B579A"/>
          <w:shd w:val="clear" w:color="auto" w:fill="E6E6E6"/>
        </w:rPr>
        <w:drawing>
          <wp:inline distT="0" distB="0" distL="0" distR="0" wp14:anchorId="59A22782" wp14:editId="3CD29E90">
            <wp:extent cx="5760720" cy="4871258"/>
            <wp:effectExtent l="0" t="0" r="508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22"/>
                    <a:srcRect b="4800"/>
                    <a:stretch/>
                  </pic:blipFill>
                  <pic:spPr bwMode="auto">
                    <a:xfrm>
                      <a:off x="0" y="0"/>
                      <a:ext cx="5760720" cy="4871258"/>
                    </a:xfrm>
                    <a:prstGeom prst="rect">
                      <a:avLst/>
                    </a:prstGeom>
                    <a:ln>
                      <a:noFill/>
                    </a:ln>
                    <a:extLst>
                      <a:ext uri="{53640926-AAD7-44D8-BBD7-CCE9431645EC}">
                        <a14:shadowObscured xmlns:a14="http://schemas.microsoft.com/office/drawing/2010/main"/>
                      </a:ext>
                    </a:extLst>
                  </pic:spPr>
                </pic:pic>
              </a:graphicData>
            </a:graphic>
          </wp:inline>
        </w:drawing>
      </w:r>
    </w:p>
    <w:p w14:paraId="13F0E1A2" w14:textId="77777777" w:rsidR="001C130F" w:rsidRDefault="001C130F" w:rsidP="001C130F">
      <w:pPr>
        <w:pStyle w:val="Source"/>
      </w:pPr>
      <w:r>
        <w:t>Source : Rapport d’information n°3811 sur la revalorisation des friches industrielles, commerciales et administratives. Janvier 2021</w:t>
      </w:r>
    </w:p>
    <w:p w14:paraId="1B0CB216" w14:textId="77777777" w:rsidR="001C130F" w:rsidRDefault="001C130F" w:rsidP="001C130F">
      <w:pPr>
        <w:pStyle w:val="BodyText"/>
      </w:pPr>
      <w:r>
        <w:t xml:space="preserve">Ces étapes varient en fonction des typologies des friches. En effet, pour les friches commerciales ou administratives, les opérations sont généralement plus simples car les sites sont peu ou pas pollués. </w:t>
      </w:r>
    </w:p>
    <w:p w14:paraId="5118AC3D" w14:textId="77777777" w:rsidR="001C130F" w:rsidRDefault="001C130F" w:rsidP="001C130F">
      <w:pPr>
        <w:pStyle w:val="BodyText"/>
      </w:pPr>
      <w:r>
        <w:t>Chaque étape mobilise des acteurs et des financements différents. L’analyse de l’offre financière à chaque étape a pour objectif de distinguer les situations sous-optimales de financement et d’identifier les besoins qui pourraient justifier la mise en place d’un instrument financier.</w:t>
      </w:r>
    </w:p>
    <w:p w14:paraId="3A948D7B" w14:textId="77777777" w:rsidR="001C130F" w:rsidRDefault="001C130F" w:rsidP="001C130F">
      <w:pPr>
        <w:pStyle w:val="BodyText"/>
      </w:pPr>
    </w:p>
    <w:p w14:paraId="7004820B" w14:textId="77777777" w:rsidR="001C130F" w:rsidRDefault="001C130F" w:rsidP="001C130F">
      <w:pPr>
        <w:pStyle w:val="BodyText"/>
      </w:pPr>
      <w:r>
        <w:t xml:space="preserve">La rentabilité d’un projet de réhabilitation de friches dépend de plusieurs facteurs qui peuvent être regroupés en trois catégories : </w:t>
      </w:r>
    </w:p>
    <w:p w14:paraId="77FDE271" w14:textId="17C4E25E" w:rsidR="001C130F" w:rsidRDefault="001C130F" w:rsidP="001C130F">
      <w:pPr>
        <w:pStyle w:val="Bullet1"/>
      </w:pPr>
      <w:r w:rsidRPr="005962D0">
        <w:rPr>
          <w:b/>
          <w:bCs/>
        </w:rPr>
        <w:t>Les cou</w:t>
      </w:r>
      <w:r w:rsidRPr="005962D0">
        <w:rPr>
          <w:rFonts w:ascii="Arial" w:hAnsi="Arial" w:cs="Arial"/>
          <w:b/>
          <w:bCs/>
        </w:rPr>
        <w:t>t</w:t>
      </w:r>
      <w:r w:rsidRPr="005962D0">
        <w:rPr>
          <w:b/>
          <w:bCs/>
        </w:rPr>
        <w:t>s de la réhabilitation</w:t>
      </w:r>
      <w:r w:rsidR="005962D0" w:rsidRPr="005962D0">
        <w:rPr>
          <w:b/>
          <w:bCs/>
        </w:rPr>
        <w:t>,</w:t>
      </w:r>
      <w:r>
        <w:t xml:space="preserve"> l’achat du foncier, la démolition des bâ</w:t>
      </w:r>
      <w:r>
        <w:rPr>
          <w:rFonts w:ascii="Arial" w:hAnsi="Arial" w:cs="Arial"/>
        </w:rPr>
        <w:t>t</w:t>
      </w:r>
      <w:r>
        <w:t>iments antérieurs, la dépollution des sols, l’aménagement du foncier, la construction, le cas échéant, de nouveaux bâtiments et de nouvelles infrastructures, les raccordements ;</w:t>
      </w:r>
    </w:p>
    <w:p w14:paraId="61E51265" w14:textId="77777777" w:rsidR="001C130F" w:rsidRDefault="001C130F" w:rsidP="001C130F">
      <w:pPr>
        <w:pStyle w:val="Bullet1"/>
      </w:pPr>
      <w:r w:rsidRPr="005962D0">
        <w:rPr>
          <w:b/>
          <w:bCs/>
        </w:rPr>
        <w:t>Le niveau du marché immobilier local,</w:t>
      </w:r>
      <w:r>
        <w:t xml:space="preserve"> qui conditionne le prix de revente ou le niveau des loyers pratiqués dans les bâ</w:t>
      </w:r>
      <w:r>
        <w:rPr>
          <w:rFonts w:ascii="Arial" w:hAnsi="Arial" w:cs="Arial"/>
        </w:rPr>
        <w:t>t</w:t>
      </w:r>
      <w:r>
        <w:t>iments qui succèdent à la friche ;</w:t>
      </w:r>
    </w:p>
    <w:p w14:paraId="2BFF8495" w14:textId="77777777" w:rsidR="001C130F" w:rsidRDefault="001C130F" w:rsidP="001C130F">
      <w:pPr>
        <w:pStyle w:val="Bullet1"/>
      </w:pPr>
      <w:r w:rsidRPr="005962D0">
        <w:rPr>
          <w:b/>
          <w:bCs/>
        </w:rPr>
        <w:t>Le dynamisme de l’économie locale,</w:t>
      </w:r>
      <w:r>
        <w:t xml:space="preserve"> qui permet de juger de l’attractivité d’un projet, puisque c’est le besoin foncier d’entreprises naissantes ou nouvellement implantées, et le besoin immobilier qui nai</w:t>
      </w:r>
      <w:r>
        <w:rPr>
          <w:rFonts w:ascii="Arial" w:hAnsi="Arial" w:cs="Arial"/>
        </w:rPr>
        <w:t>t</w:t>
      </w:r>
      <w:r>
        <w:t xml:space="preserve"> du dynamisme de l’emploi, qui viabilisent l’investissement ou le crédit accordé à des projets de rénovation</w:t>
      </w:r>
      <w:r>
        <w:rPr>
          <w:rStyle w:val="FootnoteReference"/>
        </w:rPr>
        <w:footnoteReference w:id="43"/>
      </w:r>
      <w:r>
        <w:t>.</w:t>
      </w:r>
    </w:p>
    <w:p w14:paraId="048E2472" w14:textId="77777777" w:rsidR="001C130F" w:rsidRDefault="001C130F" w:rsidP="001C130F">
      <w:pPr>
        <w:pStyle w:val="Bullet1"/>
        <w:numPr>
          <w:ilvl w:val="0"/>
          <w:numId w:val="0"/>
        </w:numPr>
      </w:pPr>
    </w:p>
    <w:p w14:paraId="5C18D47F" w14:textId="77777777" w:rsidR="001C130F" w:rsidRDefault="001C130F" w:rsidP="001C130F">
      <w:pPr>
        <w:pStyle w:val="BodyText"/>
      </w:pPr>
      <w:r>
        <w:t>A l’échelle nationale, c</w:t>
      </w:r>
      <w:r w:rsidRPr="00D63848">
        <w:t xml:space="preserve">es trente dernières années, l’artificialisation des sols a conservé un rythme soutenu. Compte tenu de l’ampleur de ce phénomène et de ses effets environnementaux négatifs, le </w:t>
      </w:r>
      <w:r w:rsidRPr="006C104A">
        <w:rPr>
          <w:b/>
        </w:rPr>
        <w:t>Plan Biodiversité</w:t>
      </w:r>
      <w:r w:rsidRPr="00D63848">
        <w:t xml:space="preserve"> </w:t>
      </w:r>
      <w:r>
        <w:t>approuvé en 2018</w:t>
      </w:r>
      <w:r w:rsidRPr="00D63848">
        <w:t xml:space="preserve"> fixe un objectif de « zéro artificialisation nette ».</w:t>
      </w:r>
      <w:r>
        <w:t xml:space="preserve"> Cette priorité du gouvernement a été réaffirmée dans le cadre du plan </w:t>
      </w:r>
      <w:r w:rsidRPr="008B2B74">
        <w:rPr>
          <w:b/>
          <w:bCs/>
        </w:rPr>
        <w:t>France Relance</w:t>
      </w:r>
      <w:r>
        <w:t>. Un des leviers pour limiter l’artificialisation est le recyclage du foncier et notamment la réhabilitation de friches. La réhabilitation des friches constitue en effet un enjeu majeur d’aménagement durable des territoires afin de maîtriser l’étalement urbain, de limiter la consommation des espaces naturels, agricoles et forestiers et de protéger les sols contre leur artificialisation.</w:t>
      </w:r>
    </w:p>
    <w:p w14:paraId="3F9CF6FC" w14:textId="07273B59" w:rsidR="001C130F" w:rsidRDefault="001C130F" w:rsidP="001C130F">
      <w:pPr>
        <w:pStyle w:val="BodyText"/>
      </w:pPr>
      <w:r>
        <w:t xml:space="preserve">L’offre de financement à destination des projets de friches est </w:t>
      </w:r>
      <w:r w:rsidRPr="008B2B74">
        <w:rPr>
          <w:b/>
        </w:rPr>
        <w:t>plutôt fournie</w:t>
      </w:r>
      <w:r>
        <w:t xml:space="preserve"> à la fois en subvention</w:t>
      </w:r>
      <w:r w:rsidR="00A21F52">
        <w:t>s</w:t>
      </w:r>
      <w:r>
        <w:t>, en prêt</w:t>
      </w:r>
      <w:r w:rsidR="00A21F52">
        <w:t>s</w:t>
      </w:r>
      <w:r>
        <w:t xml:space="preserve"> et en apport</w:t>
      </w:r>
      <w:r w:rsidR="00A21F52">
        <w:t>s</w:t>
      </w:r>
      <w:r>
        <w:t xml:space="preserve"> de fonds propres. Le graphique ci-dessous permet de cartographier les dispositifs en fonction des différentes étapes de la réhabilitation d’une friche.</w:t>
      </w:r>
    </w:p>
    <w:p w14:paraId="03BBFC24" w14:textId="2374C21F" w:rsidR="001C130F" w:rsidRDefault="001C130F" w:rsidP="001C130F">
      <w:pPr>
        <w:pStyle w:val="Caption"/>
      </w:pPr>
      <w:bookmarkStart w:id="73" w:name="_Toc88842117"/>
      <w:r>
        <w:t xml:space="preserve">Figure </w:t>
      </w:r>
      <w:r>
        <w:fldChar w:fldCharType="begin"/>
      </w:r>
      <w:r>
        <w:instrText xml:space="preserve"> SEQ Figure \* ARABIC </w:instrText>
      </w:r>
      <w:r>
        <w:fldChar w:fldCharType="separate"/>
      </w:r>
      <w:r w:rsidR="00A77540">
        <w:rPr>
          <w:noProof/>
        </w:rPr>
        <w:t>3</w:t>
      </w:r>
      <w:r>
        <w:fldChar w:fldCharType="end"/>
      </w:r>
      <w:r>
        <w:t xml:space="preserve"> </w:t>
      </w:r>
      <w:r w:rsidRPr="008A20B5">
        <w:t>Recensement des outils financiers à destination de la réhabilitation des friches</w:t>
      </w:r>
      <w:bookmarkEnd w:id="73"/>
    </w:p>
    <w:p w14:paraId="5DC49558" w14:textId="77777777" w:rsidR="001C130F" w:rsidRDefault="001C130F" w:rsidP="001C130F">
      <w:pPr>
        <w:pStyle w:val="BodyText"/>
      </w:pPr>
      <w:r w:rsidRPr="00766F70">
        <w:rPr>
          <w:noProof/>
          <w:color w:val="2B579A"/>
          <w:shd w:val="clear" w:color="auto" w:fill="E6E6E6"/>
        </w:rPr>
        <w:drawing>
          <wp:inline distT="0" distB="0" distL="0" distR="0" wp14:anchorId="7719C935" wp14:editId="334900B9">
            <wp:extent cx="5760720" cy="4320540"/>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320540"/>
                    </a:xfrm>
                    <a:prstGeom prst="rect">
                      <a:avLst/>
                    </a:prstGeom>
                  </pic:spPr>
                </pic:pic>
              </a:graphicData>
            </a:graphic>
          </wp:inline>
        </w:drawing>
      </w:r>
    </w:p>
    <w:p w14:paraId="21ADCAD1" w14:textId="2AA98A2F" w:rsidR="004561C2" w:rsidRDefault="004561C2" w:rsidP="00813CEB">
      <w:pPr>
        <w:pStyle w:val="BodyText"/>
      </w:pPr>
    </w:p>
    <w:p w14:paraId="0D2595FB" w14:textId="726A9FF2" w:rsidR="00A228E4" w:rsidRPr="00A228E4" w:rsidRDefault="00964417" w:rsidP="00A228E4">
      <w:pPr>
        <w:pStyle w:val="Heading3"/>
      </w:pPr>
      <w:bookmarkStart w:id="74" w:name="_Toc93390276"/>
      <w:r>
        <w:t>L</w:t>
      </w:r>
      <w:r w:rsidR="0080674F">
        <w:t>’offre en subvention pour la réhabilitation de friches</w:t>
      </w:r>
      <w:bookmarkEnd w:id="74"/>
      <w:r w:rsidR="0080674F">
        <w:t xml:space="preserve"> </w:t>
      </w:r>
    </w:p>
    <w:p w14:paraId="6AE73CA4" w14:textId="27951C21" w:rsidR="008A2174" w:rsidRDefault="008A2174" w:rsidP="00CD6250">
      <w:pPr>
        <w:pStyle w:val="BodyText"/>
      </w:pPr>
      <w:r>
        <w:t>Le mécan</w:t>
      </w:r>
      <w:r w:rsidR="00FD2781">
        <w:t>isme</w:t>
      </w:r>
      <w:r>
        <w:t xml:space="preserve"> pour une transition juste (JTM) de la Commission Européenne</w:t>
      </w:r>
      <w:r w:rsidR="00FD2781">
        <w:t xml:space="preserve"> (</w:t>
      </w:r>
      <w:proofErr w:type="spellStart"/>
      <w:r w:rsidR="00FD2781">
        <w:t>cf</w:t>
      </w:r>
      <w:proofErr w:type="spellEnd"/>
      <w:r w:rsidR="00FD2781">
        <w:t xml:space="preserve"> Encadré 1) </w:t>
      </w:r>
      <w:r w:rsidR="00FD2781" w:rsidRPr="00E92F3F">
        <w:t>prévoit un axe d’intervention concernant la désindustrialisation avec le soutien aux investissements dans la réhabilitation et la décontamination de sites</w:t>
      </w:r>
      <w:r w:rsidR="00FD2781" w:rsidRPr="00E92F3F">
        <w:rPr>
          <w:rFonts w:ascii="Arial" w:hAnsi="Arial" w:cs="Arial"/>
        </w:rPr>
        <w:t> </w:t>
      </w:r>
      <w:r w:rsidR="00FD2781" w:rsidRPr="00E92F3F">
        <w:t>; projets d’assainissement et de réaffectation de terrains. Les projets de réhabilitation de friches du département du Nord devraient pouvoir bénéficier de subventions dans le cadre du FTJ</w:t>
      </w:r>
      <w:r w:rsidR="00FD2781">
        <w:t xml:space="preserve">, mais une incertitude demeure à ce jour quant à leur </w:t>
      </w:r>
      <w:proofErr w:type="spellStart"/>
      <w:r w:rsidR="00FD2781">
        <w:t>égilibilité</w:t>
      </w:r>
      <w:proofErr w:type="spellEnd"/>
      <w:r w:rsidR="00FD2781">
        <w:t>.</w:t>
      </w:r>
    </w:p>
    <w:p w14:paraId="7FDEC868" w14:textId="3120EAE1" w:rsidR="00204389" w:rsidRDefault="00204389" w:rsidP="00204389">
      <w:pPr>
        <w:pStyle w:val="BodyText"/>
      </w:pPr>
      <w:r w:rsidRPr="00E92F3F">
        <w:t xml:space="preserve">Dans le cadre du plan </w:t>
      </w:r>
      <w:r w:rsidRPr="00E92F3F">
        <w:rPr>
          <w:b/>
          <w:bCs/>
        </w:rPr>
        <w:t>France Relance</w:t>
      </w:r>
      <w:r w:rsidRPr="00E92F3F">
        <w:t>, le gouvernement a déployé un fonds spécifique pour financer des opérations de recyclage des friches et la transformation de foncier déjà artificialisé.</w:t>
      </w:r>
    </w:p>
    <w:p w14:paraId="78096B6F" w14:textId="498107BE" w:rsidR="00204389" w:rsidRDefault="00204389" w:rsidP="00204389">
      <w:pPr>
        <w:pStyle w:val="BodyText"/>
      </w:pPr>
      <w:r>
        <w:t xml:space="preserve">L’enveloppe dédiée à ce fonds s’élève </w:t>
      </w:r>
      <w:r w:rsidRPr="008B2B74">
        <w:rPr>
          <w:b/>
        </w:rPr>
        <w:t>à 300 M€,</w:t>
      </w:r>
      <w:r>
        <w:t xml:space="preserve"> dont :</w:t>
      </w:r>
    </w:p>
    <w:p w14:paraId="1C6B73AB" w14:textId="7BB52713" w:rsidR="00204389" w:rsidRDefault="00204389" w:rsidP="00204389">
      <w:pPr>
        <w:pStyle w:val="Bullet1"/>
      </w:pPr>
      <w:r>
        <w:t xml:space="preserve">40 M€ consacrés à la reconversion des friches polluées issues d’anciens sites industriels ICPE (Installations classés protection de l’environnement) ou sites miniers dans le cadre d’un appel à projets national lancé par l’ADEME ; </w:t>
      </w:r>
    </w:p>
    <w:p w14:paraId="614121CA" w14:textId="00B96F84" w:rsidR="00204389" w:rsidRDefault="00204389" w:rsidP="00204389">
      <w:pPr>
        <w:pStyle w:val="Bullet1"/>
      </w:pPr>
      <w:r>
        <w:t xml:space="preserve">1 M€ consacré au développement d'outils de connaissance du foncier par le </w:t>
      </w:r>
      <w:proofErr w:type="spellStart"/>
      <w:r>
        <w:t>Cerema</w:t>
      </w:r>
      <w:proofErr w:type="spellEnd"/>
      <w:r>
        <w:t xml:space="preserve"> afin d'appuyer les collectivités et opérateurs dans l'inventaire des friches, mais également dans la mise en œuvre opérationnelle des projets ; </w:t>
      </w:r>
    </w:p>
    <w:p w14:paraId="4DAA7CAF" w14:textId="1ABA24D7" w:rsidR="00204389" w:rsidRDefault="00204389" w:rsidP="00204389">
      <w:pPr>
        <w:pStyle w:val="Bullet1"/>
      </w:pPr>
      <w:r>
        <w:t>259 M€, entièrement territorialisés, consacrés au recyclage foncier pour des projets d’aménagement urbain, de revitalisation des cœurs de ville et de périphérie urbaine, et pour des projets de requalification à vocation productive.</w:t>
      </w:r>
    </w:p>
    <w:p w14:paraId="74B7A58E" w14:textId="4EFB2C8F" w:rsidR="00204389" w:rsidRPr="00E92F3F" w:rsidRDefault="00204389" w:rsidP="00204389">
      <w:pPr>
        <w:pStyle w:val="BodyText"/>
        <w:rPr>
          <w:color w:val="000000" w:themeColor="text1"/>
        </w:rPr>
      </w:pPr>
      <w:r w:rsidRPr="00784673">
        <w:t xml:space="preserve">Devant le succès du dispositif, le Premier Ministre et la ministre du Logement ont annoncé le 17 mai 2021 la </w:t>
      </w:r>
      <w:r w:rsidRPr="00AC2950">
        <w:rPr>
          <w:b/>
        </w:rPr>
        <w:t xml:space="preserve">mobilisation d’une enveloppe complémentaire de 350 </w:t>
      </w:r>
      <w:r w:rsidR="00A9601E">
        <w:rPr>
          <w:b/>
        </w:rPr>
        <w:t>M€</w:t>
      </w:r>
      <w:r w:rsidRPr="00AC2950">
        <w:rPr>
          <w:b/>
        </w:rPr>
        <w:t xml:space="preserve"> pour la reconversion des friches.</w:t>
      </w:r>
      <w:r w:rsidRPr="00784673">
        <w:t xml:space="preserve"> </w:t>
      </w:r>
      <w:r>
        <w:t xml:space="preserve">A l’échelle nationale, 441 sites ont été lauréats de l’AAP régionaux et 111 </w:t>
      </w:r>
      <w:r w:rsidRPr="00E92F3F">
        <w:rPr>
          <w:color w:val="000000" w:themeColor="text1"/>
        </w:rPr>
        <w:t>lauréats de l’AAP portés par l’ADEME.  Sur les 544 projets lauréats de l’appel à projets du Fonds Friches, 54 sont situés en Hauts-de-France pour une enveloppe totale de 35,5 M€ (voir section 3.3).</w:t>
      </w:r>
    </w:p>
    <w:p w14:paraId="34ED618C" w14:textId="5505609B" w:rsidR="00204389" w:rsidRDefault="00204389" w:rsidP="00204389">
      <w:pPr>
        <w:pStyle w:val="BodyText"/>
      </w:pPr>
      <w:r w:rsidRPr="00E92F3F">
        <w:t>L’appel à projet piloté</w:t>
      </w:r>
      <w:r w:rsidR="00572D14">
        <w:t xml:space="preserve"> </w:t>
      </w:r>
      <w:r>
        <w:t>par les préfets de Régions est à destination des projets matures, qui permettent un engagement des crédits du fonds d’ici fin 2021 pour la première édition.</w:t>
      </w:r>
    </w:p>
    <w:p w14:paraId="11C41A9E" w14:textId="289FA981" w:rsidR="00204389" w:rsidRDefault="00204389" w:rsidP="00204389">
      <w:pPr>
        <w:pStyle w:val="BodyText"/>
      </w:pPr>
      <w:r>
        <w:t>Les porteurs de projet éligibles sont les maitres d'ouvrage des projets</w:t>
      </w:r>
      <w:r w:rsidRPr="007C3132">
        <w:t xml:space="preserve"> publics ou d’intérêt public, par défaut d’opération économiquement viables</w:t>
      </w:r>
      <w:r>
        <w:t xml:space="preserve"> de recyclage d'une friche : </w:t>
      </w:r>
    </w:p>
    <w:p w14:paraId="2B3DE250" w14:textId="0C90B697" w:rsidR="00204389" w:rsidRDefault="00204389" w:rsidP="00204389">
      <w:pPr>
        <w:pStyle w:val="Bullet1"/>
      </w:pPr>
      <w:r>
        <w:t xml:space="preserve">Les collectivités, les établissements publics locaux, ou les opérateurs qu'ils auront désignés, </w:t>
      </w:r>
    </w:p>
    <w:p w14:paraId="001FD269" w14:textId="32A08159" w:rsidR="00204389" w:rsidRDefault="00204389" w:rsidP="00204389">
      <w:pPr>
        <w:pStyle w:val="Bullet1"/>
      </w:pPr>
      <w:r>
        <w:t xml:space="preserve">Les établissements publics de l'État ou les opérateurs qu'ils auront désignés, </w:t>
      </w:r>
    </w:p>
    <w:p w14:paraId="5FD7B439" w14:textId="4155EB21" w:rsidR="00204389" w:rsidRDefault="00204389" w:rsidP="00204389">
      <w:pPr>
        <w:pStyle w:val="Bullet1"/>
      </w:pPr>
      <w:r>
        <w:t>Les aménageurs publics (établissements publics d’aménagements, entreprises publiques locales, SEM, SPL),</w:t>
      </w:r>
    </w:p>
    <w:p w14:paraId="7129E3BE" w14:textId="4AFE5A2B" w:rsidR="00204389" w:rsidRDefault="00204389" w:rsidP="00204389">
      <w:pPr>
        <w:pStyle w:val="Bullet1"/>
      </w:pPr>
      <w:r>
        <w:t xml:space="preserve">Les offices de foncier solidaire, </w:t>
      </w:r>
    </w:p>
    <w:p w14:paraId="6F12F3F8" w14:textId="6246D3E2" w:rsidR="00204389" w:rsidRDefault="00204389" w:rsidP="00204389">
      <w:pPr>
        <w:pStyle w:val="Bullet1"/>
      </w:pPr>
      <w:r>
        <w:t xml:space="preserve">Les bailleurs sociaux, </w:t>
      </w:r>
    </w:p>
    <w:p w14:paraId="45266C5A" w14:textId="3D3899FA" w:rsidR="00204389" w:rsidRDefault="00204389" w:rsidP="00204389">
      <w:pPr>
        <w:pStyle w:val="Bullet1"/>
      </w:pPr>
      <w:r>
        <w:t>Des entreprises privées, sous réserves de certaines conditions.</w:t>
      </w:r>
    </w:p>
    <w:p w14:paraId="422F3EE5" w14:textId="77777777" w:rsidR="00204389" w:rsidRDefault="00204389" w:rsidP="00204389">
      <w:pPr>
        <w:pStyle w:val="Bullet1"/>
        <w:numPr>
          <w:ilvl w:val="0"/>
          <w:numId w:val="0"/>
        </w:numPr>
        <w:ind w:left="340" w:hanging="340"/>
      </w:pPr>
    </w:p>
    <w:p w14:paraId="298CACFC" w14:textId="77777777" w:rsidR="00204389" w:rsidRDefault="00204389" w:rsidP="00204389">
      <w:pPr>
        <w:pStyle w:val="BodyText"/>
      </w:pPr>
      <w:r>
        <w:t xml:space="preserve">Pour être éligible, le projet </w:t>
      </w:r>
      <w:r w:rsidRPr="008D46E4">
        <w:t xml:space="preserve">de recyclage doit </w:t>
      </w:r>
      <w:r>
        <w:t xml:space="preserve">être </w:t>
      </w:r>
      <w:r w:rsidRPr="008D46E4">
        <w:t>un projet d’aménagement à vocation mixte, résidentielle ou économique qui intègre la production ou la réhabilitation de</w:t>
      </w:r>
      <w:r>
        <w:t xml:space="preserve"> </w:t>
      </w:r>
      <w:r w:rsidRPr="008D46E4">
        <w:t>surfaces de logements ou de surfaces économiques à vocation productive. Elle peut présenter une programmation plus large, notamment en matière d’équipements publics.</w:t>
      </w:r>
    </w:p>
    <w:p w14:paraId="14D51891" w14:textId="77777777" w:rsidR="00204389" w:rsidRDefault="00204389" w:rsidP="00204389">
      <w:pPr>
        <w:pStyle w:val="BodyText"/>
      </w:pPr>
      <w:r>
        <w:t>De plus</w:t>
      </w:r>
      <w:r w:rsidRPr="008D46E4">
        <w:t xml:space="preserve">, </w:t>
      </w:r>
      <w:r w:rsidRPr="005732DF">
        <w:rPr>
          <w:b/>
          <w:bCs/>
        </w:rPr>
        <w:t xml:space="preserve">les projets devront être suffisamment matures </w:t>
      </w:r>
      <w:r>
        <w:t>c’est-à-dire que</w:t>
      </w:r>
      <w:r w:rsidRPr="008D46E4">
        <w:t xml:space="preserve"> la ma</w:t>
      </w:r>
      <w:r>
        <w:t>î</w:t>
      </w:r>
      <w:r w:rsidRPr="008D46E4">
        <w:t>trise d’ouvrage, les conditions de maîtrise du foncier, la programmation urbaine de l’aménagement, ainsi que le bilan économique de l’opération</w:t>
      </w:r>
      <w:r>
        <w:t xml:space="preserve"> doivent être connus</w:t>
      </w:r>
      <w:r w:rsidRPr="008D46E4">
        <w:t>.</w:t>
      </w:r>
      <w:r>
        <w:t xml:space="preserve"> Ce volet du fonds « friches » s’adresse aux projets dont les bilans économiques restent déficitaires après prise en compte de toutes les autres subventions publiques, et malgré la recherche et l’optimisation de tous les autres leviers d’équilibre (en particulier en matière de densité et de mixité), à l’aune des enjeux d’attractivité du site et d’urbanité. L’aide du fonds friches ne devra en aucun cas conduire à diminuer les autres subventions publiques. Les crédits du fonds friches pourront financer des études, des acquisitions foncières, des travaux de démolition, de dépollution ou d’aménagement, relatifs à l’action de recyclage d’une friche, de sorte de combler tout ou partie du déficit constate</w:t>
      </w:r>
      <w:r>
        <w:rPr>
          <w:rFonts w:hint="cs"/>
        </w:rPr>
        <w:t>́</w:t>
      </w:r>
      <w:r>
        <w:t>.</w:t>
      </w:r>
    </w:p>
    <w:p w14:paraId="4E1C1E0F" w14:textId="77777777" w:rsidR="00204389" w:rsidRDefault="00204389" w:rsidP="00204389">
      <w:pPr>
        <w:pStyle w:val="Bullet1"/>
        <w:numPr>
          <w:ilvl w:val="0"/>
          <w:numId w:val="0"/>
        </w:numPr>
        <w:ind w:left="340" w:hanging="340"/>
      </w:pPr>
    </w:p>
    <w:p w14:paraId="27BA05CF" w14:textId="77777777" w:rsidR="00204389" w:rsidRDefault="00204389" w:rsidP="00204389">
      <w:pPr>
        <w:pStyle w:val="BodyText"/>
        <w:rPr>
          <w:shd w:val="clear" w:color="auto" w:fill="DBD8E6" w:themeFill="accent4" w:themeFillTint="66"/>
        </w:rPr>
      </w:pPr>
      <w:r>
        <w:t xml:space="preserve">Les projets de reconversion de friches polluées issues d’anciens sites ICPE ou miniers devront être déposés prioritairement à l’appel à projets </w:t>
      </w:r>
      <w:r w:rsidRPr="005732DF">
        <w:rPr>
          <w:b/>
          <w:bCs/>
        </w:rPr>
        <w:t>« Reconversion des friches polluées » lancé par l’ADEME,</w:t>
      </w:r>
      <w:r>
        <w:t xml:space="preserve"> dans le cadre du Fonds Friche du Plan de relance</w:t>
      </w:r>
      <w:r w:rsidRPr="00E92F3F">
        <w:t xml:space="preserve">. L’appel à projets de l’ADEME permet d’apporter une subvention pour couvrir une partie des dépenses de dépollution (y compris déconstruction/désamiantage et restauration des fonctionnalités des sols le cas échéant). Une aide complémentaire pourra être accordée au même projet via l’appel à projet « Recyclage foncier » si le bilan économique reste déficitaire, après prise en compte de la subvention de l’ADEME. Le schéma ci-dessous présente, pour les différents postes de dépenses pouvant générer un déficit d’opération (associé au fait que les recettes puissent être insuffisantes – cas de marché immobilier détendu – ou inexistantes – cas d’équipements publics ou projets de renaturation par exemple), ceux pris en compte par les AAP « recyclage foncier » régionaux et l’AAP ADEME : </w:t>
      </w:r>
    </w:p>
    <w:p w14:paraId="4E742748" w14:textId="1B8BC150" w:rsidR="0055680E" w:rsidRDefault="0055680E" w:rsidP="00DD3EE3">
      <w:pPr>
        <w:pStyle w:val="Caption"/>
        <w:jc w:val="both"/>
      </w:pPr>
      <w:r>
        <w:t xml:space="preserve">Figure </w:t>
      </w:r>
      <w:r>
        <w:fldChar w:fldCharType="begin"/>
      </w:r>
      <w:r>
        <w:instrText xml:space="preserve"> SEQ Figure \* ARABIC </w:instrText>
      </w:r>
      <w:r>
        <w:fldChar w:fldCharType="separate"/>
      </w:r>
      <w:r w:rsidR="00A77540">
        <w:rPr>
          <w:noProof/>
        </w:rPr>
        <w:t>4</w:t>
      </w:r>
      <w:r>
        <w:fldChar w:fldCharType="end"/>
      </w:r>
    </w:p>
    <w:p w14:paraId="267DA04E" w14:textId="77777777" w:rsidR="00204389" w:rsidRDefault="00204389" w:rsidP="00DD3EE3">
      <w:pPr>
        <w:pStyle w:val="Source"/>
      </w:pPr>
      <w:r>
        <w:rPr>
          <w:noProof/>
          <w:shd w:val="clear" w:color="auto" w:fill="E6E6E6"/>
        </w:rPr>
        <w:drawing>
          <wp:inline distT="0" distB="0" distL="0" distR="0" wp14:anchorId="611688A4" wp14:editId="3884D50B">
            <wp:extent cx="5760720" cy="1659890"/>
            <wp:effectExtent l="0" t="0" r="5080" b="3810"/>
            <wp:docPr id="20" name="Image 2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able&#10;&#10;Description générée automatiquement"/>
                    <pic:cNvPicPr/>
                  </pic:nvPicPr>
                  <pic:blipFill>
                    <a:blip r:embed="rId24"/>
                    <a:stretch>
                      <a:fillRect/>
                    </a:stretch>
                  </pic:blipFill>
                  <pic:spPr>
                    <a:xfrm>
                      <a:off x="0" y="0"/>
                      <a:ext cx="5760720" cy="1659890"/>
                    </a:xfrm>
                    <a:prstGeom prst="rect">
                      <a:avLst/>
                    </a:prstGeom>
                  </pic:spPr>
                </pic:pic>
              </a:graphicData>
            </a:graphic>
          </wp:inline>
        </w:drawing>
      </w:r>
    </w:p>
    <w:p w14:paraId="3C7B9C77" w14:textId="77777777" w:rsidR="00204389" w:rsidRDefault="00204389" w:rsidP="00DD3EE3">
      <w:pPr>
        <w:pStyle w:val="Source"/>
      </w:pPr>
      <w:r>
        <w:t>Source : ADEME, AAP Travaux Friches 2021, 2</w:t>
      </w:r>
      <w:r w:rsidRPr="002937B3">
        <w:rPr>
          <w:vertAlign w:val="superscript"/>
        </w:rPr>
        <w:t>ème</w:t>
      </w:r>
      <w:r>
        <w:t xml:space="preserve"> édition, Juillet 2021</w:t>
      </w:r>
    </w:p>
    <w:p w14:paraId="23CDB137" w14:textId="77777777" w:rsidR="00204389" w:rsidRDefault="00204389" w:rsidP="00204389">
      <w:pPr>
        <w:pStyle w:val="BodyText"/>
      </w:pPr>
      <w:r>
        <w:t xml:space="preserve">Avant les nouvelles mesures du Plan de Relance et depuis 2010, l’ADEME accompagne les acteurs de la reconversion des friches urbaines polluées dans leurs projets, par l’intermédiaire de deux dispositifs complémentaires : </w:t>
      </w:r>
    </w:p>
    <w:p w14:paraId="25146186" w14:textId="77777777" w:rsidR="00204389" w:rsidRDefault="00204389" w:rsidP="00204389">
      <w:pPr>
        <w:pStyle w:val="Bullet1"/>
      </w:pPr>
      <w:r>
        <w:t xml:space="preserve">l’aide à la décision (études et AMO) et d’études préalables à la reconversion des friches pollués ; </w:t>
      </w:r>
    </w:p>
    <w:p w14:paraId="19EE23A7" w14:textId="77777777" w:rsidR="00204389" w:rsidRDefault="00204389" w:rsidP="00204389">
      <w:pPr>
        <w:pStyle w:val="Bullet1"/>
      </w:pPr>
      <w:r>
        <w:t xml:space="preserve">l’aide aux travaux de dépollution. </w:t>
      </w:r>
    </w:p>
    <w:p w14:paraId="5E4F7AC7" w14:textId="56E7A675" w:rsidR="00204389" w:rsidRDefault="00204389" w:rsidP="00204389">
      <w:pPr>
        <w:pStyle w:val="BodyText"/>
      </w:pPr>
      <w:r>
        <w:t>Le premier dispositif permet de financer</w:t>
      </w:r>
      <w:r w:rsidR="00BE3A8B">
        <w:t> :</w:t>
      </w:r>
      <w:r>
        <w:t xml:space="preserve"> </w:t>
      </w:r>
    </w:p>
    <w:p w14:paraId="2A2617E9" w14:textId="77777777" w:rsidR="00204389" w:rsidRDefault="00204389" w:rsidP="00204389">
      <w:pPr>
        <w:pStyle w:val="Bullet1"/>
      </w:pPr>
      <w:r>
        <w:t>des études qui permettent de mieux connaître le gisement des friches et de mieux anticiper les risques de pollution (réalisation d’inventaire urbain et mise en place d’observatoires locaux des friches) ;</w:t>
      </w:r>
    </w:p>
    <w:p w14:paraId="1270038A" w14:textId="77777777" w:rsidR="00204389" w:rsidRDefault="00204389" w:rsidP="00204389">
      <w:pPr>
        <w:pStyle w:val="Bullet1"/>
      </w:pPr>
      <w:r>
        <w:t>des études, à la conduite des opérations d’aménagement, qui permettent de faire réaliser des investigations sur site, pour définir les mesures de gestion (plan de gestion et plan de conception des travaux), qui permettront de comparer les différentes solutions de dépollution envisageables et d’en appréhender leurs coûts</w:t>
      </w:r>
    </w:p>
    <w:p w14:paraId="6E4479F4" w14:textId="77777777" w:rsidR="00204389" w:rsidRDefault="00204389" w:rsidP="00204389">
      <w:pPr>
        <w:pStyle w:val="Bullet1"/>
      </w:pPr>
      <w:r>
        <w:t>des études de faisabilité et des essais pilotes.</w:t>
      </w:r>
    </w:p>
    <w:p w14:paraId="54078804" w14:textId="77777777" w:rsidR="00204389" w:rsidRDefault="00204389" w:rsidP="00204389">
      <w:pPr>
        <w:pStyle w:val="Bullet1"/>
        <w:numPr>
          <w:ilvl w:val="0"/>
          <w:numId w:val="0"/>
        </w:numPr>
      </w:pPr>
      <w:r>
        <w:t xml:space="preserve">Les projets éligibles portent sur un panel de projets très large pour des usages allant du logement à la </w:t>
      </w:r>
      <w:r w:rsidRPr="00E92F3F">
        <w:t>renaturation mais également les projets d’activités économiques (industriel, tertiaire, commerce …). . Les bénéficiaires sont les entreprises et collectivités à hauteur de 50 à 70 % du montant selon les bénéficiaires (grandes entreprises, moyennes entreprises, petites entreprises et activités non économiques). Le plafond des dépenses éligibles est de 100 K€ pour les études d’accompagnement de projets.</w:t>
      </w:r>
    </w:p>
    <w:p w14:paraId="3FF9DD64" w14:textId="77777777" w:rsidR="00204389" w:rsidRDefault="00204389" w:rsidP="00204389">
      <w:pPr>
        <w:pStyle w:val="BodyText"/>
      </w:pPr>
    </w:p>
    <w:p w14:paraId="6FAF1A4B" w14:textId="77777777" w:rsidR="00204389" w:rsidRDefault="00204389" w:rsidP="00204389">
      <w:pPr>
        <w:pStyle w:val="BodyText"/>
      </w:pPr>
      <w:r>
        <w:t>Le deuxième dispositif initié à la suite du plan de relance de 2009 a été pérennisé pour accélérer la reconquête des friches. Les aides sont attribuées chaque année généralement via un appel à projets national. L’instruction, assurée conjointement par les directions régionales de l’ADEME et le niveau national, vise à retenir les opérations exemplaires par leur technique de dépollution, par leur qualité environnementale en matière d’aménagement et par la qualité de conception du projet en regard des contraintes de pollution et des mesures de gestion associées. Les bénéficiaires de l’aide sont ceux qui financent les travaux de dépollution. Pour respecter le principe de pollueur-payeur, l’Agence n’intervient que lorsque le responsable de la pollution du site concerné ne peut pas être identifié ou astreint à payer. Le dispositif permet donc à des maîtres d’ouvrage d’opérations de reconversion de sites de débloquer des opérations en apportant une participation financière aux travaux de dépollution.</w:t>
      </w:r>
    </w:p>
    <w:p w14:paraId="2B90AEB3" w14:textId="77777777" w:rsidR="00204389" w:rsidRDefault="00204389" w:rsidP="00204389">
      <w:pPr>
        <w:pStyle w:val="BodyText"/>
      </w:pPr>
      <w:r>
        <w:t>Les principales règles applicables pour l’aide aux travaux de dépollution sont les suivantes :</w:t>
      </w:r>
    </w:p>
    <w:p w14:paraId="688AE1D1" w14:textId="77777777" w:rsidR="00204389" w:rsidRDefault="00204389" w:rsidP="00204389">
      <w:pPr>
        <w:pStyle w:val="Bullet1"/>
      </w:pPr>
      <w:r>
        <w:t>L’assiette de travaux subventionnable est plafonnée à 1,5 million €. Les études ne font pas partie de l’assiette subventionnable car réalisés en amont de la demande d’aide</w:t>
      </w:r>
    </w:p>
    <w:p w14:paraId="3305F222" w14:textId="77777777" w:rsidR="00204389" w:rsidRDefault="00204389" w:rsidP="00204389">
      <w:pPr>
        <w:pStyle w:val="Bullet1"/>
      </w:pPr>
      <w:r>
        <w:t xml:space="preserve">Un taux de subvention est ensuite appliqué à l’assiette de travaux retenue. Ce taux qui a varié selon les années d’appel à projets est compris entre 40 et 55 % de l’assiette retenue </w:t>
      </w:r>
    </w:p>
    <w:p w14:paraId="0626C8B7" w14:textId="77777777" w:rsidR="00204389" w:rsidRDefault="00204389" w:rsidP="00204389">
      <w:pPr>
        <w:pStyle w:val="Bullet1"/>
      </w:pPr>
      <w:r>
        <w:t>Le versement de la subvention retenue au maître d’ouvrage est ensuite réalisé en fonction de l’avancement des travaux de dépollution.</w:t>
      </w:r>
    </w:p>
    <w:p w14:paraId="18EEB71A" w14:textId="77777777" w:rsidR="00204389" w:rsidRDefault="00204389" w:rsidP="00204389">
      <w:pPr>
        <w:pStyle w:val="BodyText"/>
      </w:pPr>
      <w:r w:rsidRPr="00E671FB">
        <w:t>Pour être éligibles, les opérations doivent s’inscrire dans le cadre d’un projet de renouvellement urbain, mais l’aide de l’ADEME ne s’applique qu’aux travaux de dépollution au sens strict.</w:t>
      </w:r>
    </w:p>
    <w:p w14:paraId="18F310C7" w14:textId="77777777" w:rsidR="00204389" w:rsidRDefault="00204389" w:rsidP="00204389">
      <w:pPr>
        <w:pStyle w:val="BodyText"/>
        <w:rPr>
          <w:i/>
          <w:iCs/>
        </w:rPr>
      </w:pPr>
    </w:p>
    <w:p w14:paraId="70D7E08D" w14:textId="00819A01" w:rsidR="00204389" w:rsidRPr="00E92F3F" w:rsidRDefault="00204389" w:rsidP="00204389">
      <w:pPr>
        <w:pStyle w:val="BodyText"/>
      </w:pPr>
      <w:r w:rsidRPr="00E92F3F">
        <w:t>Les projets de réhabilitation de friches peuvent dans certains cas mobiliser des fonds d’autres programmes nationaux</w:t>
      </w:r>
      <w:r>
        <w:t xml:space="preserve"> </w:t>
      </w:r>
      <w:r w:rsidRPr="00E92F3F">
        <w:t xml:space="preserve">que sont : </w:t>
      </w:r>
    </w:p>
    <w:p w14:paraId="34CA801C" w14:textId="6790DD77" w:rsidR="00204389" w:rsidRDefault="00204389" w:rsidP="00204389">
      <w:pPr>
        <w:pStyle w:val="Bullet1"/>
      </w:pPr>
      <w:r w:rsidRPr="00E92F3F">
        <w:rPr>
          <w:b/>
          <w:bCs/>
        </w:rPr>
        <w:t>Action Cœur de Ville</w:t>
      </w:r>
      <w:r w:rsidRPr="00E92F3F">
        <w:t xml:space="preserve"> en faveur de la redynamisation des centres villes et des centres bourgs. A l’échelle nationale, cinq milliards d’euros ont été mobilisés à l’échelle nationale sur cinq ans, dont 1 milliard d’euros de la Caisse des dépôts en fonds propres, 700 millions d’euros de prêts, 1,5 milliard d’euros d’Action logement et 1,2 milliard d’euros de l’Agence nationale de l’habitat</w:t>
      </w:r>
      <w:r w:rsidRPr="008B026A">
        <w:t xml:space="preserve"> (Anah).</w:t>
      </w:r>
      <w:r>
        <w:t xml:space="preserve"> Cet appel à projet est complété localement par un dispositif régional qui concerne 114 communes en Hauts-de-France. La Région souhaite accompagner les communes qui mènent une politique volontariste de soutien aux TPE artisanales et commerciales en facilitant le maintien et l'installation de commerces. L’aide peut prendre la forme d’un soutien à réalisation de projets opérationnels innovants pour attirer ou fixer les commerces et les habitants en centre-ville, et d’une aide à la finalisation des projets.</w:t>
      </w:r>
    </w:p>
    <w:p w14:paraId="5A6DDDD7" w14:textId="45F3EC5F" w:rsidR="00204389" w:rsidRDefault="00204389" w:rsidP="00204389">
      <w:pPr>
        <w:pStyle w:val="Bullet1"/>
      </w:pPr>
      <w:r w:rsidRPr="00871A2E">
        <w:rPr>
          <w:b/>
          <w:bCs/>
        </w:rPr>
        <w:t>Petites villes de demain</w:t>
      </w:r>
      <w:r>
        <w:t> : l</w:t>
      </w:r>
      <w:r w:rsidRPr="00871A2E">
        <w:rPr>
          <w:lang w:eastAsia="fr-FR"/>
        </w:rPr>
        <w:t>e programme a pour objectif de renforcer les moyens des élus des villes et leurs intercommunalités de moins de 20 000 habitants exerçant des fonctions de centralités pour bâtir et concrétiser les moyens de concrétiser leurs projets de territoire, tout au long de leur mandat, jusqu’à 2026.</w:t>
      </w:r>
      <w:r>
        <w:rPr>
          <w:lang w:eastAsia="fr-FR"/>
        </w:rPr>
        <w:t xml:space="preserve"> Le budget prévu à l’échelle nationale est de 3 Md€ jusqu’en 2026.</w:t>
      </w:r>
    </w:p>
    <w:p w14:paraId="48E830DF" w14:textId="77777777" w:rsidR="00204389" w:rsidRDefault="00204389" w:rsidP="00204389">
      <w:pPr>
        <w:pStyle w:val="Bullet1"/>
        <w:numPr>
          <w:ilvl w:val="0"/>
          <w:numId w:val="0"/>
        </w:numPr>
        <w:ind w:left="340" w:hanging="340"/>
      </w:pPr>
    </w:p>
    <w:p w14:paraId="0EA7BC6C" w14:textId="77777777" w:rsidR="00204389" w:rsidRDefault="00204389" w:rsidP="00204389">
      <w:pPr>
        <w:pStyle w:val="BodyText"/>
      </w:pPr>
      <w:r w:rsidRPr="00267531">
        <w:rPr>
          <w:b/>
          <w:bCs/>
        </w:rPr>
        <w:t>Les porteurs de projets ont pu au cours de la programmation 2014-2020 mobiliser les subventions du fonds FEDER  2014-2020</w:t>
      </w:r>
      <w:r>
        <w:t xml:space="preserve"> à travers :</w:t>
      </w:r>
    </w:p>
    <w:p w14:paraId="53F433CE" w14:textId="77777777" w:rsidR="00204389" w:rsidRPr="00904A1A" w:rsidRDefault="00204389" w:rsidP="00204389">
      <w:pPr>
        <w:pStyle w:val="Bullet1"/>
      </w:pPr>
      <w:r w:rsidRPr="00904A1A">
        <w:t>l’objectif 18 de l’axe 4 du PO Nord-Pas-de-Calais : accélérer la reconversion des sites en friches, des espaces délaissés ou déradés dans un objectif de renouvellement urbain de PO du Nord-Pas-De-Calais ;</w:t>
      </w:r>
    </w:p>
    <w:p w14:paraId="5A7444FE" w14:textId="77777777" w:rsidR="00204389" w:rsidRPr="00904A1A" w:rsidRDefault="00204389" w:rsidP="00204389">
      <w:pPr>
        <w:pStyle w:val="Bullet1"/>
      </w:pPr>
      <w:r w:rsidRPr="00904A1A">
        <w:t>l’objectif 14 de l’axe 4 du PO Picardie : requalifier les espaces urbains dégradés.</w:t>
      </w:r>
    </w:p>
    <w:p w14:paraId="44AB5D46" w14:textId="089821B5" w:rsidR="003125D7" w:rsidRDefault="003125D7" w:rsidP="00204389">
      <w:pPr>
        <w:pStyle w:val="BodyText"/>
      </w:pPr>
    </w:p>
    <w:p w14:paraId="6DF2E05F" w14:textId="77777777" w:rsidR="00204389" w:rsidRDefault="00204389" w:rsidP="00204389">
      <w:pPr>
        <w:pStyle w:val="BodyText"/>
      </w:pPr>
      <w:r w:rsidRPr="00904A1A">
        <w:t>Sur la programmation 2007-2013 pour laquelle les établissements publics fonciers pouvaient bénéficier des financements FEDER, ils ont fait part de difficultés de de mobilisation de ces fonds. En effet, le calcul des aides des fonds FEDER est réalisé sur le bilan d’opération d’aménagement. Or définir, le bilan d’aménagement en début de projet avant d’avoir réalisé les travaux de dépollution est très complexe. Sur la programmation 2014-2020, les EPF n’étaient pas des bénéficiaires potentiels du FEDER.</w:t>
      </w:r>
    </w:p>
    <w:p w14:paraId="320C736A" w14:textId="77777777" w:rsidR="00204389" w:rsidRDefault="00204389" w:rsidP="00204389">
      <w:pPr>
        <w:pStyle w:val="BodyText"/>
        <w:rPr>
          <w:i/>
          <w:iCs/>
          <w:sz w:val="16"/>
        </w:rPr>
      </w:pPr>
    </w:p>
    <w:p w14:paraId="7F795D85" w14:textId="6C8F02F0" w:rsidR="00204389" w:rsidRDefault="00204389" w:rsidP="00204389">
      <w:pPr>
        <w:pStyle w:val="BodyText"/>
      </w:pPr>
      <w:r>
        <w:t>Il existe d’autres outils qui ne sont pas subventions mais permettent d’inciter les opérateurs privés c’est ce cas des outils de minoration foncière (voir encadré ci-dessous).</w:t>
      </w:r>
    </w:p>
    <w:p w14:paraId="58BAE874" w14:textId="1E1F8246" w:rsidR="00204389" w:rsidRDefault="00204389" w:rsidP="00204389">
      <w:pPr>
        <w:pStyle w:val="Caption"/>
      </w:pPr>
      <w:r>
        <w:t xml:space="preserve">Encadré </w:t>
      </w:r>
      <w:r>
        <w:rPr>
          <w:color w:val="2B579A"/>
          <w:shd w:val="clear" w:color="auto" w:fill="E6E6E6"/>
        </w:rPr>
        <w:fldChar w:fldCharType="begin"/>
      </w:r>
      <w:r>
        <w:instrText xml:space="preserve"> SEQ Encadré \* ARABIC </w:instrText>
      </w:r>
      <w:r>
        <w:rPr>
          <w:color w:val="2B579A"/>
          <w:shd w:val="clear" w:color="auto" w:fill="E6E6E6"/>
        </w:rPr>
        <w:fldChar w:fldCharType="separate"/>
      </w:r>
      <w:r w:rsidR="009F0282">
        <w:rPr>
          <w:noProof/>
        </w:rPr>
        <w:t>30</w:t>
      </w:r>
      <w:r>
        <w:rPr>
          <w:color w:val="2B579A"/>
          <w:shd w:val="clear" w:color="auto" w:fill="E6E6E6"/>
        </w:rPr>
        <w:fldChar w:fldCharType="end"/>
      </w:r>
      <w:r>
        <w:t xml:space="preserve"> </w:t>
      </w:r>
      <w:r w:rsidRPr="00132225">
        <w:t>Fonds de minoration foncière</w:t>
      </w:r>
    </w:p>
    <w:tbl>
      <w:tblPr>
        <w:tblStyle w:val="TechnopolisTable1"/>
        <w:tblW w:w="0" w:type="auto"/>
        <w:tblLook w:val="0480" w:firstRow="0" w:lastRow="0" w:firstColumn="1" w:lastColumn="0" w:noHBand="0" w:noVBand="1"/>
      </w:tblPr>
      <w:tblGrid>
        <w:gridCol w:w="9062"/>
      </w:tblGrid>
      <w:tr w:rsidR="00204389" w14:paraId="3E3AF82B" w14:textId="77777777" w:rsidTr="00307F5D">
        <w:trPr>
          <w:cnfStyle w:val="000000100000" w:firstRow="0" w:lastRow="0" w:firstColumn="0" w:lastColumn="0" w:oddVBand="0" w:evenVBand="0" w:oddHBand="1" w:evenHBand="0" w:firstRowFirstColumn="0" w:firstRowLastColumn="0" w:lastRowFirstColumn="0" w:lastRowLastColumn="0"/>
        </w:trPr>
        <w:tc>
          <w:tcPr>
            <w:tcW w:w="9062" w:type="dxa"/>
          </w:tcPr>
          <w:p w14:paraId="787511DB" w14:textId="6203949F" w:rsidR="00204389" w:rsidRDefault="00204389" w:rsidP="00DD3EE3">
            <w:pPr>
              <w:pStyle w:val="Tabletext"/>
            </w:pPr>
            <w:r>
              <w:t xml:space="preserve">Les établissements publics fonciers ont mis en œuvre des dispositifs spécifiques pour inciter les opérateurs privés à investir des anciennes friches. C’est le cas du </w:t>
            </w:r>
            <w:r w:rsidRPr="00642FC8">
              <w:rPr>
                <w:b/>
              </w:rPr>
              <w:t>fonds de minoration foncière</w:t>
            </w:r>
            <w:r>
              <w:t xml:space="preserve"> de EPFLO et de l’EPF Nord-Pas-de-Calais. Pour renforcer l’efficacité de l’action foncière des minorations foncières </w:t>
            </w:r>
            <w:r w:rsidRPr="00904A1A">
              <w:t>(réduction de prix de cession) peuvent être attribués au titre du recyclage foncier et de l’action sur les friches</w:t>
            </w:r>
            <w:r>
              <w:t xml:space="preserve">. Le montant de la minoration est calculé sur la base du prix de revient pour l’EPF qui intègre le coût d’acquisition (valeur d’acquisition et frais directement liés à l’acquisition : frais d’acte notarié, publicité foncière, géomètre, ...) et le coût des travaux et études de </w:t>
            </w:r>
            <w:r w:rsidRPr="00904A1A">
              <w:t xml:space="preserve">préparation du site dont l’EPF est maître d’ouvrage (dépollution démolition, diagnostics techniques, ...). </w:t>
            </w:r>
            <w:r w:rsidRPr="00904A1A">
              <w:rPr>
                <w:b/>
              </w:rPr>
              <w:t>L’attribution de minorations foncières dépend de la difficulté effective à réaliser l’opération envisagée et des capacités financières disponibles du fonds de minoration foncière.</w:t>
            </w:r>
            <w:r w:rsidRPr="00904A1A">
              <w:t xml:space="preserve"> Le fonds peut financer tous travaux et études liés à la préparation du site (dépollution, sécurisation, démolition, diagnostics, etc.). </w:t>
            </w:r>
            <w:r w:rsidRPr="00904A1A">
              <w:rPr>
                <w:b/>
              </w:rPr>
              <w:t>Le montant de la minoration correspond à 100% du montant HT des travaux et études engagés par l’EPF, dans la limite de 50% du prix de revient EPF HT</w:t>
            </w:r>
            <w:r w:rsidRPr="00904A1A">
              <w:t>.</w:t>
            </w:r>
          </w:p>
        </w:tc>
      </w:tr>
    </w:tbl>
    <w:p w14:paraId="782F37A9" w14:textId="77777777" w:rsidR="00204389" w:rsidRDefault="00204389" w:rsidP="00CD6250">
      <w:pPr>
        <w:pStyle w:val="BodyText"/>
      </w:pPr>
    </w:p>
    <w:p w14:paraId="5FA07CC0" w14:textId="1CB1F384" w:rsidR="000E5361" w:rsidRPr="000E5361" w:rsidRDefault="000A571E" w:rsidP="000E5361">
      <w:pPr>
        <w:pStyle w:val="Heading3"/>
      </w:pPr>
      <w:bookmarkStart w:id="75" w:name="_Toc93390277"/>
      <w:r>
        <w:t>L’offre de prêt</w:t>
      </w:r>
      <w:bookmarkEnd w:id="75"/>
      <w:r>
        <w:t xml:space="preserve"> </w:t>
      </w:r>
    </w:p>
    <w:p w14:paraId="65872C7C" w14:textId="77777777" w:rsidR="005C11E3" w:rsidRPr="00904A1A" w:rsidRDefault="005C11E3" w:rsidP="005C11E3">
      <w:pPr>
        <w:pStyle w:val="BodyText"/>
      </w:pPr>
      <w:r w:rsidRPr="00904A1A">
        <w:t>La Banque des Territoires propose une offre de prêt dédiée au portage foncier et à l’aménagement urbain qui peut être mobilisé pour la réhabilitation de friches industrielles :</w:t>
      </w:r>
    </w:p>
    <w:p w14:paraId="41A8BFE9" w14:textId="2DD61584" w:rsidR="0093308F" w:rsidRDefault="0093308F" w:rsidP="0057473B">
      <w:pPr>
        <w:pStyle w:val="Bullet1"/>
      </w:pPr>
      <w:r>
        <w:t>Un prêt Gaia Territorial court terme : pour financer des opérations foncières pour lesquelles l’emprunteur a vocation à revendre les parcelles après les avoir aménagés, d’une durée de 5 ans maximum.</w:t>
      </w:r>
    </w:p>
    <w:p w14:paraId="01D71E7F" w14:textId="6E6B67C4" w:rsidR="0093308F" w:rsidRDefault="0093308F" w:rsidP="0057473B">
      <w:pPr>
        <w:pStyle w:val="Bullet1"/>
      </w:pPr>
      <w:r>
        <w:t>Un prêt Gaia Territorial Long terme : Pour financer des opérations foncières pour lesquelles l’emprunteur a vocation à mettre à bail les parcelles après les avoir aménagés, d’une durée de 14 ans maximum.</w:t>
      </w:r>
    </w:p>
    <w:p w14:paraId="34B9A13D" w14:textId="37477465" w:rsidR="0093308F" w:rsidRDefault="0093308F" w:rsidP="00E72DF0">
      <w:pPr>
        <w:pStyle w:val="BodyText"/>
      </w:pPr>
      <w:r>
        <w:t xml:space="preserve">Ces prêts sont disponibles pour les collectivités territoriales (commune, département, région, EPCI), les entreprises publiques locales, les EPA EPF. </w:t>
      </w:r>
    </w:p>
    <w:p w14:paraId="4CB17308" w14:textId="77777777" w:rsidR="005C11E3" w:rsidRDefault="005C11E3" w:rsidP="005C11E3">
      <w:pPr>
        <w:pStyle w:val="BodyText"/>
      </w:pPr>
      <w:r>
        <w:t xml:space="preserve">Les opérations ci-dessous et relatives à des terrains situés sur des friches industrielles ou destinés à l’implantation d’activités industrielles sont éligibles : </w:t>
      </w:r>
    </w:p>
    <w:p w14:paraId="4E96CB21" w14:textId="77777777" w:rsidR="005C11E3" w:rsidRDefault="005C11E3" w:rsidP="005C11E3">
      <w:pPr>
        <w:pStyle w:val="Bullet1"/>
      </w:pPr>
      <w:r>
        <w:t>Acquisition de parcelles de terrain (destinées à être mises à bail pour le Gaïa Territorial Long Terme et à être revendues pour le Gaïa Territorial Court Terme)</w:t>
      </w:r>
    </w:p>
    <w:p w14:paraId="09FB86EF" w14:textId="77777777" w:rsidR="005C11E3" w:rsidRDefault="005C11E3" w:rsidP="005C11E3">
      <w:pPr>
        <w:pStyle w:val="Bullet1"/>
      </w:pPr>
      <w:r>
        <w:t xml:space="preserve">Travaux d’aménagement des parcelles (coûts de remembrement des parcelles ; études liées au foncier, coûts de dépollution coûts de démolition, couts de viabilisation, surcoûts liés aux travaux d’adaptation du sol, coûts des mesures compensatoires de l’étude d’impact). </w:t>
      </w:r>
    </w:p>
    <w:p w14:paraId="067F87BE" w14:textId="77777777" w:rsidR="005C11E3" w:rsidRPr="005C11E3" w:rsidRDefault="005C11E3" w:rsidP="005C11E3">
      <w:pPr>
        <w:pStyle w:val="BodyText"/>
      </w:pPr>
    </w:p>
    <w:p w14:paraId="714CD013" w14:textId="5E56D49B" w:rsidR="00A41E51" w:rsidRDefault="000A571E" w:rsidP="00DE3682">
      <w:pPr>
        <w:pStyle w:val="Heading3"/>
      </w:pPr>
      <w:bookmarkStart w:id="76" w:name="_Toc93390278"/>
      <w:r>
        <w:t>L’offre en fonds propres</w:t>
      </w:r>
      <w:bookmarkEnd w:id="76"/>
    </w:p>
    <w:p w14:paraId="262E710D" w14:textId="4F51DCE4" w:rsidR="00A15ED5" w:rsidRDefault="00406E19" w:rsidP="00DE3682">
      <w:pPr>
        <w:pStyle w:val="BodyText"/>
      </w:pPr>
      <w:r>
        <w:t>En décembre 2019, l</w:t>
      </w:r>
      <w:r w:rsidRPr="00406E19">
        <w:t xml:space="preserve">a Banque européenne d'investissement et la Banque des Territoires (Caisse des Dépôts) </w:t>
      </w:r>
      <w:r>
        <w:t>ont</w:t>
      </w:r>
      <w:r w:rsidRPr="00406E19">
        <w:t xml:space="preserve"> </w:t>
      </w:r>
      <w:r w:rsidR="00A41E51">
        <w:t xml:space="preserve">investi </w:t>
      </w:r>
      <w:r w:rsidRPr="00406E19">
        <w:t xml:space="preserve">100 </w:t>
      </w:r>
      <w:r w:rsidR="00E57CBE">
        <w:t>M€</w:t>
      </w:r>
      <w:r w:rsidRPr="00406E19">
        <w:t xml:space="preserve"> chacune dans une </w:t>
      </w:r>
      <w:r w:rsidRPr="00904A1A">
        <w:t xml:space="preserve">plateforme dédiée aux investissements dans des opérations immobilières structurantes pour le développement urbain </w:t>
      </w:r>
      <w:r w:rsidRPr="00406E19">
        <w:t xml:space="preserve">des territoires français. Gérée par la Banque des Territoires, </w:t>
      </w:r>
      <w:r w:rsidRPr="00904A1A">
        <w:t xml:space="preserve">cette plateforme </w:t>
      </w:r>
      <w:r w:rsidR="00C21987" w:rsidRPr="00904A1A">
        <w:t xml:space="preserve">investit </w:t>
      </w:r>
      <w:r w:rsidRPr="00904A1A">
        <w:t>en fonds propres et quasi fonds propres dans des opérations de grande envergure et performantes au niveau environnemental</w:t>
      </w:r>
      <w:r w:rsidRPr="00406E19">
        <w:t xml:space="preserve">. La </w:t>
      </w:r>
      <w:r w:rsidRPr="00BE3A8B">
        <w:rPr>
          <w:b/>
          <w:bCs/>
        </w:rPr>
        <w:t>P</w:t>
      </w:r>
      <w:r w:rsidRPr="00DE0840">
        <w:rPr>
          <w:b/>
          <w:bCs/>
        </w:rPr>
        <w:t>lateforme « Aménagement Urbain</w:t>
      </w:r>
      <w:r w:rsidRPr="00D97A54">
        <w:rPr>
          <w:b/>
          <w:bCs/>
        </w:rPr>
        <w:t xml:space="preserve"> »</w:t>
      </w:r>
      <w:r w:rsidRPr="00406E19">
        <w:t xml:space="preserve"> s'inscrit dans le cadre de l'offre investisseur de la Banque des Territoires, contribuant à rendre les territoires plus attractifs, inclusifs et durables. La participation de la Banque européenne d'investissement (BEI) est garantie par le Fonds européen pour les investissements stratégiques (FEIS), aussi appelé « Plan Juncker ».</w:t>
      </w:r>
      <w:r w:rsidR="00DE3682">
        <w:t xml:space="preserve"> </w:t>
      </w:r>
    </w:p>
    <w:p w14:paraId="24D3BCBC" w14:textId="4A89DEA0" w:rsidR="00DE3682" w:rsidRDefault="00DE3682" w:rsidP="00DE3682">
      <w:pPr>
        <w:pStyle w:val="BodyText"/>
      </w:pPr>
      <w:r w:rsidRPr="00904A1A">
        <w:t>L'objectif de ce véhicule consiste à prendre des participations minoritaires dans des projets immobiliers de taille importante et performants au niveau environnemental, s'inscrivant dans des projets d'aménagement urbain d'ensemble, à l'échelle d'un quartier ou d'une collectivité</w:t>
      </w:r>
      <w:r>
        <w:t xml:space="preserve">. Le cœur de cible des projets financés par la plateforme vise des </w:t>
      </w:r>
      <w:r w:rsidRPr="00904A1A">
        <w:t>programmes d'immobilier d'entreprise et d'immobilier commercial, situés principalement en zone urbaine</w:t>
      </w:r>
      <w:r>
        <w:t xml:space="preserve">, structurants dans le cadre de l'aménagement du territoire ou de l'accompagnement des entreprises. La plateforme </w:t>
      </w:r>
      <w:r w:rsidR="00A44C85">
        <w:t>peut</w:t>
      </w:r>
      <w:r>
        <w:t xml:space="preserve"> également investir dans des projets répondant à des enjeux de santé, de vieillissement, aux besoins de la jeunesse (résidences pour étudiants et pour jeunes actifs), ou qui permettent de renforcer et de diversifier l'offre touristique des territoires, par la modernisation ou la création d'hébergements et d'équipements (hôtellerie).</w:t>
      </w:r>
      <w:r w:rsidR="0033346D">
        <w:t xml:space="preserve"> </w:t>
      </w:r>
      <w:r w:rsidR="0033346D" w:rsidRPr="00904A1A">
        <w:t>Ces opérations immobilières peuvent être des opérations de réhabilitation de friches</w:t>
      </w:r>
      <w:r w:rsidR="0033346D">
        <w:t>. La première opération a été financé en mai 2021 il s’agit de l’opération Commerces Nanterre Cœur Université (92).</w:t>
      </w:r>
      <w:r w:rsidR="00B16946">
        <w:t xml:space="preserve"> A ce stade nous n’avons pas eu connaissance de projets d’opérations dans les Hauts-de-France.</w:t>
      </w:r>
    </w:p>
    <w:p w14:paraId="69FC3FB4" w14:textId="77777777" w:rsidR="005535D5" w:rsidRPr="005535D5" w:rsidRDefault="005535D5" w:rsidP="005535D5">
      <w:pPr>
        <w:pStyle w:val="BodyText"/>
      </w:pPr>
    </w:p>
    <w:p w14:paraId="0D24BA34" w14:textId="77777777" w:rsidR="00633890" w:rsidRPr="00633890" w:rsidRDefault="0093308F" w:rsidP="00E72DF0">
      <w:pPr>
        <w:pStyle w:val="BodyText"/>
      </w:pPr>
      <w:r>
        <w:t>Par ailleurs, il existe des fonds d’investissement dédié</w:t>
      </w:r>
      <w:r w:rsidR="00B16946">
        <w:t>s</w:t>
      </w:r>
      <w:r>
        <w:t xml:space="preserve"> à la réhabilitation des friches comme le </w:t>
      </w:r>
      <w:r w:rsidRPr="00904A1A">
        <w:t xml:space="preserve">Fonds </w:t>
      </w:r>
      <w:proofErr w:type="spellStart"/>
      <w:r w:rsidRPr="00904A1A">
        <w:t>Brownfield</w:t>
      </w:r>
      <w:proofErr w:type="spellEnd"/>
      <w:r w:rsidR="00633890" w:rsidRPr="00904A1A">
        <w:t xml:space="preserve"> </w:t>
      </w:r>
      <w:r w:rsidR="00633890">
        <w:t xml:space="preserve">ou le fonds suisse </w:t>
      </w:r>
      <w:r w:rsidR="00633890" w:rsidRPr="00904A1A">
        <w:t>Gin</w:t>
      </w:r>
      <w:r w:rsidR="0076091B" w:rsidRPr="00904A1A">
        <w:t>kgo</w:t>
      </w:r>
      <w:r w:rsidR="0076091B">
        <w:t>.</w:t>
      </w:r>
    </w:p>
    <w:p w14:paraId="55082040" w14:textId="77777777" w:rsidR="0093308F" w:rsidRPr="003227E7" w:rsidRDefault="006453EF" w:rsidP="00E72DF0">
      <w:pPr>
        <w:pStyle w:val="BodyText"/>
      </w:pPr>
      <w:r>
        <w:t xml:space="preserve">Le </w:t>
      </w:r>
      <w:r w:rsidRPr="00D97A54">
        <w:rPr>
          <w:b/>
          <w:bCs/>
        </w:rPr>
        <w:t>fonds</w:t>
      </w:r>
      <w:r w:rsidR="0076091B" w:rsidRPr="00D97A54">
        <w:rPr>
          <w:b/>
          <w:bCs/>
        </w:rPr>
        <w:t xml:space="preserve"> </w:t>
      </w:r>
      <w:proofErr w:type="spellStart"/>
      <w:r w:rsidR="0076091B" w:rsidRPr="00D97A54">
        <w:rPr>
          <w:b/>
          <w:bCs/>
        </w:rPr>
        <w:t>Brownfield</w:t>
      </w:r>
      <w:proofErr w:type="spellEnd"/>
      <w:r>
        <w:t xml:space="preserve"> rachète ou réhabilite « clef en main » des friches industrielles dans l’optique d’y accueillir par la suite de nouvelles </w:t>
      </w:r>
      <w:r w:rsidR="003263D6">
        <w:t>activités</w:t>
      </w:r>
      <w:r>
        <w:t xml:space="preserve"> (zone commerciale, site industriel, espace logistique). </w:t>
      </w:r>
      <w:r w:rsidRPr="00904A1A">
        <w:t xml:space="preserve">Le savoir-faire spécifique de l’opérateur est celui d’un « </w:t>
      </w:r>
      <w:proofErr w:type="spellStart"/>
      <w:r w:rsidRPr="00904A1A">
        <w:t>assemblier</w:t>
      </w:r>
      <w:proofErr w:type="spellEnd"/>
      <w:r w:rsidRPr="00904A1A">
        <w:t xml:space="preserve"> » de procédures et de métiers : conception du projet, achat du site, financement et réalisation des travaux de démolition, de dépollution et de réaménagement, cession.</w:t>
      </w:r>
      <w:r w:rsidR="00FE6DDB" w:rsidRPr="00904A1A">
        <w:t xml:space="preserve"> </w:t>
      </w:r>
      <w:r w:rsidR="0093308F" w:rsidRPr="00904A1A">
        <w:t>Les sites ciblés sont de petite ou moyenne taille, entre 1 et 20 hectares. Ils présentent un environnement toxique (significativement pollué) et sont situés à proximité des grandes aires urbaines qui souffrent d’une pénurie de foncier constructible.</w:t>
      </w:r>
      <w:r w:rsidR="00FE6DDB">
        <w:t xml:space="preserve"> </w:t>
      </w:r>
      <w:r w:rsidR="0057761E">
        <w:t>Le fond</w:t>
      </w:r>
      <w:r w:rsidR="00CB19C5">
        <w:t xml:space="preserve"> a</w:t>
      </w:r>
      <w:r w:rsidR="0093308F">
        <w:t xml:space="preserve"> clôturé une </w:t>
      </w:r>
      <w:r w:rsidR="00CB19C5">
        <w:t>troisième</w:t>
      </w:r>
      <w:r w:rsidR="0093308F">
        <w:t xml:space="preserve"> </w:t>
      </w:r>
      <w:r w:rsidR="00407BC8">
        <w:t>l</w:t>
      </w:r>
      <w:r w:rsidR="0093308F">
        <w:t xml:space="preserve">evée de fonds à 165 M€ en 2018 avec un investissement de 40 M€ de </w:t>
      </w:r>
      <w:r w:rsidR="00D768CB">
        <w:t>l</w:t>
      </w:r>
      <w:r w:rsidR="0093308F">
        <w:t xml:space="preserve">a BEI et de 40 M€ de la Banque des Territoires. </w:t>
      </w:r>
    </w:p>
    <w:p w14:paraId="33CA1C67" w14:textId="77777777" w:rsidR="00793F43" w:rsidRDefault="00020D3B" w:rsidP="00E72DF0">
      <w:pPr>
        <w:pStyle w:val="BodyText"/>
      </w:pPr>
      <w:r w:rsidRPr="00904A1A">
        <w:t xml:space="preserve">De par sa nature de fonds d’investissement, son champ d’action cible les </w:t>
      </w:r>
      <w:r w:rsidR="00726C29" w:rsidRPr="00904A1A">
        <w:t>opérations</w:t>
      </w:r>
      <w:r w:rsidRPr="00904A1A">
        <w:t xml:space="preserve"> susceptibles de </w:t>
      </w:r>
      <w:r w:rsidR="00726C29" w:rsidRPr="00904A1A">
        <w:t>dégager</w:t>
      </w:r>
      <w:r w:rsidRPr="00904A1A">
        <w:t xml:space="preserve"> un profit, ce qui tend à exclure les territoires moins attractifs des projets de </w:t>
      </w:r>
      <w:r w:rsidR="00726C29" w:rsidRPr="00904A1A">
        <w:t>réhabilitation</w:t>
      </w:r>
      <w:r w:rsidRPr="00904A1A">
        <w:t>.</w:t>
      </w:r>
      <w:r w:rsidRPr="00020D3B">
        <w:t xml:space="preserve"> </w:t>
      </w:r>
      <w:r w:rsidRPr="00904A1A">
        <w:t xml:space="preserve">Pour pallier cet angle mort, les partenariats </w:t>
      </w:r>
      <w:r w:rsidR="00726C29" w:rsidRPr="00904A1A">
        <w:t>proposés</w:t>
      </w:r>
      <w:r w:rsidRPr="00904A1A">
        <w:t xml:space="preserve"> peuvent concerner un « bouquet » de sites à </w:t>
      </w:r>
      <w:r w:rsidR="00726C29" w:rsidRPr="00904A1A">
        <w:t>réhabiliter</w:t>
      </w:r>
      <w:r w:rsidRPr="00904A1A">
        <w:t>.</w:t>
      </w:r>
      <w:r w:rsidRPr="00020D3B">
        <w:t xml:space="preserve"> Ainsi l’entreprise a </w:t>
      </w:r>
      <w:r w:rsidR="00726C29" w:rsidRPr="00020D3B">
        <w:t>récemment</w:t>
      </w:r>
      <w:r w:rsidRPr="00020D3B">
        <w:t xml:space="preserve"> passé un contrat avec VINCI </w:t>
      </w:r>
      <w:proofErr w:type="spellStart"/>
      <w:r w:rsidRPr="00020D3B">
        <w:t>Immo</w:t>
      </w:r>
      <w:proofErr w:type="spellEnd"/>
      <w:r w:rsidRPr="00020D3B">
        <w:t xml:space="preserve">, dans le but de </w:t>
      </w:r>
      <w:r w:rsidR="00726C29" w:rsidRPr="00020D3B">
        <w:t>réhabiliter</w:t>
      </w:r>
      <w:r w:rsidRPr="00020D3B">
        <w:t xml:space="preserve"> 48 sites, essentiellement des anciennes usines à gaz </w:t>
      </w:r>
      <w:r w:rsidR="00726C29" w:rsidRPr="00020D3B">
        <w:t>détenues</w:t>
      </w:r>
      <w:r w:rsidRPr="00020D3B">
        <w:t xml:space="preserve"> par ENGIE, dont la surface totale est de 384 000m</w:t>
      </w:r>
      <w:r w:rsidRPr="00904A1A">
        <w:t>2</w:t>
      </w:r>
      <w:r w:rsidRPr="00020D3B">
        <w:t xml:space="preserve">. </w:t>
      </w:r>
      <w:r w:rsidRPr="00904A1A">
        <w:t xml:space="preserve">La vente par lots permet ainsi d’amortir les pertes des </w:t>
      </w:r>
      <w:r w:rsidR="00726C29" w:rsidRPr="00904A1A">
        <w:t>opérations</w:t>
      </w:r>
      <w:r w:rsidRPr="00904A1A">
        <w:t xml:space="preserve"> non rentables avec celles des sites attractifs</w:t>
      </w:r>
      <w:r w:rsidR="00726C29" w:rsidRPr="00904A1A">
        <w:footnoteReference w:id="44"/>
      </w:r>
      <w:r w:rsidRPr="00904A1A">
        <w:t>.</w:t>
      </w:r>
      <w:r w:rsidR="00835E5E">
        <w:t xml:space="preserve"> Ce genre de projets est possible avec des grands opérateurs comme VINCI Immobilier qui ont une trésorerie suffisante pour porter ce type de foncier pendant une longue durée. </w:t>
      </w:r>
    </w:p>
    <w:p w14:paraId="6CCB686C" w14:textId="77777777" w:rsidR="00835E5E" w:rsidRDefault="00835E5E" w:rsidP="00835E5E">
      <w:pPr>
        <w:pStyle w:val="BodyText"/>
      </w:pPr>
      <w:r>
        <w:t xml:space="preserve">Le fonds suisse </w:t>
      </w:r>
      <w:r w:rsidRPr="000A36E4">
        <w:rPr>
          <w:b/>
        </w:rPr>
        <w:t>G</w:t>
      </w:r>
      <w:r w:rsidRPr="003D1783">
        <w:rPr>
          <w:b/>
          <w:bCs/>
        </w:rPr>
        <w:t>ingko</w:t>
      </w:r>
      <w:r>
        <w:t xml:space="preserve"> a été créé en 2010 à l’initiative du Groupe Edmond de Rothschild. Ginkgo 3 qui fait suite à Ginkgo 1 (2010) et Ginkgo 2 (2016) a clôturé un tour de table à 180 M€ début 2021 avec des investisseurs intentionnels comme la Banque des Territoires, ainsi que des investisseurs privés comme la MAIF, Allianz France. </w:t>
      </w:r>
      <w:r w:rsidRPr="00D91B03">
        <w:t>Ginkgo vise un montant d’engagements total de 350 millions d’euros levés pour l'automne 2021.</w:t>
      </w:r>
      <w:r>
        <w:t xml:space="preserve"> Les projets du fonds sont en Espagne, en Belgique et en France. A ce jour, il n’y a pas de projets soutenus par le fonds dans les Hauts-de-France.</w:t>
      </w:r>
    </w:p>
    <w:p w14:paraId="190A0A6D" w14:textId="5A4ABC1B" w:rsidR="00421600" w:rsidRDefault="00421600" w:rsidP="00835E5E">
      <w:pPr>
        <w:pStyle w:val="BodyText"/>
      </w:pPr>
      <w:r w:rsidRPr="00020D3B">
        <w:t xml:space="preserve">Depuis 2006, </w:t>
      </w:r>
      <w:proofErr w:type="spellStart"/>
      <w:r w:rsidRPr="00020D3B">
        <w:t>Brownfields</w:t>
      </w:r>
      <w:proofErr w:type="spellEnd"/>
      <w:r w:rsidRPr="00020D3B">
        <w:t xml:space="preserve"> a mené 56 investissements sur l’ensemble du territoire français et en Belgique, de taille variable</w:t>
      </w:r>
      <w:r w:rsidRPr="00904A1A">
        <w:footnoteReference w:id="45"/>
      </w:r>
      <w:r>
        <w:t xml:space="preserve"> dont une </w:t>
      </w:r>
      <w:r w:rsidRPr="00904A1A">
        <w:t>opération en Hauts-de-France à Chambly (Oise).</w:t>
      </w:r>
      <w:r>
        <w:t xml:space="preserve"> </w:t>
      </w:r>
      <w:proofErr w:type="spellStart"/>
      <w:r>
        <w:t>Brownfields</w:t>
      </w:r>
      <w:proofErr w:type="spellEnd"/>
      <w:r>
        <w:t xml:space="preserve"> 3 souhaite réaliser une cinquantaine de projets, avec un montant cible unitaire allant de 5 à 10 M€, soit un investissement annuel de 50 à 60 M€ sur une dizaine de projets.</w:t>
      </w:r>
    </w:p>
    <w:p w14:paraId="5271D7AB" w14:textId="272D26FE" w:rsidR="00835E5E" w:rsidRDefault="00835E5E" w:rsidP="00835E5E">
      <w:pPr>
        <w:pStyle w:val="BodyText"/>
      </w:pPr>
      <w:r>
        <w:t xml:space="preserve">Au cours de nos entretiens avec les deux fonds Gingko et </w:t>
      </w:r>
      <w:proofErr w:type="spellStart"/>
      <w:r>
        <w:t>Brownfields</w:t>
      </w:r>
      <w:proofErr w:type="spellEnd"/>
      <w:r>
        <w:t>, aucune explication particulière n’a été donné</w:t>
      </w:r>
      <w:r w:rsidR="00E7369F">
        <w:t>e</w:t>
      </w:r>
      <w:r>
        <w:t xml:space="preserve"> sur le faible nombre de projets en Hauts-de-France. Les fonds sont intéressés par la Région mais précisent que beaucoup d’acteurs locaux sont déjà positionnés. De plus, pour des raisons de ressources humaines, les projets de </w:t>
      </w:r>
      <w:proofErr w:type="spellStart"/>
      <w:r>
        <w:t>Brownfields</w:t>
      </w:r>
      <w:proofErr w:type="spellEnd"/>
      <w:r>
        <w:t xml:space="preserve"> se concentrent surtout en Ile-de-France, et sur des projets avec un coût de plus de 5 M€.  </w:t>
      </w:r>
    </w:p>
    <w:p w14:paraId="746B8C44" w14:textId="77777777" w:rsidR="00835E5E" w:rsidRDefault="00835E5E" w:rsidP="00835E5E">
      <w:pPr>
        <w:pStyle w:val="BodyText"/>
      </w:pPr>
    </w:p>
    <w:p w14:paraId="5CF1020A" w14:textId="77777777" w:rsidR="00835E5E" w:rsidRDefault="00835E5E" w:rsidP="00835E5E">
      <w:pPr>
        <w:pStyle w:val="BodyText"/>
      </w:pPr>
      <w:r>
        <w:rPr>
          <w:b/>
          <w:bCs/>
        </w:rPr>
        <w:t>Le programme national Territoire d’industries propose une intervention en fonds propres. C</w:t>
      </w:r>
      <w:r w:rsidRPr="002937B3">
        <w:t>ette initiative lancée en 2018 s’inscrit dans une stratégie de l'État de reconquête industrielle et de développement des territoires. Fin 2020, l'initiative est à l'origine de 1600 projets sur 148 territoires et 500 intercommunalités.</w:t>
      </w:r>
      <w:r>
        <w:t xml:space="preserve"> Un des axes du programme est de d’améliorer </w:t>
      </w:r>
      <w:r w:rsidRPr="008E45E0">
        <w:t>l’attractivité</w:t>
      </w:r>
      <w:r>
        <w:t xml:space="preserve"> de l’industrie française</w:t>
      </w:r>
      <w:r w:rsidRPr="008E45E0">
        <w:t>, grâce notamment à l’appui de la Banque des territoires mobilisée en priorité pour l’ingénierie, l’immobilier industriel et le foncier</w:t>
      </w:r>
      <w:r>
        <w:t xml:space="preserve">. La Banque des Territoires propose une offre à destination des collectivités locales ou des EPL d’aménagement pour les opérations de réhabilitation de friches urbaines polluées ou désaffectés. L’offre peut prendre plusieurs formes : </w:t>
      </w:r>
    </w:p>
    <w:p w14:paraId="24E824DB" w14:textId="77777777" w:rsidR="00835E5E" w:rsidRDefault="00835E5E" w:rsidP="00835E5E">
      <w:pPr>
        <w:pStyle w:val="Bullet1"/>
      </w:pPr>
      <w:r>
        <w:t xml:space="preserve">Investissement en fonds propres et quasi-fonds propres dans les sociétés de projet aux côtés du propriétaire, de </w:t>
      </w:r>
      <w:proofErr w:type="spellStart"/>
      <w:r>
        <w:t>co</w:t>
      </w:r>
      <w:proofErr w:type="spellEnd"/>
      <w:r>
        <w:t xml:space="preserve">-investisseurs publics ou privés, ou d’opérateurs aménageurs ou développeurs ; </w:t>
      </w:r>
    </w:p>
    <w:p w14:paraId="78DABC9F" w14:textId="77777777" w:rsidR="00835E5E" w:rsidRDefault="00835E5E" w:rsidP="00835E5E">
      <w:pPr>
        <w:pStyle w:val="Bullet1"/>
      </w:pPr>
      <w:r>
        <w:t>Investissement en fonds propres et quasi-fonds propres dans les SEM aménageurs ou opératrices</w:t>
      </w:r>
    </w:p>
    <w:p w14:paraId="7A832282" w14:textId="77777777" w:rsidR="00835E5E" w:rsidRDefault="00835E5E" w:rsidP="00835E5E">
      <w:pPr>
        <w:pStyle w:val="Bullet1"/>
      </w:pPr>
      <w:r>
        <w:t>Interventions intermédiées via les fonds de dépollution (</w:t>
      </w:r>
      <w:proofErr w:type="spellStart"/>
      <w:r>
        <w:t>Brownfields</w:t>
      </w:r>
      <w:proofErr w:type="spellEnd"/>
      <w:r>
        <w:t>, Ginkgo)</w:t>
      </w:r>
    </w:p>
    <w:p w14:paraId="13CFD415" w14:textId="77777777" w:rsidR="00835E5E" w:rsidRPr="009F4219" w:rsidRDefault="00835E5E" w:rsidP="00835E5E">
      <w:pPr>
        <w:pStyle w:val="Bullet1"/>
      </w:pPr>
      <w:r>
        <w:t>Accompagnement en ingénierie sur les projets identifiés.</w:t>
      </w:r>
    </w:p>
    <w:p w14:paraId="67F6015B" w14:textId="77777777" w:rsidR="00835E5E" w:rsidRDefault="00835E5E" w:rsidP="00835E5E">
      <w:pPr>
        <w:pStyle w:val="BodyText"/>
      </w:pPr>
    </w:p>
    <w:p w14:paraId="2DEF97C9" w14:textId="4C14C6C4" w:rsidR="00B70C7A" w:rsidRDefault="0064198B" w:rsidP="00B70C7A">
      <w:pPr>
        <w:pStyle w:val="Heading3"/>
      </w:pPr>
      <w:bookmarkStart w:id="77" w:name="_Toc93390279"/>
      <w:r>
        <w:t>Bilan de l’offre de financement du recyclage foncier</w:t>
      </w:r>
      <w:bookmarkEnd w:id="77"/>
    </w:p>
    <w:p w14:paraId="7C232647" w14:textId="2F681070" w:rsidR="00C05B15" w:rsidRPr="000A36E4" w:rsidRDefault="00DF61B4" w:rsidP="00B70C7A">
      <w:pPr>
        <w:pStyle w:val="BodyText"/>
        <w:rPr>
          <w:b/>
        </w:rPr>
      </w:pPr>
      <w:r>
        <w:t>Les tendances à l’échelle européenne et nationale pour lutter contre l’artificialisation des sols, impliquent une prise en compte plus importante du sujet de la réhabilitation des friches et le développement d’une offre de financement associée.</w:t>
      </w:r>
      <w:r w:rsidR="00860282">
        <w:t xml:space="preserve"> </w:t>
      </w:r>
      <w:r w:rsidR="00860282" w:rsidRPr="009B5328">
        <w:t xml:space="preserve">Globalement </w:t>
      </w:r>
      <w:r w:rsidR="00860282" w:rsidRPr="009B5328">
        <w:rPr>
          <w:b/>
        </w:rPr>
        <w:t xml:space="preserve">l’offre pour les projets de recyclage foncier existe </w:t>
      </w:r>
      <w:r w:rsidR="00B7673C">
        <w:rPr>
          <w:b/>
        </w:rPr>
        <w:t xml:space="preserve">bien qu’elle puisse apparaître sous-dimensionnée </w:t>
      </w:r>
      <w:r w:rsidR="00B7673C" w:rsidRPr="00DD3EE3">
        <w:rPr>
          <w:bCs/>
        </w:rPr>
        <w:t>(</w:t>
      </w:r>
      <w:r w:rsidR="00B7673C">
        <w:rPr>
          <w:bCs/>
        </w:rPr>
        <w:t xml:space="preserve">voir Section suivante </w:t>
      </w:r>
      <w:r w:rsidR="00B7673C">
        <w:rPr>
          <w:bCs/>
        </w:rPr>
        <w:fldChar w:fldCharType="begin"/>
      </w:r>
      <w:r w:rsidR="00B7673C">
        <w:rPr>
          <w:bCs/>
        </w:rPr>
        <w:instrText xml:space="preserve"> REF _Ref94026601 \r \h </w:instrText>
      </w:r>
      <w:r w:rsidR="00B7673C">
        <w:rPr>
          <w:bCs/>
        </w:rPr>
      </w:r>
      <w:r w:rsidR="00B7673C">
        <w:rPr>
          <w:bCs/>
        </w:rPr>
        <w:fldChar w:fldCharType="separate"/>
      </w:r>
      <w:r w:rsidR="00B7673C">
        <w:rPr>
          <w:bCs/>
        </w:rPr>
        <w:t>2.3</w:t>
      </w:r>
      <w:r w:rsidR="00B7673C">
        <w:rPr>
          <w:bCs/>
        </w:rPr>
        <w:fldChar w:fldCharType="end"/>
      </w:r>
      <w:r w:rsidR="00B7673C">
        <w:rPr>
          <w:bCs/>
        </w:rPr>
        <w:t>)</w:t>
      </w:r>
      <w:r w:rsidR="00C05B15" w:rsidRPr="009B5328">
        <w:rPr>
          <w:b/>
        </w:rPr>
        <w:t>.</w:t>
      </w:r>
    </w:p>
    <w:p w14:paraId="6B8077C3" w14:textId="0FD7E109" w:rsidR="00C47D19" w:rsidRDefault="00B70C7A" w:rsidP="00B70C7A">
      <w:pPr>
        <w:pStyle w:val="BodyText"/>
      </w:pPr>
      <w:r>
        <w:t xml:space="preserve">L’offre de financement </w:t>
      </w:r>
      <w:r w:rsidR="00946591">
        <w:t>à</w:t>
      </w:r>
      <w:r>
        <w:t xml:space="preserve"> </w:t>
      </w:r>
      <w:r w:rsidR="00C47D19">
        <w:t>destination</w:t>
      </w:r>
      <w:r>
        <w:t xml:space="preserve"> des projets de réhabilitation de friches est </w:t>
      </w:r>
      <w:r w:rsidR="003461EA">
        <w:t xml:space="preserve">en effet </w:t>
      </w:r>
      <w:r>
        <w:t xml:space="preserve">plutôt </w:t>
      </w:r>
      <w:r w:rsidRPr="003C5A97">
        <w:rPr>
          <w:b/>
        </w:rPr>
        <w:t>fournie</w:t>
      </w:r>
      <w:r w:rsidR="00507027">
        <w:t xml:space="preserve"> et </w:t>
      </w:r>
      <w:r w:rsidR="00507027" w:rsidRPr="003C5A97">
        <w:rPr>
          <w:b/>
        </w:rPr>
        <w:t>diversifiée</w:t>
      </w:r>
      <w:r>
        <w:t>. La Banque des Territoires a proposé de nouveaux dispositifs ces dernières années (Action Cœur de Villes, Petites Villes de Demain</w:t>
      </w:r>
      <w:r w:rsidR="0057761E">
        <w:t>,</w:t>
      </w:r>
      <w:r>
        <w:t xml:space="preserve"> …) qui peuvent permettre de </w:t>
      </w:r>
      <w:r w:rsidR="004141CB">
        <w:t>financer l’émergence de projets de réhabilitation</w:t>
      </w:r>
      <w:r w:rsidR="00EF6A47">
        <w:t xml:space="preserve"> de friches</w:t>
      </w:r>
      <w:r w:rsidR="004141CB">
        <w:t xml:space="preserve">. Le gouvernement a également largement abondé le Fonds Friches du Plan de Relance. Les montants alloués au fonds ont été doublé en mai 2021 </w:t>
      </w:r>
      <w:r w:rsidR="00FA3867">
        <w:t>à la suite de</w:t>
      </w:r>
      <w:r w:rsidR="00C47D19">
        <w:t xml:space="preserve"> la forte demande de la part des porteurs projets et aux nombres de projets reçus.</w:t>
      </w:r>
      <w:r w:rsidR="00211D4F">
        <w:t xml:space="preserve"> </w:t>
      </w:r>
    </w:p>
    <w:p w14:paraId="3A7F6B5A" w14:textId="77777777" w:rsidR="00EB6FB9" w:rsidRDefault="00EB6FB9" w:rsidP="00EB6FB9">
      <w:pPr>
        <w:pStyle w:val="BodyText"/>
      </w:pPr>
    </w:p>
    <w:p w14:paraId="45462ABF" w14:textId="77777777" w:rsidR="00211D4F" w:rsidRDefault="00EB6FB9" w:rsidP="00B70C7A">
      <w:pPr>
        <w:pStyle w:val="BodyText"/>
      </w:pPr>
      <w:r>
        <w:t>On</w:t>
      </w:r>
      <w:r w:rsidR="00065971">
        <w:t xml:space="preserve"> observe sur la période 2014-2020 une consommation complète des dotations </w:t>
      </w:r>
      <w:r w:rsidR="00037FAC">
        <w:t xml:space="preserve">FEDER allouées au recyclage foncier, dans des opérations atteignant les montants totaux anticipés.  </w:t>
      </w:r>
    </w:p>
    <w:p w14:paraId="2FE2AD11" w14:textId="464B60B2" w:rsidR="003C5A97" w:rsidRDefault="003C5A97" w:rsidP="003C5A97">
      <w:pPr>
        <w:pStyle w:val="Caption"/>
      </w:pPr>
      <w:bookmarkStart w:id="78" w:name="_Toc88842099"/>
      <w:r>
        <w:t xml:space="preserve">Tableau </w:t>
      </w:r>
      <w:r>
        <w:rPr>
          <w:color w:val="2B579A"/>
          <w:shd w:val="clear" w:color="auto" w:fill="E6E6E6"/>
        </w:rPr>
        <w:fldChar w:fldCharType="begin"/>
      </w:r>
      <w:r>
        <w:instrText xml:space="preserve"> SEQ Tableau \* ARABIC </w:instrText>
      </w:r>
      <w:r>
        <w:rPr>
          <w:color w:val="2B579A"/>
          <w:shd w:val="clear" w:color="auto" w:fill="E6E6E6"/>
        </w:rPr>
        <w:fldChar w:fldCharType="separate"/>
      </w:r>
      <w:r w:rsidR="009F0282">
        <w:rPr>
          <w:noProof/>
        </w:rPr>
        <w:t>7</w:t>
      </w:r>
      <w:r>
        <w:rPr>
          <w:color w:val="2B579A"/>
          <w:shd w:val="clear" w:color="auto" w:fill="E6E6E6"/>
        </w:rPr>
        <w:fldChar w:fldCharType="end"/>
      </w:r>
      <w:r>
        <w:t xml:space="preserve"> Montants maquettés et consommés au titre de la priorité 6e (</w:t>
      </w:r>
      <w:r w:rsidR="00A20CD2">
        <w:t>réhabilitation du foncier</w:t>
      </w:r>
      <w:r>
        <w:t>) des PO FEDER Nord-Pas-de-Calais et Picardie 2014-2020</w:t>
      </w:r>
      <w:bookmarkEnd w:id="78"/>
    </w:p>
    <w:tbl>
      <w:tblPr>
        <w:tblStyle w:val="TechnopolisTable1"/>
        <w:tblW w:w="0" w:type="auto"/>
        <w:tblLook w:val="04A0" w:firstRow="1" w:lastRow="0" w:firstColumn="1" w:lastColumn="0" w:noHBand="0" w:noVBand="1"/>
      </w:tblPr>
      <w:tblGrid>
        <w:gridCol w:w="805"/>
        <w:gridCol w:w="1450"/>
        <w:gridCol w:w="1518"/>
        <w:gridCol w:w="1214"/>
        <w:gridCol w:w="1417"/>
        <w:gridCol w:w="1485"/>
        <w:gridCol w:w="1173"/>
      </w:tblGrid>
      <w:tr w:rsidR="00FE5981" w14:paraId="47F08B50" w14:textId="77777777" w:rsidTr="00743E55">
        <w:trPr>
          <w:cnfStyle w:val="100000000000" w:firstRow="1" w:lastRow="0" w:firstColumn="0" w:lastColumn="0" w:oddVBand="0" w:evenVBand="0" w:oddHBand="0" w:evenHBand="0" w:firstRowFirstColumn="0" w:firstRowLastColumn="0" w:lastRowFirstColumn="0" w:lastRowLastColumn="0"/>
        </w:trPr>
        <w:tc>
          <w:tcPr>
            <w:tcW w:w="0" w:type="auto"/>
          </w:tcPr>
          <w:p w14:paraId="26162A30" w14:textId="77777777" w:rsidR="00FE5981" w:rsidRDefault="00FE5981" w:rsidP="00743E55">
            <w:pPr>
              <w:pStyle w:val="Tabletext"/>
            </w:pPr>
            <w:r>
              <w:t>PO</w:t>
            </w:r>
          </w:p>
        </w:tc>
        <w:tc>
          <w:tcPr>
            <w:tcW w:w="0" w:type="auto"/>
          </w:tcPr>
          <w:p w14:paraId="3B5D3214" w14:textId="77777777" w:rsidR="00FE5981" w:rsidRDefault="00FE5981" w:rsidP="00743E55">
            <w:pPr>
              <w:pStyle w:val="Tabletext"/>
            </w:pPr>
            <w:r>
              <w:t>Montant total maquetté (révisé en 2019)</w:t>
            </w:r>
          </w:p>
        </w:tc>
        <w:tc>
          <w:tcPr>
            <w:tcW w:w="0" w:type="auto"/>
          </w:tcPr>
          <w:p w14:paraId="0156FD6A" w14:textId="77777777" w:rsidR="00FE5981" w:rsidRDefault="00FE5981" w:rsidP="00743E55">
            <w:pPr>
              <w:pStyle w:val="Tabletext"/>
            </w:pPr>
            <w:r>
              <w:t>Montant total programmé (07/2021)</w:t>
            </w:r>
          </w:p>
        </w:tc>
        <w:tc>
          <w:tcPr>
            <w:tcW w:w="0" w:type="auto"/>
          </w:tcPr>
          <w:p w14:paraId="01447E50" w14:textId="77777777" w:rsidR="00FE5981" w:rsidRDefault="00FE5981" w:rsidP="00743E55">
            <w:pPr>
              <w:pStyle w:val="Tabletext"/>
              <w:rPr>
                <w:b w:val="0"/>
              </w:rPr>
            </w:pPr>
            <w:r>
              <w:t>% programmé/</w:t>
            </w:r>
          </w:p>
          <w:p w14:paraId="3BAE7C62" w14:textId="77777777" w:rsidR="00FE5981" w:rsidRDefault="00FE5981" w:rsidP="00743E55">
            <w:pPr>
              <w:pStyle w:val="Tabletext"/>
            </w:pPr>
            <w:r>
              <w:t>maquetté</w:t>
            </w:r>
          </w:p>
        </w:tc>
        <w:tc>
          <w:tcPr>
            <w:tcW w:w="0" w:type="auto"/>
          </w:tcPr>
          <w:p w14:paraId="2FE69F38" w14:textId="77777777" w:rsidR="00FE5981" w:rsidRDefault="00FE5981" w:rsidP="00743E55">
            <w:pPr>
              <w:pStyle w:val="Tabletext"/>
            </w:pPr>
            <w:r>
              <w:t>Montant UE maquetté (révisé en 2019)</w:t>
            </w:r>
          </w:p>
        </w:tc>
        <w:tc>
          <w:tcPr>
            <w:tcW w:w="0" w:type="auto"/>
          </w:tcPr>
          <w:p w14:paraId="3D76E9E1" w14:textId="77777777" w:rsidR="00FE5981" w:rsidRDefault="00FE5981" w:rsidP="00743E55">
            <w:pPr>
              <w:pStyle w:val="Tabletext"/>
            </w:pPr>
            <w:r>
              <w:t>Montant UE programmé (07/2021)</w:t>
            </w:r>
          </w:p>
        </w:tc>
        <w:tc>
          <w:tcPr>
            <w:tcW w:w="0" w:type="auto"/>
          </w:tcPr>
          <w:p w14:paraId="15F741F8" w14:textId="77777777" w:rsidR="00FE5981" w:rsidRDefault="00FE5981" w:rsidP="00743E55">
            <w:pPr>
              <w:pStyle w:val="Tabletext"/>
              <w:rPr>
                <w:b w:val="0"/>
              </w:rPr>
            </w:pPr>
            <w:r>
              <w:t>%</w:t>
            </w:r>
          </w:p>
          <w:p w14:paraId="49AA89C8" w14:textId="77777777" w:rsidR="00FE5981" w:rsidRDefault="00FE5981" w:rsidP="00743E55">
            <w:pPr>
              <w:pStyle w:val="Tabletext"/>
              <w:rPr>
                <w:b w:val="0"/>
              </w:rPr>
            </w:pPr>
            <w:r>
              <w:t>Programmé/</w:t>
            </w:r>
          </w:p>
          <w:p w14:paraId="2E748A76" w14:textId="77777777" w:rsidR="00FE5981" w:rsidRDefault="00FE5981" w:rsidP="00743E55">
            <w:pPr>
              <w:pStyle w:val="Tabletext"/>
            </w:pPr>
            <w:r>
              <w:t>maquetté</w:t>
            </w:r>
          </w:p>
        </w:tc>
      </w:tr>
      <w:tr w:rsidR="00FE5981" w14:paraId="33437000" w14:textId="77777777" w:rsidTr="00743E55">
        <w:trPr>
          <w:cnfStyle w:val="000000100000" w:firstRow="0" w:lastRow="0" w:firstColumn="0" w:lastColumn="0" w:oddVBand="0" w:evenVBand="0" w:oddHBand="1" w:evenHBand="0" w:firstRowFirstColumn="0" w:firstRowLastColumn="0" w:lastRowFirstColumn="0" w:lastRowLastColumn="0"/>
        </w:trPr>
        <w:tc>
          <w:tcPr>
            <w:tcW w:w="0" w:type="auto"/>
          </w:tcPr>
          <w:p w14:paraId="721D499C" w14:textId="77777777" w:rsidR="00FE5981" w:rsidRDefault="00FE5981" w:rsidP="00743E55">
            <w:pPr>
              <w:pStyle w:val="Tabletext"/>
            </w:pPr>
            <w:proofErr w:type="spellStart"/>
            <w:r>
              <w:t>NPdC</w:t>
            </w:r>
            <w:proofErr w:type="spellEnd"/>
          </w:p>
        </w:tc>
        <w:tc>
          <w:tcPr>
            <w:tcW w:w="0" w:type="auto"/>
          </w:tcPr>
          <w:p w14:paraId="689DE5CC" w14:textId="77777777" w:rsidR="00FE5981" w:rsidRDefault="00C74DB5" w:rsidP="00743E55">
            <w:pPr>
              <w:pStyle w:val="Tabletext"/>
            </w:pPr>
            <w:r>
              <w:t>50</w:t>
            </w:r>
            <w:r w:rsidR="00FE5981">
              <w:t>M€</w:t>
            </w:r>
          </w:p>
        </w:tc>
        <w:tc>
          <w:tcPr>
            <w:tcW w:w="0" w:type="auto"/>
          </w:tcPr>
          <w:p w14:paraId="0C85B454" w14:textId="77777777" w:rsidR="00FE5981" w:rsidRDefault="00331AA1" w:rsidP="00743E55">
            <w:pPr>
              <w:pStyle w:val="Tabletext"/>
            </w:pPr>
            <w:r>
              <w:t>44,5</w:t>
            </w:r>
            <w:r w:rsidR="00FE5981">
              <w:t>M€</w:t>
            </w:r>
          </w:p>
        </w:tc>
        <w:tc>
          <w:tcPr>
            <w:tcW w:w="0" w:type="auto"/>
          </w:tcPr>
          <w:p w14:paraId="0063BF9B" w14:textId="77777777" w:rsidR="00FE5981" w:rsidRDefault="005A07BD" w:rsidP="00743E55">
            <w:pPr>
              <w:pStyle w:val="Tabletext"/>
            </w:pPr>
            <w:r>
              <w:t>89</w:t>
            </w:r>
            <w:r w:rsidR="00FE5981">
              <w:t>%</w:t>
            </w:r>
          </w:p>
        </w:tc>
        <w:tc>
          <w:tcPr>
            <w:tcW w:w="0" w:type="auto"/>
          </w:tcPr>
          <w:p w14:paraId="0DBA3C8F" w14:textId="77777777" w:rsidR="00FE5981" w:rsidRDefault="00FE5981" w:rsidP="00743E55">
            <w:pPr>
              <w:pStyle w:val="Tabletext"/>
            </w:pPr>
            <w:r>
              <w:t>3</w:t>
            </w:r>
            <w:r w:rsidR="00331AA1">
              <w:t>5</w:t>
            </w:r>
            <w:r>
              <w:t>M€</w:t>
            </w:r>
          </w:p>
        </w:tc>
        <w:tc>
          <w:tcPr>
            <w:tcW w:w="0" w:type="auto"/>
          </w:tcPr>
          <w:p w14:paraId="3CB1E39D" w14:textId="77777777" w:rsidR="00FE5981" w:rsidRDefault="00331AA1" w:rsidP="00743E55">
            <w:pPr>
              <w:pStyle w:val="Tabletext"/>
            </w:pPr>
            <w:r>
              <w:t>33</w:t>
            </w:r>
            <w:r w:rsidR="00FE5981">
              <w:t>M€</w:t>
            </w:r>
          </w:p>
        </w:tc>
        <w:tc>
          <w:tcPr>
            <w:tcW w:w="0" w:type="auto"/>
          </w:tcPr>
          <w:p w14:paraId="0F75BF95" w14:textId="77777777" w:rsidR="00FE5981" w:rsidRDefault="00065971" w:rsidP="00743E55">
            <w:pPr>
              <w:pStyle w:val="Tabletext"/>
            </w:pPr>
            <w:r>
              <w:t>94</w:t>
            </w:r>
            <w:r w:rsidR="00FE5981">
              <w:t>%</w:t>
            </w:r>
          </w:p>
        </w:tc>
      </w:tr>
      <w:tr w:rsidR="00FE5981" w14:paraId="3C67506D" w14:textId="77777777" w:rsidTr="00743E55">
        <w:trPr>
          <w:cnfStyle w:val="000000010000" w:firstRow="0" w:lastRow="0" w:firstColumn="0" w:lastColumn="0" w:oddVBand="0" w:evenVBand="0" w:oddHBand="0" w:evenHBand="1" w:firstRowFirstColumn="0" w:firstRowLastColumn="0" w:lastRowFirstColumn="0" w:lastRowLastColumn="0"/>
        </w:trPr>
        <w:tc>
          <w:tcPr>
            <w:tcW w:w="0" w:type="auto"/>
          </w:tcPr>
          <w:p w14:paraId="3D2C84AB" w14:textId="77777777" w:rsidR="00FE5981" w:rsidRDefault="00FE5981" w:rsidP="00743E55">
            <w:pPr>
              <w:pStyle w:val="Tabletext"/>
            </w:pPr>
            <w:r>
              <w:t>Picardie</w:t>
            </w:r>
          </w:p>
        </w:tc>
        <w:tc>
          <w:tcPr>
            <w:tcW w:w="0" w:type="auto"/>
          </w:tcPr>
          <w:p w14:paraId="6FEA77B3" w14:textId="77777777" w:rsidR="00FE5981" w:rsidRDefault="00FE5981" w:rsidP="00743E55">
            <w:pPr>
              <w:pStyle w:val="Tabletext"/>
            </w:pPr>
            <w:r>
              <w:t>12,75M€</w:t>
            </w:r>
          </w:p>
        </w:tc>
        <w:tc>
          <w:tcPr>
            <w:tcW w:w="0" w:type="auto"/>
          </w:tcPr>
          <w:p w14:paraId="10FEF73B" w14:textId="77777777" w:rsidR="00FE5981" w:rsidRDefault="007A0CA6" w:rsidP="00743E55">
            <w:pPr>
              <w:pStyle w:val="Tabletext"/>
            </w:pPr>
            <w:r>
              <w:t>18,5</w:t>
            </w:r>
            <w:r w:rsidR="00FE5981">
              <w:t>M€</w:t>
            </w:r>
          </w:p>
        </w:tc>
        <w:tc>
          <w:tcPr>
            <w:tcW w:w="0" w:type="auto"/>
          </w:tcPr>
          <w:p w14:paraId="205F46D0" w14:textId="77777777" w:rsidR="00FE5981" w:rsidRDefault="004B6DC2" w:rsidP="00743E55">
            <w:pPr>
              <w:pStyle w:val="Tabletext"/>
            </w:pPr>
            <w:r>
              <w:t>145</w:t>
            </w:r>
            <w:r w:rsidR="00FE5981">
              <w:t>%</w:t>
            </w:r>
          </w:p>
        </w:tc>
        <w:tc>
          <w:tcPr>
            <w:tcW w:w="0" w:type="auto"/>
          </w:tcPr>
          <w:p w14:paraId="022C4BC5" w14:textId="77777777" w:rsidR="00FE5981" w:rsidRDefault="00FE5981" w:rsidP="00743E55">
            <w:pPr>
              <w:pStyle w:val="Tabletext"/>
            </w:pPr>
            <w:r>
              <w:t>4M€</w:t>
            </w:r>
          </w:p>
        </w:tc>
        <w:tc>
          <w:tcPr>
            <w:tcW w:w="0" w:type="auto"/>
          </w:tcPr>
          <w:p w14:paraId="78636C80" w14:textId="77777777" w:rsidR="00FE5981" w:rsidRDefault="007A0CA6" w:rsidP="00743E55">
            <w:pPr>
              <w:pStyle w:val="Tabletext"/>
            </w:pPr>
            <w:r>
              <w:t>5,5</w:t>
            </w:r>
            <w:r w:rsidR="00FE5981">
              <w:t>M€</w:t>
            </w:r>
          </w:p>
        </w:tc>
        <w:tc>
          <w:tcPr>
            <w:tcW w:w="0" w:type="auto"/>
          </w:tcPr>
          <w:p w14:paraId="19466397" w14:textId="77777777" w:rsidR="00FE5981" w:rsidRDefault="00065971" w:rsidP="00743E55">
            <w:pPr>
              <w:pStyle w:val="Tabletext"/>
            </w:pPr>
            <w:r>
              <w:t>137</w:t>
            </w:r>
            <w:r w:rsidR="00FE5981">
              <w:t>%</w:t>
            </w:r>
          </w:p>
        </w:tc>
      </w:tr>
      <w:tr w:rsidR="00FE5981" w14:paraId="06CAE723" w14:textId="77777777" w:rsidTr="00743E55">
        <w:trPr>
          <w:cnfStyle w:val="000000100000" w:firstRow="0" w:lastRow="0" w:firstColumn="0" w:lastColumn="0" w:oddVBand="0" w:evenVBand="0" w:oddHBand="1" w:evenHBand="0" w:firstRowFirstColumn="0" w:firstRowLastColumn="0" w:lastRowFirstColumn="0" w:lastRowLastColumn="0"/>
        </w:trPr>
        <w:tc>
          <w:tcPr>
            <w:tcW w:w="0" w:type="auto"/>
          </w:tcPr>
          <w:p w14:paraId="628544C1" w14:textId="77777777" w:rsidR="00FE5981" w:rsidRDefault="00FE5981" w:rsidP="00743E55">
            <w:pPr>
              <w:pStyle w:val="Tabletext"/>
            </w:pPr>
            <w:r>
              <w:t xml:space="preserve">Total </w:t>
            </w:r>
            <w:proofErr w:type="spellStart"/>
            <w:r>
              <w:t>HdF</w:t>
            </w:r>
            <w:proofErr w:type="spellEnd"/>
          </w:p>
        </w:tc>
        <w:tc>
          <w:tcPr>
            <w:tcW w:w="0" w:type="auto"/>
          </w:tcPr>
          <w:p w14:paraId="2DAB942E" w14:textId="77777777" w:rsidR="00FE5981" w:rsidRDefault="007A0CA6" w:rsidP="00743E55">
            <w:pPr>
              <w:pStyle w:val="Tabletext"/>
            </w:pPr>
            <w:r>
              <w:t>62,75</w:t>
            </w:r>
            <w:r w:rsidR="00FE5981">
              <w:t>M€</w:t>
            </w:r>
          </w:p>
        </w:tc>
        <w:tc>
          <w:tcPr>
            <w:tcW w:w="0" w:type="auto"/>
          </w:tcPr>
          <w:p w14:paraId="2A606A0D" w14:textId="77777777" w:rsidR="00FE5981" w:rsidRDefault="007F21C1" w:rsidP="00743E55">
            <w:pPr>
              <w:pStyle w:val="Tabletext"/>
            </w:pPr>
            <w:r>
              <w:t>63</w:t>
            </w:r>
            <w:r w:rsidR="00FE5981">
              <w:t>M€</w:t>
            </w:r>
          </w:p>
        </w:tc>
        <w:tc>
          <w:tcPr>
            <w:tcW w:w="0" w:type="auto"/>
          </w:tcPr>
          <w:p w14:paraId="4FD1372F" w14:textId="77777777" w:rsidR="00FE5981" w:rsidRDefault="004B6DC2" w:rsidP="00743E55">
            <w:pPr>
              <w:pStyle w:val="Tabletext"/>
            </w:pPr>
            <w:r>
              <w:t>100</w:t>
            </w:r>
            <w:r w:rsidR="00FE5981">
              <w:t>%</w:t>
            </w:r>
          </w:p>
        </w:tc>
        <w:tc>
          <w:tcPr>
            <w:tcW w:w="0" w:type="auto"/>
          </w:tcPr>
          <w:p w14:paraId="283EE456" w14:textId="77777777" w:rsidR="00FE5981" w:rsidRDefault="007F21C1" w:rsidP="00743E55">
            <w:pPr>
              <w:pStyle w:val="Tabletext"/>
            </w:pPr>
            <w:r>
              <w:t>39</w:t>
            </w:r>
            <w:r w:rsidR="00FE5981">
              <w:t>M€</w:t>
            </w:r>
          </w:p>
        </w:tc>
        <w:tc>
          <w:tcPr>
            <w:tcW w:w="0" w:type="auto"/>
          </w:tcPr>
          <w:p w14:paraId="0FCA7E0D" w14:textId="77777777" w:rsidR="00FE5981" w:rsidRDefault="007F21C1" w:rsidP="00743E55">
            <w:pPr>
              <w:pStyle w:val="Tabletext"/>
            </w:pPr>
            <w:r>
              <w:t>38,5</w:t>
            </w:r>
            <w:r w:rsidR="00FE5981">
              <w:t>M€</w:t>
            </w:r>
          </w:p>
        </w:tc>
        <w:tc>
          <w:tcPr>
            <w:tcW w:w="0" w:type="auto"/>
          </w:tcPr>
          <w:p w14:paraId="66528526" w14:textId="77777777" w:rsidR="00FE5981" w:rsidRDefault="00065971" w:rsidP="00743E55">
            <w:pPr>
              <w:pStyle w:val="Tabletext"/>
            </w:pPr>
            <w:r>
              <w:t>99</w:t>
            </w:r>
            <w:r w:rsidR="00FE5981">
              <w:t>%</w:t>
            </w:r>
          </w:p>
        </w:tc>
      </w:tr>
    </w:tbl>
    <w:p w14:paraId="3111E582" w14:textId="77777777" w:rsidR="003C5A97" w:rsidRDefault="003C5A97" w:rsidP="00B70C7A">
      <w:pPr>
        <w:pStyle w:val="BodyText"/>
      </w:pPr>
    </w:p>
    <w:p w14:paraId="169E841F" w14:textId="77777777" w:rsidR="00B70C7A" w:rsidRDefault="00C47D19" w:rsidP="00B70C7A">
      <w:pPr>
        <w:pStyle w:val="BodyText"/>
      </w:pPr>
      <w:r>
        <w:t xml:space="preserve">Concernant </w:t>
      </w:r>
      <w:r w:rsidRPr="00A45EB0">
        <w:t>l’offre de prêt, elle est portée par la Caisse des Dépôts</w:t>
      </w:r>
      <w:r>
        <w:t xml:space="preserve">. </w:t>
      </w:r>
      <w:r w:rsidRPr="00A45EB0">
        <w:t>Les promoteurs privés qui réhabilitent des friches mobilisent majoritairement leurs propres fonds propres pour ce type de projets.</w:t>
      </w:r>
    </w:p>
    <w:p w14:paraId="5A3F4F35" w14:textId="77777777" w:rsidR="007111D8" w:rsidRPr="007111D8" w:rsidRDefault="007111D8" w:rsidP="00B70C7A">
      <w:pPr>
        <w:pStyle w:val="BodyText"/>
      </w:pPr>
      <w:r w:rsidRPr="007111D8">
        <w:t xml:space="preserve">Par ailleurs, il existe des fonds d’investissement </w:t>
      </w:r>
      <w:r w:rsidR="00075400">
        <w:t xml:space="preserve">privés </w:t>
      </w:r>
      <w:r w:rsidRPr="007111D8">
        <w:t>dédié</w:t>
      </w:r>
      <w:r w:rsidR="00075400">
        <w:t>s</w:t>
      </w:r>
      <w:r w:rsidRPr="007111D8">
        <w:t xml:space="preserve"> à la réhabilitation des friches comme le Fonds </w:t>
      </w:r>
      <w:proofErr w:type="spellStart"/>
      <w:r w:rsidRPr="007111D8">
        <w:t>Brownfield</w:t>
      </w:r>
      <w:proofErr w:type="spellEnd"/>
      <w:r w:rsidR="00E708AF">
        <w:t xml:space="preserve"> ou Ginkgo</w:t>
      </w:r>
      <w:r w:rsidRPr="007111D8">
        <w:t xml:space="preserve">, largement abondé par la BEI et la Banque des Territoires. </w:t>
      </w:r>
      <w:r w:rsidR="003224E5" w:rsidRPr="00A45EB0">
        <w:t>Ces</w:t>
      </w:r>
      <w:r w:rsidRPr="00A45EB0">
        <w:t xml:space="preserve"> fonds </w:t>
      </w:r>
      <w:r w:rsidR="003224E5" w:rsidRPr="00A45EB0">
        <w:t>privés</w:t>
      </w:r>
      <w:r w:rsidRPr="00A45EB0">
        <w:t xml:space="preserve"> se positionne</w:t>
      </w:r>
      <w:r w:rsidR="001E22CE" w:rsidRPr="00A45EB0">
        <w:t>nt</w:t>
      </w:r>
      <w:r w:rsidRPr="00A45EB0">
        <w:t xml:space="preserve"> cependant surtout sur des opérations rentables qui exclue</w:t>
      </w:r>
      <w:r w:rsidR="001E22CE" w:rsidRPr="00A45EB0">
        <w:t>nt</w:t>
      </w:r>
      <w:r w:rsidRPr="00A45EB0">
        <w:t xml:space="preserve"> les opérations en zone détendue</w:t>
      </w:r>
      <w:r>
        <w:t xml:space="preserve">. </w:t>
      </w:r>
    </w:p>
    <w:p w14:paraId="15FAB9FC" w14:textId="2CE3D595" w:rsidR="0064198B" w:rsidRDefault="0064198B" w:rsidP="0064198B">
      <w:pPr>
        <w:pStyle w:val="Caption"/>
        <w:ind w:left="0" w:firstLine="0"/>
      </w:pPr>
      <w:bookmarkStart w:id="79" w:name="_Toc88842100"/>
      <w:r>
        <w:t xml:space="preserve">Tableau </w:t>
      </w:r>
      <w:r>
        <w:rPr>
          <w:color w:val="2B579A"/>
          <w:shd w:val="clear" w:color="auto" w:fill="E6E6E6"/>
        </w:rPr>
        <w:fldChar w:fldCharType="begin"/>
      </w:r>
      <w:r>
        <w:instrText xml:space="preserve"> SEQ Tableau \* ARABIC </w:instrText>
      </w:r>
      <w:r>
        <w:rPr>
          <w:color w:val="2B579A"/>
          <w:shd w:val="clear" w:color="auto" w:fill="E6E6E6"/>
        </w:rPr>
        <w:fldChar w:fldCharType="separate"/>
      </w:r>
      <w:r w:rsidR="009F0282">
        <w:rPr>
          <w:noProof/>
        </w:rPr>
        <w:t>8</w:t>
      </w:r>
      <w:r>
        <w:rPr>
          <w:color w:val="2B579A"/>
          <w:shd w:val="clear" w:color="auto" w:fill="E6E6E6"/>
        </w:rPr>
        <w:fldChar w:fldCharType="end"/>
      </w:r>
      <w:r>
        <w:t xml:space="preserve"> AFOM offre de financement du recyclage foncier</w:t>
      </w:r>
      <w:bookmarkEnd w:id="79"/>
    </w:p>
    <w:tbl>
      <w:tblPr>
        <w:tblStyle w:val="TechnopolisLight"/>
        <w:tblW w:w="0" w:type="auto"/>
        <w:tblLook w:val="0480" w:firstRow="0" w:lastRow="0" w:firstColumn="1" w:lastColumn="0" w:noHBand="0" w:noVBand="1"/>
      </w:tblPr>
      <w:tblGrid>
        <w:gridCol w:w="4531"/>
        <w:gridCol w:w="4531"/>
      </w:tblGrid>
      <w:tr w:rsidR="0064198B" w14:paraId="6CB063B9" w14:textId="77777777" w:rsidTr="00D70F6D">
        <w:tc>
          <w:tcPr>
            <w:tcW w:w="4531" w:type="dxa"/>
          </w:tcPr>
          <w:p w14:paraId="4EBDC32D" w14:textId="77777777" w:rsidR="0064198B" w:rsidRPr="00A45EB0" w:rsidRDefault="0064198B" w:rsidP="00D70F6D">
            <w:pPr>
              <w:pStyle w:val="Tabletext"/>
              <w:rPr>
                <w:b/>
                <w:color w:val="000000" w:themeColor="text1"/>
              </w:rPr>
            </w:pPr>
            <w:r w:rsidRPr="00A45EB0">
              <w:rPr>
                <w:b/>
                <w:color w:val="000000" w:themeColor="text1"/>
              </w:rPr>
              <w:t>Forces</w:t>
            </w:r>
          </w:p>
          <w:p w14:paraId="60F56BE3" w14:textId="77777777" w:rsidR="0064198B" w:rsidRPr="00A45EB0" w:rsidRDefault="00A2399B" w:rsidP="00A22B4E">
            <w:pPr>
              <w:pStyle w:val="Tablebullet1"/>
              <w:tabs>
                <w:tab w:val="clear" w:pos="227"/>
              </w:tabs>
              <w:ind w:left="720" w:hanging="360"/>
              <w:rPr>
                <w:color w:val="000000" w:themeColor="text1"/>
              </w:rPr>
            </w:pPr>
            <w:r w:rsidRPr="00A45EB0">
              <w:rPr>
                <w:color w:val="000000" w:themeColor="text1"/>
              </w:rPr>
              <w:t>Des dispositifs de financements disponibles en subvention</w:t>
            </w:r>
            <w:r w:rsidR="003A5032" w:rsidRPr="00A45EB0">
              <w:rPr>
                <w:color w:val="000000" w:themeColor="text1"/>
              </w:rPr>
              <w:t>s</w:t>
            </w:r>
            <w:r w:rsidRPr="00A45EB0">
              <w:rPr>
                <w:color w:val="000000" w:themeColor="text1"/>
              </w:rPr>
              <w:t>, en prêts et en</w:t>
            </w:r>
            <w:r w:rsidR="00B306DA" w:rsidRPr="00A45EB0">
              <w:rPr>
                <w:color w:val="000000" w:themeColor="text1"/>
              </w:rPr>
              <w:t xml:space="preserve"> apport de</w:t>
            </w:r>
            <w:r w:rsidRPr="00A45EB0">
              <w:rPr>
                <w:color w:val="000000" w:themeColor="text1"/>
              </w:rPr>
              <w:t xml:space="preserve"> fonds propres</w:t>
            </w:r>
          </w:p>
          <w:p w14:paraId="4238DBCD" w14:textId="77777777" w:rsidR="006A4C1A" w:rsidRPr="00A45EB0" w:rsidRDefault="006A4C1A" w:rsidP="00A22B4E">
            <w:pPr>
              <w:pStyle w:val="Tablebullet1"/>
              <w:tabs>
                <w:tab w:val="clear" w:pos="227"/>
              </w:tabs>
              <w:ind w:left="720" w:hanging="360"/>
              <w:rPr>
                <w:color w:val="000000" w:themeColor="text1"/>
              </w:rPr>
            </w:pPr>
            <w:r w:rsidRPr="00A45EB0">
              <w:rPr>
                <w:color w:val="000000" w:themeColor="text1"/>
              </w:rPr>
              <w:t>Des acteurs du territoire sensibilisés au sujet des friches du fait du passé industriel du territoire</w:t>
            </w:r>
          </w:p>
          <w:p w14:paraId="1A551660" w14:textId="77777777" w:rsidR="00D24E84" w:rsidRPr="00A45EB0" w:rsidRDefault="00D24E84" w:rsidP="00D24E84">
            <w:pPr>
              <w:pStyle w:val="Tablebullet1"/>
              <w:numPr>
                <w:ilvl w:val="0"/>
                <w:numId w:val="0"/>
              </w:numPr>
              <w:rPr>
                <w:color w:val="000000" w:themeColor="text1"/>
              </w:rPr>
            </w:pPr>
          </w:p>
        </w:tc>
        <w:tc>
          <w:tcPr>
            <w:tcW w:w="4531" w:type="dxa"/>
          </w:tcPr>
          <w:p w14:paraId="4D481E9E" w14:textId="77777777" w:rsidR="0064198B" w:rsidRPr="00A45EB0" w:rsidRDefault="0064198B" w:rsidP="00D70F6D">
            <w:pPr>
              <w:pStyle w:val="Tabletext"/>
              <w:rPr>
                <w:b/>
                <w:color w:val="000000" w:themeColor="text1"/>
              </w:rPr>
            </w:pPr>
            <w:r w:rsidRPr="00A45EB0">
              <w:rPr>
                <w:b/>
                <w:color w:val="000000" w:themeColor="text1"/>
              </w:rPr>
              <w:t>Faiblesses</w:t>
            </w:r>
          </w:p>
          <w:p w14:paraId="62CB60A6" w14:textId="0833574C" w:rsidR="0064198B" w:rsidRPr="00A45EB0" w:rsidRDefault="003A7824" w:rsidP="00A22B4E">
            <w:pPr>
              <w:pStyle w:val="Tablebullet1"/>
              <w:tabs>
                <w:tab w:val="clear" w:pos="227"/>
              </w:tabs>
              <w:ind w:left="720" w:hanging="360"/>
              <w:rPr>
                <w:color w:val="000000" w:themeColor="text1"/>
              </w:rPr>
            </w:pPr>
            <w:r w:rsidRPr="00A45EB0">
              <w:rPr>
                <w:color w:val="000000" w:themeColor="text1"/>
              </w:rPr>
              <w:t xml:space="preserve">Des couts de dépollution </w:t>
            </w:r>
            <w:r w:rsidR="00A2399B" w:rsidRPr="00A45EB0">
              <w:rPr>
                <w:color w:val="000000" w:themeColor="text1"/>
              </w:rPr>
              <w:t>très importants qui pénalisent la rentabilité des opérations</w:t>
            </w:r>
            <w:r w:rsidR="00037FAC" w:rsidRPr="00A45EB0">
              <w:rPr>
                <w:color w:val="000000" w:themeColor="text1"/>
              </w:rPr>
              <w:t xml:space="preserve"> et limite</w:t>
            </w:r>
            <w:r w:rsidR="00330853">
              <w:rPr>
                <w:color w:val="000000" w:themeColor="text1"/>
              </w:rPr>
              <w:t>nt</w:t>
            </w:r>
            <w:r w:rsidR="00037FAC" w:rsidRPr="00A45EB0">
              <w:rPr>
                <w:color w:val="000000" w:themeColor="text1"/>
              </w:rPr>
              <w:t xml:space="preserve"> l’offre privée</w:t>
            </w:r>
          </w:p>
          <w:p w14:paraId="2F47A48F" w14:textId="77777777" w:rsidR="00A2399B" w:rsidRPr="00A45EB0" w:rsidRDefault="00A2399B" w:rsidP="00A22B4E">
            <w:pPr>
              <w:pStyle w:val="Tablebullet1"/>
              <w:tabs>
                <w:tab w:val="clear" w:pos="227"/>
              </w:tabs>
              <w:ind w:left="720" w:hanging="360"/>
              <w:rPr>
                <w:color w:val="000000" w:themeColor="text1"/>
              </w:rPr>
            </w:pPr>
            <w:r w:rsidRPr="00A45EB0">
              <w:rPr>
                <w:color w:val="000000" w:themeColor="text1"/>
              </w:rPr>
              <w:t xml:space="preserve">Des </w:t>
            </w:r>
            <w:r w:rsidR="008D6BBB" w:rsidRPr="00A45EB0">
              <w:rPr>
                <w:color w:val="000000" w:themeColor="text1"/>
              </w:rPr>
              <w:t xml:space="preserve">coûts de déconstruction, </w:t>
            </w:r>
            <w:r w:rsidR="00236E5F" w:rsidRPr="00A45EB0">
              <w:rPr>
                <w:color w:val="000000" w:themeColor="text1"/>
              </w:rPr>
              <w:t>dépollution</w:t>
            </w:r>
            <w:r w:rsidR="008D6BBB" w:rsidRPr="00A45EB0">
              <w:rPr>
                <w:color w:val="000000" w:themeColor="text1"/>
              </w:rPr>
              <w:t xml:space="preserve">, </w:t>
            </w:r>
            <w:r w:rsidR="00236E5F" w:rsidRPr="00A45EB0">
              <w:rPr>
                <w:color w:val="000000" w:themeColor="text1"/>
              </w:rPr>
              <w:t>dés imperméabilisation</w:t>
            </w:r>
            <w:r w:rsidR="008D6BBB" w:rsidRPr="00A45EB0">
              <w:rPr>
                <w:color w:val="000000" w:themeColor="text1"/>
              </w:rPr>
              <w:t xml:space="preserve"> pas toujours connu</w:t>
            </w:r>
            <w:r w:rsidR="00037FAC" w:rsidRPr="00A45EB0">
              <w:rPr>
                <w:color w:val="000000" w:themeColor="text1"/>
              </w:rPr>
              <w:t>s</w:t>
            </w:r>
            <w:r w:rsidR="008D6BBB" w:rsidRPr="00A45EB0">
              <w:rPr>
                <w:color w:val="000000" w:themeColor="text1"/>
              </w:rPr>
              <w:t xml:space="preserve"> lors de l’acquisition</w:t>
            </w:r>
            <w:r w:rsidR="00236E5F" w:rsidRPr="00A45EB0">
              <w:rPr>
                <w:color w:val="000000" w:themeColor="text1"/>
              </w:rPr>
              <w:t xml:space="preserve"> </w:t>
            </w:r>
            <w:r w:rsidR="00037FAC" w:rsidRPr="00A45EB0">
              <w:rPr>
                <w:color w:val="000000" w:themeColor="text1"/>
              </w:rPr>
              <w:t>pouvant limiter le développement d’une offre ad hoc</w:t>
            </w:r>
          </w:p>
          <w:p w14:paraId="6A80DD22" w14:textId="77777777" w:rsidR="00A2399B" w:rsidRPr="00A45EB0" w:rsidRDefault="00A2399B" w:rsidP="00A22B4E">
            <w:pPr>
              <w:pStyle w:val="Tablebullet1"/>
              <w:tabs>
                <w:tab w:val="clear" w:pos="227"/>
              </w:tabs>
              <w:ind w:left="720" w:hanging="360"/>
              <w:rPr>
                <w:color w:val="000000" w:themeColor="text1"/>
              </w:rPr>
            </w:pPr>
            <w:r w:rsidRPr="00A45EB0">
              <w:rPr>
                <w:color w:val="000000" w:themeColor="text1"/>
              </w:rPr>
              <w:t xml:space="preserve">Un </w:t>
            </w:r>
            <w:r w:rsidR="006C4A7A" w:rsidRPr="00A45EB0">
              <w:rPr>
                <w:color w:val="000000" w:themeColor="text1"/>
              </w:rPr>
              <w:t>intérêt</w:t>
            </w:r>
            <w:r w:rsidRPr="00A45EB0">
              <w:rPr>
                <w:color w:val="000000" w:themeColor="text1"/>
              </w:rPr>
              <w:t xml:space="preserve"> encore limité des opérateurs privés pour financer la réhabilitation de friches du fait </w:t>
            </w:r>
            <w:r w:rsidR="006C4A7A" w:rsidRPr="00A45EB0">
              <w:rPr>
                <w:color w:val="000000" w:themeColor="text1"/>
              </w:rPr>
              <w:t>d’une rentabilité faible</w:t>
            </w:r>
          </w:p>
        </w:tc>
      </w:tr>
      <w:tr w:rsidR="0064198B" w14:paraId="5F86A388" w14:textId="77777777" w:rsidTr="00D70F6D">
        <w:tc>
          <w:tcPr>
            <w:tcW w:w="4531" w:type="dxa"/>
          </w:tcPr>
          <w:p w14:paraId="45EEB282" w14:textId="77777777" w:rsidR="0064198B" w:rsidRPr="00A45EB0" w:rsidRDefault="0064198B" w:rsidP="00D70F6D">
            <w:pPr>
              <w:pStyle w:val="Tabletext"/>
              <w:rPr>
                <w:b/>
                <w:color w:val="000000" w:themeColor="text1"/>
              </w:rPr>
            </w:pPr>
            <w:r w:rsidRPr="00A45EB0">
              <w:rPr>
                <w:b/>
                <w:color w:val="000000" w:themeColor="text1"/>
              </w:rPr>
              <w:t>Opportunités</w:t>
            </w:r>
          </w:p>
          <w:p w14:paraId="7142FA44" w14:textId="77777777" w:rsidR="0064198B" w:rsidRPr="00A45EB0" w:rsidRDefault="003A7824" w:rsidP="00A22B4E">
            <w:pPr>
              <w:pStyle w:val="Tablebullet1"/>
              <w:tabs>
                <w:tab w:val="clear" w:pos="227"/>
              </w:tabs>
              <w:ind w:left="720" w:hanging="360"/>
              <w:rPr>
                <w:color w:val="000000" w:themeColor="text1"/>
              </w:rPr>
            </w:pPr>
            <w:r w:rsidRPr="00A45EB0">
              <w:rPr>
                <w:color w:val="000000" w:themeColor="text1"/>
              </w:rPr>
              <w:t xml:space="preserve">Une priorité </w:t>
            </w:r>
            <w:r w:rsidR="00A2399B" w:rsidRPr="00A45EB0">
              <w:rPr>
                <w:color w:val="000000" w:themeColor="text1"/>
              </w:rPr>
              <w:t xml:space="preserve">et des financements importants pour la réhabilitation des friches dans le plan de relance </w:t>
            </w:r>
          </w:p>
          <w:p w14:paraId="31880920" w14:textId="77777777" w:rsidR="006C4A7A" w:rsidRPr="00A45EB0" w:rsidRDefault="006C4A7A" w:rsidP="00A22B4E">
            <w:pPr>
              <w:pStyle w:val="Tablebullet1"/>
              <w:tabs>
                <w:tab w:val="clear" w:pos="227"/>
              </w:tabs>
              <w:ind w:left="720" w:hanging="360"/>
              <w:rPr>
                <w:color w:val="000000" w:themeColor="text1"/>
              </w:rPr>
            </w:pPr>
            <w:r w:rsidRPr="00A45EB0">
              <w:rPr>
                <w:color w:val="000000" w:themeColor="text1"/>
              </w:rPr>
              <w:t>Des objectifs ambitieux à l’échelle nationale et régionale (Zéro Artificialisation Nette) qui stimule la réhabilitation des friches</w:t>
            </w:r>
          </w:p>
          <w:p w14:paraId="4AD2E55E" w14:textId="77777777" w:rsidR="00E048FE" w:rsidRPr="00A45EB0" w:rsidRDefault="00E048FE" w:rsidP="00F31162">
            <w:pPr>
              <w:pStyle w:val="Tablebullet1"/>
              <w:numPr>
                <w:ilvl w:val="0"/>
                <w:numId w:val="0"/>
              </w:numPr>
              <w:ind w:left="360"/>
              <w:rPr>
                <w:color w:val="000000" w:themeColor="text1"/>
              </w:rPr>
            </w:pPr>
          </w:p>
        </w:tc>
        <w:tc>
          <w:tcPr>
            <w:tcW w:w="4531" w:type="dxa"/>
          </w:tcPr>
          <w:p w14:paraId="17B631B3" w14:textId="77777777" w:rsidR="0064198B" w:rsidRPr="00A45EB0" w:rsidRDefault="0064198B" w:rsidP="00D70F6D">
            <w:pPr>
              <w:pStyle w:val="Tabletext"/>
              <w:rPr>
                <w:b/>
                <w:color w:val="000000" w:themeColor="text1"/>
              </w:rPr>
            </w:pPr>
            <w:r w:rsidRPr="00A45EB0">
              <w:rPr>
                <w:b/>
                <w:color w:val="000000" w:themeColor="text1"/>
              </w:rPr>
              <w:t xml:space="preserve">Menaces </w:t>
            </w:r>
          </w:p>
          <w:p w14:paraId="439D5EBE" w14:textId="77777777" w:rsidR="0064198B" w:rsidRPr="00A45EB0" w:rsidRDefault="00A2399B" w:rsidP="00A22B4E">
            <w:pPr>
              <w:pStyle w:val="Tablebullet1"/>
              <w:tabs>
                <w:tab w:val="clear" w:pos="227"/>
              </w:tabs>
              <w:ind w:left="720" w:hanging="360"/>
              <w:rPr>
                <w:color w:val="000000" w:themeColor="text1"/>
              </w:rPr>
            </w:pPr>
            <w:r w:rsidRPr="00A45EB0">
              <w:rPr>
                <w:color w:val="000000" w:themeColor="text1"/>
              </w:rPr>
              <w:t xml:space="preserve">Une offre insuffisante pour faire face aux besoins de réhabilitation de friches </w:t>
            </w:r>
          </w:p>
          <w:p w14:paraId="028265C3" w14:textId="3013E803" w:rsidR="0064198B" w:rsidRPr="00812BA2" w:rsidRDefault="00E048FE" w:rsidP="00DD3EE3">
            <w:pPr>
              <w:pStyle w:val="Tablebullet1"/>
              <w:tabs>
                <w:tab w:val="clear" w:pos="227"/>
              </w:tabs>
              <w:ind w:left="720" w:hanging="360"/>
              <w:rPr>
                <w:color w:val="000000" w:themeColor="text1"/>
              </w:rPr>
            </w:pPr>
            <w:r w:rsidRPr="00A45EB0">
              <w:rPr>
                <w:color w:val="000000" w:themeColor="text1"/>
              </w:rPr>
              <w:t>Une temporalité des projets d’aménagement longue qui est parfois en décalage avec la temporalité des appels à projets et des programme opérationnels européens</w:t>
            </w:r>
          </w:p>
        </w:tc>
      </w:tr>
    </w:tbl>
    <w:p w14:paraId="4B3C935E" w14:textId="77777777" w:rsidR="0064198B" w:rsidRDefault="0064198B" w:rsidP="00E72DF0">
      <w:pPr>
        <w:pStyle w:val="BodyText"/>
      </w:pPr>
    </w:p>
    <w:p w14:paraId="6DEE4A66" w14:textId="06B882A6" w:rsidR="00BE3A8B" w:rsidRDefault="00BE3A8B"/>
    <w:p w14:paraId="767D4E64" w14:textId="61EDDB78" w:rsidR="008B656E" w:rsidRDefault="008B656E">
      <w:pPr>
        <w:rPr>
          <w:sz w:val="20"/>
          <w:szCs w:val="22"/>
        </w:rPr>
      </w:pPr>
      <w:bookmarkStart w:id="80" w:name="_Toc93390280"/>
      <w:r>
        <w:br w:type="page"/>
      </w:r>
    </w:p>
    <w:p w14:paraId="163FE268" w14:textId="394711A9" w:rsidR="00C66EA1" w:rsidRDefault="00191EE1" w:rsidP="00654653">
      <w:pPr>
        <w:pStyle w:val="Heading1"/>
      </w:pPr>
      <w:r>
        <w:t xml:space="preserve">Besoins en financement </w:t>
      </w:r>
      <w:r w:rsidR="00390A65">
        <w:t>et identifications des défaillances de marché</w:t>
      </w:r>
      <w:bookmarkEnd w:id="80"/>
    </w:p>
    <w:p w14:paraId="2D08E18D" w14:textId="5A7CB5C1" w:rsidR="00B647C5" w:rsidRDefault="00B647C5" w:rsidP="0015280E">
      <w:pPr>
        <w:pStyle w:val="Heading2"/>
      </w:pPr>
      <w:bookmarkStart w:id="81" w:name="_Toc46322918"/>
      <w:bookmarkStart w:id="82" w:name="_Toc52499474"/>
      <w:bookmarkStart w:id="83" w:name="_Toc93390281"/>
      <w:r>
        <w:t xml:space="preserve">Besoins et défaillances de financement des </w:t>
      </w:r>
      <w:bookmarkEnd w:id="81"/>
      <w:bookmarkEnd w:id="82"/>
      <w:r w:rsidR="00CE571A">
        <w:t>énergies renouvelables</w:t>
      </w:r>
      <w:bookmarkEnd w:id="83"/>
    </w:p>
    <w:tbl>
      <w:tblPr>
        <w:tblStyle w:val="TableGrid"/>
        <w:tblW w:w="0" w:type="auto"/>
        <w:tblLook w:val="04A0" w:firstRow="1" w:lastRow="0" w:firstColumn="1" w:lastColumn="0" w:noHBand="0" w:noVBand="1"/>
      </w:tblPr>
      <w:tblGrid>
        <w:gridCol w:w="9062"/>
      </w:tblGrid>
      <w:tr w:rsidR="00900F66" w:rsidRPr="0059485A" w14:paraId="3571F605" w14:textId="77777777" w:rsidTr="00BC7A3A">
        <w:tc>
          <w:tcPr>
            <w:tcW w:w="9062" w:type="dxa"/>
            <w:tcBorders>
              <w:top w:val="single" w:sz="4" w:space="0" w:color="CF342C" w:themeColor="text2"/>
              <w:left w:val="single" w:sz="4" w:space="0" w:color="CF342C" w:themeColor="text2"/>
              <w:bottom w:val="single" w:sz="4" w:space="0" w:color="CF342C" w:themeColor="text2"/>
              <w:right w:val="single" w:sz="4" w:space="0" w:color="CF342C" w:themeColor="text2"/>
            </w:tcBorders>
          </w:tcPr>
          <w:p w14:paraId="304324E4" w14:textId="48F1B918" w:rsidR="00900F66" w:rsidRPr="0015280E" w:rsidRDefault="00900F66" w:rsidP="00761F57">
            <w:pPr>
              <w:pStyle w:val="Tabletext"/>
              <w:rPr>
                <w:b/>
                <w:bCs/>
              </w:rPr>
            </w:pPr>
            <w:r w:rsidRPr="0015280E">
              <w:rPr>
                <w:b/>
                <w:bCs/>
              </w:rPr>
              <w:t xml:space="preserve">Points clefs à retenir : </w:t>
            </w:r>
          </w:p>
          <w:p w14:paraId="4D4B746F" w14:textId="4B203271" w:rsidR="00FC2FAF" w:rsidRDefault="00732F64" w:rsidP="00732F64">
            <w:pPr>
              <w:pStyle w:val="Tablebullet1"/>
            </w:pPr>
            <w:r>
              <w:t xml:space="preserve">Les </w:t>
            </w:r>
            <w:r w:rsidR="00B35482">
              <w:t xml:space="preserve">ambitions </w:t>
            </w:r>
            <w:r w:rsidR="00FC2FAF">
              <w:t>régionales en</w:t>
            </w:r>
            <w:r>
              <w:t xml:space="preserve"> matière </w:t>
            </w:r>
            <w:r w:rsidR="00B35482">
              <w:t xml:space="preserve">de </w:t>
            </w:r>
            <w:r w:rsidRPr="004F7E14">
              <w:rPr>
                <w:b/>
              </w:rPr>
              <w:t>solaire</w:t>
            </w:r>
            <w:r w:rsidR="00B35482">
              <w:t xml:space="preserve"> sont </w:t>
            </w:r>
            <w:r w:rsidR="00FC2FAF">
              <w:t xml:space="preserve">élevées </w:t>
            </w:r>
            <w:r>
              <w:t xml:space="preserve">dans un contexte de </w:t>
            </w:r>
            <w:r w:rsidRPr="00E36033">
              <w:rPr>
                <w:b/>
              </w:rPr>
              <w:t>faible capacité productive et de stockage peu développé</w:t>
            </w:r>
            <w:r w:rsidR="00FC2FAF">
              <w:t xml:space="preserve">. En revanche, l’objectif est de </w:t>
            </w:r>
            <w:r w:rsidR="002A484D">
              <w:t>stabiliser le</w:t>
            </w:r>
            <w:r w:rsidR="00FC2FAF">
              <w:t xml:space="preserve"> développement de </w:t>
            </w:r>
            <w:r>
              <w:t xml:space="preserve">l’éolien (contrairement aux orientations de la PPE). </w:t>
            </w:r>
            <w:r w:rsidR="000A5053">
              <w:t>A noter que</w:t>
            </w:r>
            <w:r w:rsidR="009C38EA">
              <w:t xml:space="preserve"> l’é</w:t>
            </w:r>
            <w:r w:rsidR="009C38EA" w:rsidRPr="009C38EA">
              <w:t>olien offshore</w:t>
            </w:r>
            <w:r w:rsidR="009C38EA">
              <w:t xml:space="preserve"> fait partie des </w:t>
            </w:r>
            <w:r w:rsidR="00CD1625">
              <w:t>EmR identifiées dans l</w:t>
            </w:r>
            <w:r w:rsidR="00CD1625" w:rsidRPr="00CD1625">
              <w:t>a stratégie de développement des EMR est en cours de définition</w:t>
            </w:r>
            <w:r w:rsidR="00542762">
              <w:rPr>
                <w:rStyle w:val="FootnoteReference"/>
              </w:rPr>
              <w:footnoteReference w:id="46"/>
            </w:r>
            <w:r w:rsidR="000A5053">
              <w:t xml:space="preserve"> mais les objectifs spécifiques</w:t>
            </w:r>
            <w:r w:rsidR="00C94BE9">
              <w:t xml:space="preserve"> </w:t>
            </w:r>
            <w:r w:rsidR="001E326D">
              <w:t>régionaux</w:t>
            </w:r>
            <w:r w:rsidR="00C94BE9">
              <w:t xml:space="preserve"> </w:t>
            </w:r>
            <w:r w:rsidR="000A5053">
              <w:t xml:space="preserve"> sur cette filière ne</w:t>
            </w:r>
            <w:r w:rsidR="00542762">
              <w:t xml:space="preserve"> </w:t>
            </w:r>
            <w:r w:rsidR="00F645F2">
              <w:t>sont pas encore connus</w:t>
            </w:r>
            <w:r w:rsidR="00FF3CD7">
              <w:t>.</w:t>
            </w:r>
          </w:p>
          <w:p w14:paraId="1DE64973" w14:textId="1EF8577F" w:rsidR="00732F64" w:rsidRPr="004F7E14" w:rsidRDefault="00FC2FAF" w:rsidP="00732F64">
            <w:pPr>
              <w:pStyle w:val="Tablebullet1"/>
              <w:rPr>
                <w:b/>
              </w:rPr>
            </w:pPr>
            <w:r>
              <w:t>C</w:t>
            </w:r>
            <w:r w:rsidR="00732F64">
              <w:t xml:space="preserve">oncernant les énergies thermiques renouvelables, la priorité est donnée au biogaz, à la géothermie, à la valorisation des énergies fatales et de récupération, toutes présentant un </w:t>
            </w:r>
            <w:r w:rsidR="00732F64" w:rsidRPr="004F7E14">
              <w:rPr>
                <w:b/>
              </w:rPr>
              <w:t xml:space="preserve">fort potentiel régional. </w:t>
            </w:r>
          </w:p>
          <w:p w14:paraId="5F8F32E6" w14:textId="13A09DF0" w:rsidR="00C41A9D" w:rsidRDefault="00732F64" w:rsidP="00463271">
            <w:pPr>
              <w:pStyle w:val="Tablebullet1"/>
            </w:pPr>
            <w:r>
              <w:t xml:space="preserve">La consommation électrique est couverte à 87% par 2 énergies à savoir le nucléaire et l’éolien. A l’inverse la production solaire est absente </w:t>
            </w:r>
            <w:r w:rsidR="002A484D">
              <w:t xml:space="preserve">presque </w:t>
            </w:r>
            <w:r>
              <w:t xml:space="preserve">tout au long de l’année posant ainsi pour les projets solaires des enjeux de rentabilité (hormis quelques projets d’autoconsommation qui arrivent à l’équilibre économique). Le solaire ne peut se développer sans diffusion et </w:t>
            </w:r>
            <w:r w:rsidRPr="001D7AD1">
              <w:rPr>
                <w:b/>
              </w:rPr>
              <w:t>l’accompagnement de nouveaux usages</w:t>
            </w:r>
            <w:r>
              <w:t xml:space="preserve"> tels que l’autoconsommation (collectif), optimisation des systèmes énergétiques, stockage, </w:t>
            </w:r>
            <w:r w:rsidR="00C41A9D">
              <w:t>etc.</w:t>
            </w:r>
          </w:p>
          <w:p w14:paraId="17A9A945" w14:textId="59BF1E00" w:rsidR="00732F64" w:rsidRDefault="00732F64" w:rsidP="00C41A9D">
            <w:pPr>
              <w:pStyle w:val="Tablebullet1"/>
            </w:pPr>
            <w:r>
              <w:t xml:space="preserve">Les </w:t>
            </w:r>
            <w:r w:rsidRPr="001D7AD1">
              <w:rPr>
                <w:b/>
              </w:rPr>
              <w:t>principaux besoins identifiés devraient être couverts par les instruments régionaux existants</w:t>
            </w:r>
            <w:r>
              <w:t xml:space="preserve"> à savoir FRATRI, SEM Energies et Rev3 financement. Le véritable enjeu sera de s’assurer que les fonds disponibles sont suffisants pour couvrir la demande et s’orientent réellement vers les projets d’importance territorial</w:t>
            </w:r>
            <w:r w:rsidR="003B13F5">
              <w:t>e</w:t>
            </w:r>
            <w:r w:rsidR="00C41A9D">
              <w:t xml:space="preserve">. </w:t>
            </w:r>
            <w:r>
              <w:t xml:space="preserve">On </w:t>
            </w:r>
            <w:r w:rsidR="00045BAE">
              <w:t>identifie</w:t>
            </w:r>
            <w:r>
              <w:t xml:space="preserve"> principalement 2 types de besoins :</w:t>
            </w:r>
          </w:p>
          <w:p w14:paraId="38FA84AE" w14:textId="37B043DE" w:rsidR="00732F64" w:rsidRDefault="00732F64" w:rsidP="00463271">
            <w:pPr>
              <w:pStyle w:val="Tablebullet2"/>
            </w:pPr>
            <w:r>
              <w:t xml:space="preserve">Besoins de </w:t>
            </w:r>
            <w:r w:rsidRPr="003B13F5">
              <w:rPr>
                <w:b/>
              </w:rPr>
              <w:t>financement des infrastructures</w:t>
            </w:r>
            <w:r>
              <w:t xml:space="preserve"> :</w:t>
            </w:r>
            <w:r w:rsidR="00F56C94">
              <w:t xml:space="preserve"> i) </w:t>
            </w:r>
            <w:r>
              <w:t>Infrastructures de production d’hydrogène : besoin d’investissement de 60</w:t>
            </w:r>
            <w:r w:rsidR="00F56C94">
              <w:t> </w:t>
            </w:r>
            <w:r>
              <w:t xml:space="preserve">M€ et nécessité de mobiliser du côté de la </w:t>
            </w:r>
            <w:r w:rsidR="007E41C6">
              <w:t>R</w:t>
            </w:r>
            <w:r>
              <w:t>égion un montant d’environ 6 M€ pour favoriser des partenariats publics-privés</w:t>
            </w:r>
            <w:r w:rsidR="00045BAE">
              <w:t xml:space="preserve"> ; ii) </w:t>
            </w:r>
            <w:r>
              <w:t>statons multi-énergies vertes : besoin d’investissement de l’</w:t>
            </w:r>
            <w:r w:rsidR="00045BAE">
              <w:t>ordre</w:t>
            </w:r>
            <w:r>
              <w:t xml:space="preserve"> de 30 M€ avec une participation de la </w:t>
            </w:r>
            <w:r w:rsidR="007E41C6">
              <w:t xml:space="preserve">Région </w:t>
            </w:r>
            <w:r>
              <w:t xml:space="preserve">estimée </w:t>
            </w:r>
            <w:r w:rsidR="00045BAE">
              <w:t>à 3</w:t>
            </w:r>
            <w:r>
              <w:t xml:space="preserve"> </w:t>
            </w:r>
            <w:r w:rsidR="00045BAE">
              <w:t>M</w:t>
            </w:r>
            <w:r>
              <w:t>€</w:t>
            </w:r>
          </w:p>
          <w:p w14:paraId="6C1BFAAB" w14:textId="3267EA92" w:rsidR="00732F64" w:rsidRDefault="00045BAE" w:rsidP="00045BAE">
            <w:pPr>
              <w:pStyle w:val="Tablebullet2"/>
            </w:pPr>
            <w:r>
              <w:t>Besoins</w:t>
            </w:r>
            <w:r w:rsidR="00732F64">
              <w:t xml:space="preserve"> de </w:t>
            </w:r>
            <w:r w:rsidR="00732F64" w:rsidRPr="003B13F5">
              <w:rPr>
                <w:b/>
              </w:rPr>
              <w:t>financement des projets innovants</w:t>
            </w:r>
            <w:r w:rsidR="00732F64">
              <w:t>, plus spécifiquement les nouveaux procédés de fabrication de biogaz et l’hydrogène. Les tickets par projet sont estimés à 500 k€/projet mais le nombre exact de projets est à préciser</w:t>
            </w:r>
          </w:p>
          <w:p w14:paraId="086C5B8D" w14:textId="77777777" w:rsidR="00732F64" w:rsidRDefault="00732F64" w:rsidP="006702BE">
            <w:pPr>
              <w:pStyle w:val="Tablebullet1"/>
            </w:pPr>
            <w:r>
              <w:t xml:space="preserve">Par ailleurs, concernant les bioénergies, la méthanisation est une des filières prioritaires du mix énergétique régional avec une ambition de production x6 et x12, respectivement en 2026 et 2031 par rapport à 2017. Ces objectifs sont en voie d’être atteints (sans considération des impacts négatifs possibles des évolutions règlementaires en matière de soutien du biométhane injecté). Ces évolutions règlementaires pourraient entraîner des besoins en fonds propres d’environ 10% des coûts d’investissements soit en moyenne 700 k€/projet. </w:t>
            </w:r>
          </w:p>
          <w:p w14:paraId="4000D337" w14:textId="77777777" w:rsidR="00732F64" w:rsidRDefault="00732F64" w:rsidP="00732F64">
            <w:pPr>
              <w:pStyle w:val="Tablebullet1"/>
            </w:pPr>
            <w:r>
              <w:t xml:space="preserve">Aussi, nous avons identifié des besoins relatifs à la chaleur fatale et la géothermie. Ces besoins sont en </w:t>
            </w:r>
            <w:r w:rsidRPr="008A007B">
              <w:rPr>
                <w:b/>
              </w:rPr>
              <w:t>garantie</w:t>
            </w:r>
            <w:r>
              <w:t xml:space="preserve">. </w:t>
            </w:r>
          </w:p>
          <w:p w14:paraId="6A4007A3" w14:textId="136BA1A5" w:rsidR="00900F66" w:rsidRPr="003A49DD" w:rsidRDefault="00732F64" w:rsidP="00732F64">
            <w:pPr>
              <w:pStyle w:val="Tablebullet1"/>
            </w:pPr>
            <w:r>
              <w:t xml:space="preserve">Enfin d’autres types de défaillances limitent le </w:t>
            </w:r>
            <w:r w:rsidR="006702BE">
              <w:t>potentiel</w:t>
            </w:r>
            <w:r>
              <w:t xml:space="preserve"> de développement des </w:t>
            </w:r>
            <w:proofErr w:type="spellStart"/>
            <w:r>
              <w:t>EnR</w:t>
            </w:r>
            <w:proofErr w:type="spellEnd"/>
            <w:r>
              <w:t xml:space="preserve"> en région</w:t>
            </w:r>
            <w:r w:rsidR="006702BE">
              <w:t>.</w:t>
            </w:r>
            <w:r>
              <w:t xml:space="preserve"> </w:t>
            </w:r>
            <w:r w:rsidR="006702BE">
              <w:t>Il</w:t>
            </w:r>
            <w:r>
              <w:t xml:space="preserve"> s’agit notamment des orientations stratégiques régionales (très contraignantes sur certaines énergies et assez optimistes sur d’autres), le manque d’ingénierie des acteurs territoriaux, les conditions économiques peu favorables, Difficultés de mobilisation des ressources non financières (bois, foncier)</w:t>
            </w:r>
            <w:r w:rsidR="006702BE">
              <w:t>.</w:t>
            </w:r>
          </w:p>
        </w:tc>
      </w:tr>
    </w:tbl>
    <w:p w14:paraId="108D779E" w14:textId="19B5A6D0" w:rsidR="00BB7FD6" w:rsidRDefault="00BB7FD6" w:rsidP="00E72DF0">
      <w:pPr>
        <w:pStyle w:val="BodyText"/>
      </w:pPr>
    </w:p>
    <w:p w14:paraId="26535B9F" w14:textId="2A5E3786" w:rsidR="00BB7FD6" w:rsidRDefault="00BB7FD6" w:rsidP="00BB7FD6">
      <w:pPr>
        <w:pStyle w:val="BodyText"/>
      </w:pPr>
      <w:bookmarkStart w:id="84" w:name="_Hlk72137853"/>
      <w:r w:rsidRPr="00994FDE">
        <w:t xml:space="preserve">En </w:t>
      </w:r>
      <w:r w:rsidRPr="00556995">
        <w:rPr>
          <w:b/>
          <w:bCs/>
        </w:rPr>
        <w:t>mai 2021</w:t>
      </w:r>
      <w:r w:rsidRPr="00994FDE">
        <w:t xml:space="preserve">, </w:t>
      </w:r>
      <w:r>
        <w:t xml:space="preserve">le </w:t>
      </w:r>
      <w:r w:rsidR="00FE6B33" w:rsidRPr="00B725B8">
        <w:t xml:space="preserve">Conseil </w:t>
      </w:r>
      <w:r w:rsidRPr="00DD3EE3">
        <w:t>européen</w:t>
      </w:r>
      <w:r>
        <w:t xml:space="preserve"> et le </w:t>
      </w:r>
      <w:r w:rsidR="00FE6B33">
        <w:t xml:space="preserve">Parlement </w:t>
      </w:r>
      <w:r>
        <w:t xml:space="preserve">européen ont conclu un accord provisoire inscrivant </w:t>
      </w:r>
      <w:r w:rsidRPr="00994FDE">
        <w:t>dans la législation</w:t>
      </w:r>
      <w:r>
        <w:t xml:space="preserve"> à travers le «</w:t>
      </w:r>
      <w:r w:rsidRPr="00503C4C">
        <w:rPr>
          <w:b/>
          <w:bCs/>
        </w:rPr>
        <w:t xml:space="preserve"> Pacte vert pour l'Europe</w:t>
      </w:r>
      <w:r>
        <w:t> »,</w:t>
      </w:r>
      <w:r w:rsidRPr="00994FDE">
        <w:t xml:space="preserve"> l'objectif de neutralité climatique de l'UE à l'horizon 2050</w:t>
      </w:r>
      <w:r>
        <w:t xml:space="preserve">. Ainsi, les objectifs à l’horizon 2030 en matière de réduction des émissions nettes de GES ont été relevés de </w:t>
      </w:r>
      <w:r w:rsidR="00302615">
        <w:t>4</w:t>
      </w:r>
      <w:r>
        <w:t xml:space="preserve">0 % à </w:t>
      </w:r>
      <w:r w:rsidRPr="00556995">
        <w:rPr>
          <w:b/>
          <w:bCs/>
        </w:rPr>
        <w:t>55 %</w:t>
      </w:r>
      <w:r>
        <w:t xml:space="preserve"> par rapport à 1990. </w:t>
      </w:r>
    </w:p>
    <w:p w14:paraId="66EE9E41" w14:textId="77777777" w:rsidR="00BB7FD6" w:rsidRDefault="00BB7FD6" w:rsidP="00BB7FD6">
      <w:pPr>
        <w:pStyle w:val="BodyText"/>
      </w:pPr>
      <w:r w:rsidRPr="00503C4C">
        <w:t>En</w:t>
      </w:r>
      <w:r w:rsidRPr="00923651">
        <w:rPr>
          <w:b/>
          <w:bCs/>
        </w:rPr>
        <w:t xml:space="preserve"> France</w:t>
      </w:r>
      <w:r>
        <w:t>, la loi portant lutte contre le dérèglement climatique et renforcement de la résilience face à ses effets a été adoptée en 1</w:t>
      </w:r>
      <w:r w:rsidRPr="005E5BFB">
        <w:rPr>
          <w:vertAlign w:val="superscript"/>
        </w:rPr>
        <w:t>ère</w:t>
      </w:r>
      <w:r>
        <w:t xml:space="preserve"> lecture en </w:t>
      </w:r>
      <w:r w:rsidRPr="00556995">
        <w:rPr>
          <w:b/>
          <w:bCs/>
        </w:rPr>
        <w:t>mai 2021</w:t>
      </w:r>
      <w:r>
        <w:t xml:space="preserve">. Elle a été élaborée en cohérence avec l’objectif européen précédent de réduction </w:t>
      </w:r>
      <w:r w:rsidRPr="00556995">
        <w:rPr>
          <w:b/>
          <w:bCs/>
        </w:rPr>
        <w:t>40 %</w:t>
      </w:r>
      <w:r w:rsidRPr="005E5BFB">
        <w:t xml:space="preserve"> les émissions de gaz à effet de serre</w:t>
      </w:r>
      <w:r>
        <w:t>.</w:t>
      </w:r>
      <w:r w:rsidRPr="00C32C38">
        <w:t xml:space="preserve"> </w:t>
      </w:r>
      <w:r>
        <w:t xml:space="preserve"> </w:t>
      </w:r>
    </w:p>
    <w:p w14:paraId="6B3A05FE" w14:textId="77777777" w:rsidR="00BB7FD6" w:rsidRDefault="00BB7FD6" w:rsidP="00BB7FD6">
      <w:pPr>
        <w:pStyle w:val="BodyText"/>
      </w:pPr>
      <w:r w:rsidRPr="005E5BFB">
        <w:t xml:space="preserve">Le chapitre IV </w:t>
      </w:r>
      <w:r>
        <w:t xml:space="preserve">du titre II </w:t>
      </w:r>
      <w:r w:rsidRPr="005E5BFB">
        <w:t>contient les dispositions accompagnant le développement de l’énergie décarbonée</w:t>
      </w:r>
      <w:r>
        <w:t xml:space="preserve"> au niveau des territoires en vue de l’atteinte des </w:t>
      </w:r>
      <w:r w:rsidRPr="005E5BFB">
        <w:t>objectifs nationaux de la programmation pluriannuelle de l’énergie.</w:t>
      </w:r>
      <w:r>
        <w:t xml:space="preserve"> Le titre III prend des dispositions d’accélération de la transition de la mobilité, dont notamment l’ambition d’atteindre 95 % de ventes de voitures particulières « propres » dès 2030 (l’objectif précédent à l’horizon 2030 était de 35 % de voitures particulières électriques et de 10 % de voitures particulières hybrides rechargeables dans les ventes de véhicules neufs) et la suppression progressive de l’avantage fiscal sur le TICPE entre 2023 et 2030. </w:t>
      </w:r>
    </w:p>
    <w:p w14:paraId="2C04CE12" w14:textId="7B84E300" w:rsidR="00BB7FD6" w:rsidRPr="00556995" w:rsidRDefault="00BB7FD6" w:rsidP="00BB7FD6">
      <w:pPr>
        <w:pStyle w:val="BodyText"/>
      </w:pPr>
      <w:r>
        <w:t xml:space="preserve"> </w:t>
      </w:r>
      <w:r w:rsidRPr="00556995">
        <w:t xml:space="preserve">Le </w:t>
      </w:r>
      <w:r w:rsidRPr="00F034C3">
        <w:rPr>
          <w:b/>
        </w:rPr>
        <w:t>Schéma Régional d'Aménagement, de Développement Durable et d'Egalité des Territoires</w:t>
      </w:r>
      <w:r w:rsidRPr="00556995">
        <w:t xml:space="preserve"> (SRADDET) </w:t>
      </w:r>
      <w:r>
        <w:t xml:space="preserve">quant à lui </w:t>
      </w:r>
      <w:r w:rsidR="00583F8F">
        <w:t xml:space="preserve">a </w:t>
      </w:r>
      <w:r>
        <w:t xml:space="preserve">été élaboré dans le contexte de la loi </w:t>
      </w:r>
      <w:r w:rsidRPr="002145F5">
        <w:t xml:space="preserve">relative à la transition énergétique pour la croissance verte (LTECV) </w:t>
      </w:r>
      <w:r>
        <w:t xml:space="preserve">de 2015. Il </w:t>
      </w:r>
      <w:r w:rsidRPr="00556995">
        <w:t xml:space="preserve">fusionne et remplace plusieurs documents sectoriels ou schémas antérieurs tels que le schéma régional de cohérence écologique (SRCE), le schéma régional climat air énergie (SRCAE), etc. Adopté en 2020, il a été élaboré en cohérence avec l’objectif « facteur 4 » visant à diviser par 4 les émissions de gaz à effet de serre (GES) entre le niveau de 1990 et celui de 2050. </w:t>
      </w:r>
      <w:r>
        <w:t xml:space="preserve">Les </w:t>
      </w:r>
      <w:r w:rsidRPr="00556995">
        <w:t xml:space="preserve">objectifs nationaux </w:t>
      </w:r>
      <w:r>
        <w:t xml:space="preserve">inscrits dans la loi TECV étaient </w:t>
      </w:r>
      <w:r w:rsidRPr="00556995">
        <w:t xml:space="preserve">de développer les énergies renouvelables (et de récupération) afin qu’elles représentent 23% de la consommation finale d’énergie en 2020 et </w:t>
      </w:r>
      <w:r w:rsidRPr="002145F5">
        <w:rPr>
          <w:b/>
          <w:bCs/>
        </w:rPr>
        <w:t>32%</w:t>
      </w:r>
      <w:r w:rsidRPr="00556995">
        <w:t xml:space="preserve"> en 2030. La </w:t>
      </w:r>
      <w:r w:rsidR="00F034C3">
        <w:t>R</w:t>
      </w:r>
      <w:r w:rsidRPr="00556995">
        <w:t xml:space="preserve">égion s’est fixée pour objectif d’atteindre respectivement 20% en 2026 et </w:t>
      </w:r>
      <w:r w:rsidRPr="002145F5">
        <w:rPr>
          <w:b/>
          <w:bCs/>
        </w:rPr>
        <w:t>28%</w:t>
      </w:r>
      <w:r w:rsidRPr="00556995">
        <w:t xml:space="preserve"> en 2030 (compatible avec l’effort de facteur 2 en 2030 au niveau national). En matière de mobilité propre, le SRADDET prévoit atteindre 7% de part des véhicules (gaz, hydrogène, bio méthane et électrique) et de diminuer de 24 % la consommation unitaire d’énergie fossile des véhicules utilisés pour le transport de marchandises.</w:t>
      </w:r>
    </w:p>
    <w:p w14:paraId="4F62587D" w14:textId="77777777" w:rsidR="00BB7FD6" w:rsidRPr="005C774D" w:rsidRDefault="00BB7FD6" w:rsidP="00BB7FD6">
      <w:pPr>
        <w:pStyle w:val="BodyText"/>
      </w:pPr>
      <w:r>
        <w:t>D</w:t>
      </w:r>
      <w:r w:rsidRPr="002B4E47">
        <w:t>a</w:t>
      </w:r>
      <w:r>
        <w:t>ns sa version actuelle, la</w:t>
      </w:r>
      <w:r w:rsidRPr="002B4E47">
        <w:t xml:space="preserve"> loi climat-résilience prévoit d’inclure une feuille de route pour le développement des communautés d’énergies renouvelables et des communautés</w:t>
      </w:r>
      <w:r>
        <w:t xml:space="preserve"> </w:t>
      </w:r>
      <w:r w:rsidRPr="002B4E47">
        <w:t>énergétiques citoyennes, afin de favoriser l’implication des citoyens, des collectivités territoriales et des PME dans les projets d’énergies renouvelables et d’autoconsommation</w:t>
      </w:r>
      <w:r>
        <w:t xml:space="preserve">. La stratégie régionale est cohérente avec la loi en accordant un rôle prépondérant aux territoires dans le développement des énergies renouvelables et des économies d’énergie afin de favoriser leur autonomie énergétique, celle des entreprises et des habitants. Dans cet objectif, les territoires sont encouragés à privilégier les formes d’investissements public et citoyen dans </w:t>
      </w:r>
      <w:r w:rsidRPr="005C774D">
        <w:t>les projets de production d’énergies renouvelables et de récupération.</w:t>
      </w:r>
    </w:p>
    <w:p w14:paraId="0AE985FC" w14:textId="34055EA0" w:rsidR="00BB7FD6" w:rsidRPr="005C774D" w:rsidRDefault="00BB7FD6" w:rsidP="00BB7FD6">
      <w:pPr>
        <w:pStyle w:val="Bullet1"/>
        <w:numPr>
          <w:ilvl w:val="0"/>
          <w:numId w:val="0"/>
        </w:numPr>
      </w:pPr>
      <w:r w:rsidRPr="005C774D">
        <w:rPr>
          <w:szCs w:val="16"/>
        </w:rPr>
        <w:t xml:space="preserve">Le </w:t>
      </w:r>
      <w:r w:rsidRPr="005C774D">
        <w:rPr>
          <w:b/>
          <w:bCs/>
          <w:szCs w:val="16"/>
        </w:rPr>
        <w:t xml:space="preserve">PO Nord-Pas-de-Calais </w:t>
      </w:r>
      <w:r w:rsidRPr="005C774D">
        <w:rPr>
          <w:szCs w:val="16"/>
        </w:rPr>
        <w:t xml:space="preserve">2014-2020 </w:t>
      </w:r>
      <w:r w:rsidR="004C7D42">
        <w:rPr>
          <w:szCs w:val="16"/>
        </w:rPr>
        <w:t>a</w:t>
      </w:r>
      <w:r w:rsidR="004C7D42" w:rsidRPr="005C774D">
        <w:rPr>
          <w:szCs w:val="16"/>
        </w:rPr>
        <w:t xml:space="preserve"> </w:t>
      </w:r>
      <w:r w:rsidRPr="005C774D">
        <w:rPr>
          <w:szCs w:val="16"/>
        </w:rPr>
        <w:t>prévu la possibilité de créer des instruments financiers sur la PI 6e de l’axe 6 agir en vue d’améliorer l’environnement urbain, revitaliser les villes, réhabiliter et décontaminer les friches industrielles.</w:t>
      </w:r>
      <w:r w:rsidRPr="005C774D">
        <w:t xml:space="preserve">  Le </w:t>
      </w:r>
      <w:r w:rsidRPr="005C774D">
        <w:rPr>
          <w:b/>
          <w:bCs/>
        </w:rPr>
        <w:t>PO Picardie</w:t>
      </w:r>
      <w:r w:rsidRPr="005C774D">
        <w:t xml:space="preserve">, prévoyait au moment de sa rédaction la possibilité de mobilisation d’instruments financiers sur les priorités d’investissement PI 4b, efficacité énergétique et utilisation des énergies renouvelables - mobilisation potentielle d’instruments financiers (en fonction des résultats de l’évaluation ex ante). </w:t>
      </w:r>
    </w:p>
    <w:p w14:paraId="3BC5CE78" w14:textId="77777777" w:rsidR="00BB7FD6" w:rsidRPr="005C774D" w:rsidRDefault="00BB7FD6" w:rsidP="00BB7FD6">
      <w:pPr>
        <w:pStyle w:val="Bullet1"/>
        <w:numPr>
          <w:ilvl w:val="0"/>
          <w:numId w:val="0"/>
        </w:numPr>
        <w:rPr>
          <w:b/>
        </w:rPr>
      </w:pPr>
      <w:r w:rsidRPr="005C774D">
        <w:rPr>
          <w:b/>
        </w:rPr>
        <w:t xml:space="preserve">L’objectif régional est de développer sur la période 2021-2027 une offre conséquente à destination des projets de territoires, via les instruments financiers lorsque pertinent. </w:t>
      </w:r>
    </w:p>
    <w:bookmarkEnd w:id="84"/>
    <w:p w14:paraId="2EEC9A2F" w14:textId="77777777" w:rsidR="00BB7FD6" w:rsidRPr="005C774D" w:rsidRDefault="00BB7FD6" w:rsidP="005C774D">
      <w:pPr>
        <w:pStyle w:val="BodyText"/>
      </w:pPr>
      <w:r w:rsidRPr="005C774D">
        <w:t xml:space="preserve">L’essentiel de l’offre en instruments financiers cible les entreprises. Le financement des projets de territoires passe essentiellement par des mécanismes de subventions, même s’il existe tout de même quelques outils financiers (banque des territoires, banques commerciales…), des incitations fiscales et des certificats d’économie d’énergie. </w:t>
      </w:r>
    </w:p>
    <w:p w14:paraId="45E3C528" w14:textId="31D3DD21" w:rsidR="00BB7FD6" w:rsidRPr="00DC66FF" w:rsidRDefault="00BB7FD6" w:rsidP="00BB7FD6">
      <w:pPr>
        <w:pStyle w:val="BodyText"/>
        <w:rPr>
          <w:b/>
          <w:bCs/>
        </w:rPr>
      </w:pPr>
      <w:r w:rsidRPr="005C774D">
        <w:t>Cette partie de l’étude cible donc le développement territorial de la</w:t>
      </w:r>
      <w:r w:rsidRPr="002145F5">
        <w:t xml:space="preserve"> production et distribution des énergies renouvelables</w:t>
      </w:r>
      <w:r>
        <w:t xml:space="preserve"> et </w:t>
      </w:r>
      <w:r w:rsidRPr="008F6E98">
        <w:t>permettra de mettre en cohérence la palette des instruments financiers existants avec les priorités des cadres stratégiques nouveaux ou évoluant</w:t>
      </w:r>
      <w:r>
        <w:t xml:space="preserve">. </w:t>
      </w:r>
      <w:r w:rsidRPr="002145F5">
        <w:t xml:space="preserve">Les « projets de territoires » sont définis comme des </w:t>
      </w:r>
      <w:r w:rsidRPr="00950BE4">
        <w:rPr>
          <w:b/>
        </w:rPr>
        <w:t>besoins d’infrastructures avec une dimension public/privé à une échelle territorialisée (projets citoyens inclus</w:t>
      </w:r>
      <w:r>
        <w:t>)</w:t>
      </w:r>
      <w:r w:rsidRPr="002145F5">
        <w:t>.</w:t>
      </w:r>
      <w:r>
        <w:t xml:space="preserve"> L’étude s’attache à évaluer les besoins et défaillances en instruments financiers pour ces projets viables. En effet, l</w:t>
      </w:r>
      <w:r w:rsidRPr="00826428">
        <w:t>a Commission Européenne souhaite donner un rôle essentiel aux instruments financiers dans le financement des investissements générateurs de recettes ou d’économies pour la période 2021-2027 et pose les principes de structuration et mise en œuvre dans le projet de règlement.</w:t>
      </w:r>
    </w:p>
    <w:p w14:paraId="6B82B88F" w14:textId="7A278748" w:rsidR="00A764E2" w:rsidRDefault="0059427F" w:rsidP="00654653">
      <w:pPr>
        <w:pStyle w:val="Heading3"/>
      </w:pPr>
      <w:bookmarkStart w:id="85" w:name="_Toc93390282"/>
      <w:r>
        <w:t>Description de l’écosystème</w:t>
      </w:r>
      <w:bookmarkEnd w:id="85"/>
      <w:r>
        <w:t xml:space="preserve"> </w:t>
      </w:r>
      <w:r w:rsidR="00CE571A">
        <w:t xml:space="preserve"> </w:t>
      </w:r>
    </w:p>
    <w:p w14:paraId="516398F8" w14:textId="37B63816" w:rsidR="000B213D" w:rsidRDefault="000B213D" w:rsidP="000B213D">
      <w:pPr>
        <w:pStyle w:val="BodyText"/>
      </w:pPr>
      <w:r>
        <w:t xml:space="preserve">Les émissions de GES en Hauts-de-France s'élèvent à 61,1 Mt </w:t>
      </w:r>
      <w:proofErr w:type="spellStart"/>
      <w:r>
        <w:t>éq</w:t>
      </w:r>
      <w:proofErr w:type="spellEnd"/>
      <w:r>
        <w:t>. CO</w:t>
      </w:r>
      <w:r w:rsidRPr="005928C4">
        <w:rPr>
          <w:vertAlign w:val="subscript"/>
        </w:rPr>
        <w:t>2</w:t>
      </w:r>
      <w:r>
        <w:t xml:space="preserve"> en 2017 dont 76% sont dues à l'usage d'énergie. Si depuis 2009 ces émissions sont légèrement en baisse dans certains secteurs tels que le résidentiel, l’agriculture et le traitement des déchets, on note en revanche une croissance importante dans </w:t>
      </w:r>
      <w:r w:rsidR="008526AD">
        <w:t>les secteurs du</w:t>
      </w:r>
      <w:r>
        <w:t xml:space="preserve"> tertiaire, l’industrie manufacturière et de l’énergie.</w:t>
      </w:r>
      <w:r w:rsidRPr="00750755">
        <w:t xml:space="preserve"> </w:t>
      </w:r>
      <w:r>
        <w:t>Le secteur le plus émetteur est l’industrie, compte tenu du poids des industries intensives en énergie, dont la sidérurgie, l’agro-alimentaire, la chimie et la pharmacie. Les transports représentent le deuxième poste grand émetteur, suivis par l’agriculture-sylviculture et le secteur des bâtiments résidentiels et tertiaires.</w:t>
      </w:r>
    </w:p>
    <w:p w14:paraId="600EAB05" w14:textId="7C3326D5" w:rsidR="00A77540" w:rsidRDefault="00A77540" w:rsidP="00A77540">
      <w:pPr>
        <w:pStyle w:val="Caption"/>
      </w:pPr>
      <w:bookmarkStart w:id="86" w:name="_Ref94027967"/>
      <w:r>
        <w:t xml:space="preserve">Figure </w:t>
      </w:r>
      <w:r>
        <w:fldChar w:fldCharType="begin"/>
      </w:r>
      <w:r>
        <w:instrText xml:space="preserve"> SEQ Figure \* ARABIC </w:instrText>
      </w:r>
      <w:r>
        <w:fldChar w:fldCharType="separate"/>
      </w:r>
      <w:r>
        <w:rPr>
          <w:noProof/>
        </w:rPr>
        <w:t>5</w:t>
      </w:r>
      <w:r>
        <w:fldChar w:fldCharType="end"/>
      </w:r>
      <w:bookmarkEnd w:id="86"/>
      <w:r>
        <w:t xml:space="preserve"> </w:t>
      </w:r>
      <w:r w:rsidRPr="00315C32">
        <w:t>Répartition sectorielle des émissions de gaz à effet de serre</w:t>
      </w:r>
    </w:p>
    <w:p w14:paraId="74F0496B" w14:textId="77777777" w:rsidR="000B213D" w:rsidRDefault="000B213D" w:rsidP="00DD3EE3">
      <w:pPr>
        <w:pStyle w:val="BodyText"/>
        <w:jc w:val="left"/>
      </w:pPr>
      <w:r>
        <w:rPr>
          <w:noProof/>
          <w:lang w:eastAsia="fr-FR"/>
        </w:rPr>
        <w:drawing>
          <wp:inline distT="0" distB="0" distL="0" distR="0" wp14:anchorId="58E064C9" wp14:editId="33875CBF">
            <wp:extent cx="4211507" cy="2409825"/>
            <wp:effectExtent l="19050" t="19050" r="1778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5"/>
                    <a:stretch>
                      <a:fillRect/>
                    </a:stretch>
                  </pic:blipFill>
                  <pic:spPr>
                    <a:xfrm>
                      <a:off x="0" y="0"/>
                      <a:ext cx="4215349" cy="2412023"/>
                    </a:xfrm>
                    <a:prstGeom prst="rect">
                      <a:avLst/>
                    </a:prstGeom>
                    <a:ln>
                      <a:solidFill>
                        <a:schemeClr val="accent1"/>
                      </a:solidFill>
                    </a:ln>
                  </pic:spPr>
                </pic:pic>
              </a:graphicData>
            </a:graphic>
          </wp:inline>
        </w:drawing>
      </w:r>
    </w:p>
    <w:p w14:paraId="3831B288" w14:textId="1D53A046" w:rsidR="00076FA2" w:rsidRDefault="004274EB" w:rsidP="00DD3EE3">
      <w:pPr>
        <w:pStyle w:val="Source"/>
      </w:pPr>
      <w:r>
        <w:t>Source : Observatoire Climat HDF, CERDD, Novembre 2019</w:t>
      </w:r>
    </w:p>
    <w:p w14:paraId="0BBBD4D5" w14:textId="59582ABC" w:rsidR="005D0743" w:rsidRDefault="000B213D" w:rsidP="00A77540">
      <w:pPr>
        <w:pStyle w:val="BodyText"/>
      </w:pPr>
      <w:r>
        <w:t>La région Hauts-de-France représente environ 12 % de la consommation nationale d’énergie pour 9 % de la population. En Hauts-de-France, la consommation d’énergie finale en 2017 a atteint 209 TWh en 2017, soit 18 Mtep (205,4 TWh soit 17,7 Mtep en 2015).  Les grands secteurs de consommation sont respectivement l’industrie, les transports et le résidentiel.</w:t>
      </w:r>
    </w:p>
    <w:p w14:paraId="3E9E57E0" w14:textId="36160900" w:rsidR="004274EB" w:rsidRDefault="000B213D" w:rsidP="00D276D2">
      <w:pPr>
        <w:pStyle w:val="BodyText"/>
      </w:pPr>
      <w:r>
        <w:t>Les transports sont en région Hauts-de-France la 2</w:t>
      </w:r>
      <w:r w:rsidRPr="00A75C50">
        <w:rPr>
          <w:vertAlign w:val="superscript"/>
        </w:rPr>
        <w:t>ème</w:t>
      </w:r>
      <w:r>
        <w:t xml:space="preserve"> source de consommation et dépend</w:t>
      </w:r>
      <w:r w:rsidR="000C0DE9">
        <w:t>ent</w:t>
      </w:r>
      <w:r>
        <w:t xml:space="preserve"> à 98 % des produits pétroliers. Il s’agit de l’une des conséquences de la métropolisation qui engendre la concentration des flux, la saturation des axes routiers, les déplacements longs s’effectuant très majoritairement en voiture (77 %). A ce trafic s’ajoute le transport international (3 % du volume des échanges régionaux par route, contre une moyenne de 1,2 % pour l’ensemble des régions françaises), le flux de transit notamment sur l’A1 et l’A16 liés à des échanges commerciaux et les flux infrarégionaux.  </w:t>
      </w:r>
      <w:r w:rsidRPr="000C0DE9">
        <w:rPr>
          <w:b/>
        </w:rPr>
        <w:t>L’OCDE prévoit une multiplication par 3 d’ici 2050 des flux de marchandises</w:t>
      </w:r>
      <w:r>
        <w:t>, ce qui devrait se traduire par une hausse de 60 % des émissions de CO</w:t>
      </w:r>
      <w:r w:rsidRPr="00A75C50">
        <w:rPr>
          <w:vertAlign w:val="subscript"/>
        </w:rPr>
        <w:t>2</w:t>
      </w:r>
      <w:r>
        <w:t>.</w:t>
      </w:r>
    </w:p>
    <w:p w14:paraId="53D66AC9" w14:textId="71561F3A" w:rsidR="005D0743" w:rsidRDefault="005D0743" w:rsidP="005D0743">
      <w:pPr>
        <w:pStyle w:val="Caption"/>
        <w:jc w:val="both"/>
      </w:pPr>
      <w:r>
        <w:t xml:space="preserve">Figure </w:t>
      </w:r>
      <w:r>
        <w:fldChar w:fldCharType="begin"/>
      </w:r>
      <w:r>
        <w:instrText xml:space="preserve"> SEQ Figure \* ARABIC </w:instrText>
      </w:r>
      <w:r>
        <w:fldChar w:fldCharType="separate"/>
      </w:r>
      <w:r w:rsidR="009F0282">
        <w:rPr>
          <w:noProof/>
        </w:rPr>
        <w:t>5</w:t>
      </w:r>
      <w:r>
        <w:fldChar w:fldCharType="end"/>
      </w:r>
      <w:r>
        <w:t xml:space="preserve"> Consommation d’énergie par secteur en Hauts-de-France (2017)</w:t>
      </w:r>
    </w:p>
    <w:p w14:paraId="65178F04" w14:textId="06642596" w:rsidR="005D0743" w:rsidRPr="005D0743" w:rsidRDefault="005D0743" w:rsidP="005D0743">
      <w:pPr>
        <w:pStyle w:val="BodyText"/>
      </w:pPr>
      <w:r>
        <w:rPr>
          <w:noProof/>
          <w:lang w:eastAsia="fr-FR"/>
        </w:rPr>
        <w:drawing>
          <wp:anchor distT="0" distB="0" distL="114300" distR="114300" simplePos="0" relativeHeight="251658243" behindDoc="0" locked="0" layoutInCell="1" allowOverlap="1" wp14:anchorId="6AFDCA2D" wp14:editId="6A6F8543">
            <wp:simplePos x="0" y="0"/>
            <wp:positionH relativeFrom="margin">
              <wp:posOffset>78740</wp:posOffset>
            </wp:positionH>
            <wp:positionV relativeFrom="paragraph">
              <wp:posOffset>119380</wp:posOffset>
            </wp:positionV>
            <wp:extent cx="2966085" cy="2028190"/>
            <wp:effectExtent l="12700" t="12700" r="18415" b="16510"/>
            <wp:wrapThrough wrapText="bothSides">
              <wp:wrapPolygon edited="0">
                <wp:start x="-92" y="-135"/>
                <wp:lineTo x="-92" y="21641"/>
                <wp:lineTo x="21642" y="21641"/>
                <wp:lineTo x="21642" y="-135"/>
                <wp:lineTo x="-92" y="-135"/>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66085" cy="2028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E6F7EEB" w14:textId="77777777" w:rsidR="005D0743" w:rsidRDefault="005D0743" w:rsidP="000B213D">
      <w:pPr>
        <w:pStyle w:val="BodyText"/>
        <w:rPr>
          <w:b/>
        </w:rPr>
      </w:pPr>
    </w:p>
    <w:p w14:paraId="77199358" w14:textId="77777777" w:rsidR="005D0743" w:rsidRDefault="005D0743" w:rsidP="000B213D">
      <w:pPr>
        <w:pStyle w:val="BodyText"/>
        <w:rPr>
          <w:b/>
        </w:rPr>
      </w:pPr>
    </w:p>
    <w:p w14:paraId="67D6AA37" w14:textId="77777777" w:rsidR="005D0743" w:rsidRDefault="005D0743" w:rsidP="000B213D">
      <w:pPr>
        <w:pStyle w:val="BodyText"/>
        <w:rPr>
          <w:b/>
        </w:rPr>
      </w:pPr>
    </w:p>
    <w:p w14:paraId="6FCB16BD" w14:textId="77777777" w:rsidR="005D0743" w:rsidRDefault="005D0743" w:rsidP="000B213D">
      <w:pPr>
        <w:pStyle w:val="BodyText"/>
        <w:rPr>
          <w:b/>
        </w:rPr>
      </w:pPr>
    </w:p>
    <w:p w14:paraId="38A4FBC3" w14:textId="77777777" w:rsidR="005D0743" w:rsidRDefault="005D0743" w:rsidP="000B213D">
      <w:pPr>
        <w:pStyle w:val="BodyText"/>
        <w:rPr>
          <w:b/>
        </w:rPr>
      </w:pPr>
    </w:p>
    <w:p w14:paraId="446F1C52" w14:textId="77777777" w:rsidR="005D0743" w:rsidRDefault="005D0743" w:rsidP="000B213D">
      <w:pPr>
        <w:pStyle w:val="BodyText"/>
        <w:rPr>
          <w:b/>
        </w:rPr>
      </w:pPr>
    </w:p>
    <w:p w14:paraId="5780ECB7" w14:textId="77777777" w:rsidR="005D0743" w:rsidRDefault="005D0743" w:rsidP="000B213D">
      <w:pPr>
        <w:pStyle w:val="BodyText"/>
        <w:rPr>
          <w:b/>
        </w:rPr>
      </w:pPr>
    </w:p>
    <w:p w14:paraId="137994CC" w14:textId="77777777" w:rsidR="005D0743" w:rsidRDefault="005D0743" w:rsidP="005D0743">
      <w:pPr>
        <w:pStyle w:val="Source"/>
      </w:pPr>
    </w:p>
    <w:p w14:paraId="6454486F" w14:textId="48A42331" w:rsidR="005D0743" w:rsidRPr="00DD3EE3" w:rsidRDefault="005D0743" w:rsidP="00DD3EE3">
      <w:pPr>
        <w:pStyle w:val="Source"/>
      </w:pPr>
      <w:r>
        <w:t>Source : Observatoire Climat HDF, CERDD, Novembre 2019</w:t>
      </w:r>
    </w:p>
    <w:p w14:paraId="65BE6092" w14:textId="22BA68D4" w:rsidR="000B213D" w:rsidRPr="00214F58" w:rsidRDefault="000B213D" w:rsidP="000B213D">
      <w:pPr>
        <w:pStyle w:val="BodyText"/>
        <w:rPr>
          <w:b/>
        </w:rPr>
      </w:pPr>
      <w:r w:rsidRPr="000C0DE9">
        <w:rPr>
          <w:b/>
        </w:rPr>
        <w:t>En raison de son profil industriel, la région Hauts-de-France émet par habitant, plus de CO</w:t>
      </w:r>
      <w:r w:rsidRPr="000C0DE9">
        <w:rPr>
          <w:b/>
          <w:vertAlign w:val="subscript"/>
        </w:rPr>
        <w:t xml:space="preserve">2 </w:t>
      </w:r>
      <w:r w:rsidRPr="000C0DE9">
        <w:rPr>
          <w:b/>
        </w:rPr>
        <w:t>que la moyenne française.</w:t>
      </w:r>
      <w:r>
        <w:t xml:space="preserve"> Cette différence pourrait supposer plus d’efforts pour atteindre la neutralité carbone donc une réduction considérable de la consommation d'énergies fossiles et la transition vers d’autres énergies non/peu carbonées. De plus, le passage du « facteur 4 » à la neutralité carbone ayant entraîné une forte évolution de l’objectif intermédiaire de développement des énergies renouvelables qui </w:t>
      </w:r>
      <w:r w:rsidR="008B14F9">
        <w:t>sera supérieur</w:t>
      </w:r>
      <w:r>
        <w:t xml:space="preserve"> à 32 % à l’horizon 2030 vient </w:t>
      </w:r>
      <w:r w:rsidRPr="00214F58">
        <w:rPr>
          <w:b/>
        </w:rPr>
        <w:t>renforcer la nécessité d’accélération de certaines filières telles que les énergies marines renouvelables, la filière bois-énergie, la valorisation de la biomasse, etc. qui représentent des potentiels régionaux importants.</w:t>
      </w:r>
    </w:p>
    <w:p w14:paraId="538BB0E8" w14:textId="0E369860" w:rsidR="000B213D" w:rsidRDefault="000B213D" w:rsidP="000B213D">
      <w:pPr>
        <w:pStyle w:val="BodyText"/>
        <w:rPr>
          <w:b/>
        </w:rPr>
      </w:pPr>
      <w:r>
        <w:t>En 2020, la région Hauts-de-France s’est classée en 5</w:t>
      </w:r>
      <w:r w:rsidRPr="00E9589B">
        <w:rPr>
          <w:vertAlign w:val="superscript"/>
        </w:rPr>
        <w:t>ème</w:t>
      </w:r>
      <w:r>
        <w:t xml:space="preserve"> position en matière de production d’électricité renouvelable (</w:t>
      </w:r>
      <w:r w:rsidRPr="00E9589B">
        <w:rPr>
          <w:b/>
          <w:bCs/>
        </w:rPr>
        <w:t>1</w:t>
      </w:r>
      <w:r w:rsidRPr="00E9589B">
        <w:rPr>
          <w:b/>
          <w:bCs/>
          <w:vertAlign w:val="superscript"/>
        </w:rPr>
        <w:t>ère</w:t>
      </w:r>
      <w:r w:rsidRPr="00E9589B">
        <w:rPr>
          <w:b/>
          <w:bCs/>
        </w:rPr>
        <w:t xml:space="preserve"> pour l’éolienne</w:t>
      </w:r>
      <w:r>
        <w:t>, 3</w:t>
      </w:r>
      <w:r w:rsidRPr="00E9589B">
        <w:rPr>
          <w:vertAlign w:val="superscript"/>
        </w:rPr>
        <w:t>ème</w:t>
      </w:r>
      <w:r>
        <w:t xml:space="preserve"> pour les </w:t>
      </w:r>
      <w:r w:rsidRPr="00E9589B">
        <w:t>bioénergies renouvelable</w:t>
      </w:r>
      <w:r>
        <w:t>s, avant dernière sur le solaire et dernière sur l’</w:t>
      </w:r>
      <w:r w:rsidRPr="00E9589B">
        <w:t>hydraulique renouvelable</w:t>
      </w:r>
      <w:r>
        <w:t>)</w:t>
      </w:r>
      <w:r>
        <w:rPr>
          <w:rStyle w:val="FootnoteReference"/>
        </w:rPr>
        <w:footnoteReference w:id="47"/>
      </w:r>
      <w:r>
        <w:t>. En ce qui concerne le gaz renouvelable, elle s’est positionnée à la 3</w:t>
      </w:r>
      <w:r w:rsidRPr="00E9589B">
        <w:rPr>
          <w:vertAlign w:val="superscript"/>
        </w:rPr>
        <w:t>ème</w:t>
      </w:r>
      <w:r>
        <w:t xml:space="preserve"> place</w:t>
      </w:r>
      <w:r w:rsidRPr="00214F58">
        <w:rPr>
          <w:b/>
        </w:rPr>
        <w:t xml:space="preserve">. Les énergies renouvelables se développent donc rapidement dans la région. </w:t>
      </w:r>
    </w:p>
    <w:p w14:paraId="4B98574A" w14:textId="476D9507" w:rsidR="000051BA" w:rsidRDefault="005D0743" w:rsidP="000051BA">
      <w:pPr>
        <w:pStyle w:val="Caption"/>
      </w:pPr>
      <w:r>
        <w:t xml:space="preserve">Tableau </w:t>
      </w:r>
      <w:r>
        <w:fldChar w:fldCharType="begin"/>
      </w:r>
      <w:r>
        <w:instrText xml:space="preserve"> SEQ Tableau \* ARABIC </w:instrText>
      </w:r>
      <w:r>
        <w:fldChar w:fldCharType="separate"/>
      </w:r>
      <w:r w:rsidR="009F0282">
        <w:rPr>
          <w:noProof/>
        </w:rPr>
        <w:t>10</w:t>
      </w:r>
      <w:r>
        <w:fldChar w:fldCharType="end"/>
      </w:r>
      <w:r>
        <w:t xml:space="preserve"> Evolution du mix énergétique renouvelable</w:t>
      </w:r>
    </w:p>
    <w:p w14:paraId="582BE7B3" w14:textId="335BAD58" w:rsidR="005D0743" w:rsidRPr="00214F58" w:rsidRDefault="000051BA" w:rsidP="00DD3EE3">
      <w:pPr>
        <w:pStyle w:val="Caption"/>
        <w:rPr>
          <w:b/>
        </w:rPr>
      </w:pPr>
      <w:r>
        <w:rPr>
          <w:noProof/>
          <w:lang w:eastAsia="fr-FR"/>
        </w:rPr>
        <w:drawing>
          <wp:anchor distT="0" distB="0" distL="114300" distR="114300" simplePos="0" relativeHeight="251658244" behindDoc="1" locked="0" layoutInCell="1" allowOverlap="1" wp14:anchorId="706406F5" wp14:editId="76EA0B60">
            <wp:simplePos x="0" y="0"/>
            <wp:positionH relativeFrom="margin">
              <wp:posOffset>-2540</wp:posOffset>
            </wp:positionH>
            <wp:positionV relativeFrom="paragraph">
              <wp:posOffset>5715</wp:posOffset>
            </wp:positionV>
            <wp:extent cx="3477895" cy="1936750"/>
            <wp:effectExtent l="0" t="0" r="1905" b="6350"/>
            <wp:wrapTight wrapText="bothSides">
              <wp:wrapPolygon edited="0">
                <wp:start x="0" y="0"/>
                <wp:lineTo x="0" y="21104"/>
                <wp:lineTo x="158" y="21529"/>
                <wp:lineTo x="21375" y="21529"/>
                <wp:lineTo x="21533" y="21104"/>
                <wp:lineTo x="2153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7895"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F925F" w14:textId="77777777" w:rsidR="005D0743" w:rsidRDefault="005D0743" w:rsidP="000B213D">
      <w:pPr>
        <w:pStyle w:val="BodyText"/>
      </w:pPr>
    </w:p>
    <w:p w14:paraId="554789C9" w14:textId="77777777" w:rsidR="005D0743" w:rsidRDefault="005D0743" w:rsidP="000B213D">
      <w:pPr>
        <w:pStyle w:val="BodyText"/>
      </w:pPr>
    </w:p>
    <w:p w14:paraId="558AC25F" w14:textId="77777777" w:rsidR="005D0743" w:rsidRDefault="005D0743" w:rsidP="000B213D">
      <w:pPr>
        <w:pStyle w:val="BodyText"/>
      </w:pPr>
    </w:p>
    <w:p w14:paraId="78419783" w14:textId="77777777" w:rsidR="005D0743" w:rsidRDefault="005D0743" w:rsidP="000B213D">
      <w:pPr>
        <w:pStyle w:val="BodyText"/>
      </w:pPr>
    </w:p>
    <w:p w14:paraId="1E830CD7" w14:textId="77777777" w:rsidR="000051BA" w:rsidRDefault="000051BA" w:rsidP="000B213D">
      <w:pPr>
        <w:pStyle w:val="BodyText"/>
      </w:pPr>
    </w:p>
    <w:p w14:paraId="2EB35F62" w14:textId="77777777" w:rsidR="005D0743" w:rsidRDefault="005D0743" w:rsidP="005D0743">
      <w:pPr>
        <w:pStyle w:val="Source"/>
      </w:pPr>
    </w:p>
    <w:p w14:paraId="3BB42B46" w14:textId="09C65893" w:rsidR="005D0743" w:rsidRDefault="005D0743" w:rsidP="00DD3EE3">
      <w:pPr>
        <w:pStyle w:val="Source"/>
      </w:pPr>
      <w:r>
        <w:t>Source : Observatoire Climat HDF, CERDD, Novembre 2019</w:t>
      </w:r>
    </w:p>
    <w:p w14:paraId="310E9564" w14:textId="19931C5F" w:rsidR="000B213D" w:rsidRDefault="000B213D" w:rsidP="000B213D">
      <w:pPr>
        <w:pStyle w:val="BodyText"/>
      </w:pPr>
      <w:r>
        <w:t>En 2017, la production totale d’énergie renouvelable en Hauts-de-France est estimée à 21,4 TWh, soit environ 10,24 % de la consommation d’énergie finale régionale (contre 19% en moyenne nationale). Cette différence du mix est principalement due à la quasi-absence d’hydroélectricité.</w:t>
      </w:r>
      <w:r w:rsidRPr="0041760D">
        <w:t xml:space="preserve"> </w:t>
      </w:r>
    </w:p>
    <w:p w14:paraId="1785E064" w14:textId="14AF31CE" w:rsidR="000B213D" w:rsidRDefault="000B213D" w:rsidP="000B213D">
      <w:pPr>
        <w:pStyle w:val="BodyText"/>
      </w:pPr>
      <w:r w:rsidRPr="0041760D">
        <w:t>La production d'E</w:t>
      </w:r>
      <w:r w:rsidR="00871E5E">
        <w:t>n</w:t>
      </w:r>
      <w:r w:rsidRPr="0041760D">
        <w:t xml:space="preserve">R a </w:t>
      </w:r>
      <w:r>
        <w:t xml:space="preserve">donc </w:t>
      </w:r>
      <w:r w:rsidRPr="0041760D">
        <w:t>doublé entre 2010 et 2017</w:t>
      </w:r>
      <w:r>
        <w:t xml:space="preserve"> avec un </w:t>
      </w:r>
      <w:r w:rsidRPr="0041760D">
        <w:t xml:space="preserve">mix énergétique </w:t>
      </w:r>
      <w:r>
        <w:t>dominé par le bois-énergie et l’</w:t>
      </w:r>
      <w:r w:rsidRPr="0041760D">
        <w:t>éolien</w:t>
      </w:r>
      <w:r>
        <w:t xml:space="preserve">. </w:t>
      </w:r>
      <w:r w:rsidRPr="0041760D">
        <w:t xml:space="preserve">Le Bois Énergie représente 43% de </w:t>
      </w:r>
      <w:r>
        <w:t xml:space="preserve">la </w:t>
      </w:r>
      <w:r w:rsidRPr="0041760D">
        <w:t>production d'ENR en région, soit l'énergie renouvelable la plus représentée</w:t>
      </w:r>
      <w:r>
        <w:t xml:space="preserve"> (environ 86 % </w:t>
      </w:r>
      <w:r w:rsidRPr="00652FAB">
        <w:t xml:space="preserve">de la production d’énergie renouvelable </w:t>
      </w:r>
      <w:r>
        <w:t>thermique)</w:t>
      </w:r>
      <w:r w:rsidRPr="0041760D">
        <w:t>.</w:t>
      </w:r>
      <w:r>
        <w:t xml:space="preserve"> Quant à l’éolien, elle représente 27 %</w:t>
      </w:r>
      <w:r w:rsidRPr="00652FAB">
        <w:t xml:space="preserve"> </w:t>
      </w:r>
      <w:r w:rsidRPr="0041760D">
        <w:t xml:space="preserve">de </w:t>
      </w:r>
      <w:r>
        <w:t xml:space="preserve">la </w:t>
      </w:r>
      <w:r w:rsidRPr="0041760D">
        <w:t>production d'ENR en région</w:t>
      </w:r>
      <w:r>
        <w:t xml:space="preserve"> (environ 80 % </w:t>
      </w:r>
      <w:r w:rsidRPr="00652FAB">
        <w:t>de la production d’énergie renouvelable électrique</w:t>
      </w:r>
      <w:r>
        <w:t>).</w:t>
      </w:r>
      <w:r w:rsidRPr="007A16BA">
        <w:t xml:space="preserve"> </w:t>
      </w:r>
      <w:r>
        <w:t xml:space="preserve">La spécificité régionale est que </w:t>
      </w:r>
      <w:r w:rsidRPr="007A16BA">
        <w:t xml:space="preserve">l’électricité́ </w:t>
      </w:r>
      <w:r w:rsidRPr="007A16BA">
        <w:rPr>
          <w:rFonts w:ascii="Century Gothic" w:hAnsi="Century Gothic" w:cs="Century Gothic"/>
        </w:rPr>
        <w:t>é</w:t>
      </w:r>
      <w:r w:rsidRPr="007A16BA">
        <w:t>tant majoritairement d</w:t>
      </w:r>
      <w:r w:rsidRPr="007A16BA">
        <w:rPr>
          <w:rFonts w:ascii="Century Gothic" w:hAnsi="Century Gothic" w:cs="Century Gothic"/>
        </w:rPr>
        <w:t>’</w:t>
      </w:r>
      <w:r w:rsidRPr="007A16BA">
        <w:t>origine nucl</w:t>
      </w:r>
      <w:r w:rsidRPr="007A16BA">
        <w:rPr>
          <w:rFonts w:ascii="Century Gothic" w:hAnsi="Century Gothic" w:cs="Century Gothic"/>
        </w:rPr>
        <w:t>é</w:t>
      </w:r>
      <w:r w:rsidRPr="007A16BA">
        <w:t>aire (pr</w:t>
      </w:r>
      <w:r w:rsidRPr="007A16BA">
        <w:rPr>
          <w:rFonts w:ascii="Century Gothic" w:hAnsi="Century Gothic" w:cs="Century Gothic"/>
        </w:rPr>
        <w:t>è</w:t>
      </w:r>
      <w:r w:rsidRPr="007A16BA">
        <w:t>s de 50 % des capacit</w:t>
      </w:r>
      <w:r w:rsidRPr="007A16BA">
        <w:rPr>
          <w:rFonts w:ascii="Century Gothic" w:hAnsi="Century Gothic" w:cs="Century Gothic"/>
        </w:rPr>
        <w:t>é</w:t>
      </w:r>
      <w:r w:rsidRPr="007A16BA">
        <w:t>s install</w:t>
      </w:r>
      <w:r w:rsidRPr="007A16BA">
        <w:rPr>
          <w:rFonts w:ascii="Century Gothic" w:hAnsi="Century Gothic" w:cs="Century Gothic"/>
        </w:rPr>
        <w:t>é</w:t>
      </w:r>
      <w:r w:rsidRPr="007A16BA">
        <w:t>es r</w:t>
      </w:r>
      <w:r w:rsidRPr="007A16BA">
        <w:rPr>
          <w:rFonts w:ascii="Century Gothic" w:hAnsi="Century Gothic" w:cs="Century Gothic"/>
        </w:rPr>
        <w:t>é</w:t>
      </w:r>
      <w:r w:rsidRPr="007A16BA">
        <w:t>gionales).</w:t>
      </w:r>
    </w:p>
    <w:p w14:paraId="406A44FE" w14:textId="4525B9CA" w:rsidR="00043595" w:rsidRDefault="00043595" w:rsidP="00DD3EE3">
      <w:pPr>
        <w:pStyle w:val="Caption"/>
      </w:pPr>
      <w:r>
        <w:t xml:space="preserve">Tableau </w:t>
      </w:r>
      <w:r>
        <w:fldChar w:fldCharType="begin"/>
      </w:r>
      <w:r>
        <w:instrText xml:space="preserve"> SEQ Tableau \* ARABIC </w:instrText>
      </w:r>
      <w:r>
        <w:fldChar w:fldCharType="separate"/>
      </w:r>
      <w:r w:rsidR="009F0282">
        <w:rPr>
          <w:noProof/>
        </w:rPr>
        <w:t>11</w:t>
      </w:r>
      <w:r>
        <w:fldChar w:fldCharType="end"/>
      </w:r>
      <w:r>
        <w:t xml:space="preserve"> Répartition de la production d'EnR et de récupération</w:t>
      </w:r>
    </w:p>
    <w:p w14:paraId="01F59DE1" w14:textId="2B0EB923" w:rsidR="000B213D" w:rsidRDefault="000B213D" w:rsidP="00043595">
      <w:pPr>
        <w:pStyle w:val="BodyText"/>
        <w:jc w:val="left"/>
      </w:pPr>
      <w:r>
        <w:rPr>
          <w:noProof/>
          <w:lang w:eastAsia="fr-FR"/>
        </w:rPr>
        <w:drawing>
          <wp:inline distT="0" distB="0" distL="0" distR="0" wp14:anchorId="6A8D7EBB" wp14:editId="68DBD8C7">
            <wp:extent cx="4347713" cy="3462067"/>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8">
                      <a:extLst>
                        <a:ext uri="{28A0092B-C50C-407E-A947-70E740481C1C}">
                          <a14:useLocalDpi xmlns:a14="http://schemas.microsoft.com/office/drawing/2010/main" val="0"/>
                        </a:ext>
                      </a:extLst>
                    </a:blip>
                    <a:stretch>
                      <a:fillRect/>
                    </a:stretch>
                  </pic:blipFill>
                  <pic:spPr>
                    <a:xfrm>
                      <a:off x="0" y="0"/>
                      <a:ext cx="4347713" cy="3462067"/>
                    </a:xfrm>
                    <a:prstGeom prst="rect">
                      <a:avLst/>
                    </a:prstGeom>
                  </pic:spPr>
                </pic:pic>
              </a:graphicData>
            </a:graphic>
          </wp:inline>
        </w:drawing>
      </w:r>
    </w:p>
    <w:p w14:paraId="53D8F9E5" w14:textId="77777777" w:rsidR="00043595" w:rsidRDefault="00043595" w:rsidP="00043595">
      <w:pPr>
        <w:pStyle w:val="Source"/>
      </w:pPr>
      <w:r>
        <w:t>Source : Observatoire Climat HDF, CERDD, Novembre 2019</w:t>
      </w:r>
    </w:p>
    <w:p w14:paraId="196BB3AF" w14:textId="77777777" w:rsidR="00043595" w:rsidRDefault="00043595" w:rsidP="00DD3EE3">
      <w:pPr>
        <w:pStyle w:val="BodyText"/>
        <w:jc w:val="left"/>
      </w:pPr>
    </w:p>
    <w:p w14:paraId="46B669CD" w14:textId="03CFF84C" w:rsidR="000B213D" w:rsidRDefault="000B213D" w:rsidP="000B213D">
      <w:pPr>
        <w:pStyle w:val="BodyText"/>
      </w:pPr>
      <w:r>
        <w:t>En Hauts-de-France</w:t>
      </w:r>
      <w:r w:rsidRPr="00214F58">
        <w:rPr>
          <w:b/>
        </w:rPr>
        <w:t>, certaines filières d’énergies renouvelables présentent un fort potentiel (le bois-énergie, la méthanisation, la géothermie, la thalasso-thermie, les énergies fatales, et l’hydrogène)</w:t>
      </w:r>
      <w:r>
        <w:t>. A ces énergies s’ajoutent d’autres énergies prioritaires à savoir les énergies marines renouvelables et de récupération de chaleur, le captage du CO</w:t>
      </w:r>
      <w:r w:rsidRPr="007912D1">
        <w:rPr>
          <w:vertAlign w:val="subscript"/>
        </w:rPr>
        <w:t>2</w:t>
      </w:r>
      <w:r>
        <w:t>, et des « gaz fugitifs</w:t>
      </w:r>
      <w:r w:rsidR="0089463A">
        <w:t> </w:t>
      </w:r>
      <w:r>
        <w:t>» (bassin minier) et les réseaux de chaleur urbains utilisant les énergies renouvelables ou fatales ainsi que le d</w:t>
      </w:r>
      <w:r w:rsidRPr="007912D1">
        <w:t xml:space="preserve">éveloppement des « smart </w:t>
      </w:r>
      <w:proofErr w:type="spellStart"/>
      <w:r w:rsidRPr="007912D1">
        <w:t>grids</w:t>
      </w:r>
      <w:proofErr w:type="spellEnd"/>
      <w:r w:rsidRPr="007912D1">
        <w:t xml:space="preserve"> » et des solutions de stockage, particulièrement en lien avec le développement de la filière Hydrogène</w:t>
      </w:r>
      <w:r>
        <w:t>.</w:t>
      </w:r>
    </w:p>
    <w:p w14:paraId="5F05A5A1" w14:textId="77777777" w:rsidR="000B213D" w:rsidRDefault="000B213D" w:rsidP="000B213D">
      <w:pPr>
        <w:pStyle w:val="BodyText"/>
      </w:pPr>
      <w:r>
        <w:t xml:space="preserve">En matière de décarbonation des transports, les motorisations nouvelles utilisant les </w:t>
      </w:r>
      <w:proofErr w:type="spellStart"/>
      <w:r>
        <w:t>Bio-GNV</w:t>
      </w:r>
      <w:proofErr w:type="spellEnd"/>
      <w:r>
        <w:t xml:space="preserve">, l’hydrogène et d’autres énergies à meilleur impact environnemental sont prioritaires avec un déploiement d'infrastructures d'avitaillement et de rechargement des véhicules propres (électrique, hydrogène, biogaz...). </w:t>
      </w:r>
    </w:p>
    <w:p w14:paraId="76AFFF41" w14:textId="77777777" w:rsidR="000B213D" w:rsidRDefault="000B213D" w:rsidP="000B213D">
      <w:pPr>
        <w:pStyle w:val="BodyText"/>
      </w:pPr>
      <w:r>
        <w:t>Tout comme prévoit l</w:t>
      </w:r>
      <w:r w:rsidRPr="002B4E47">
        <w:t xml:space="preserve">a loi climat-résilience d’inclure une feuille de route pour le développement des communautés d’énergies renouvelables et des communautés énergétiques citoyennes, afin de favoriser l’implication des citoyens, des collectivités territoriales et des PME dans les projets d’énergies renouvelables et </w:t>
      </w:r>
      <w:r w:rsidRPr="005C774D">
        <w:t xml:space="preserve">d’autoconsommation, </w:t>
      </w:r>
      <w:r w:rsidRPr="005C774D">
        <w:rPr>
          <w:b/>
          <w:bCs/>
        </w:rPr>
        <w:t>la stratégie régionale accorde un rôle prépondérant aux territoires</w:t>
      </w:r>
      <w:r w:rsidRPr="005C774D">
        <w:t xml:space="preserve"> dans le développement des énergies renouvelables et des économies d’énergie afin de favoriser leur autonomie énergétique, celle des entreprises et des habitants. Dans cet objectif, les territoires sont encouragés à privilégier les formes d’investissements public et citoyen dans les projets de production d’énergies renouvelables et de récupération. Le modèle de développement est fondé sur une production, un stockage et une gestion décentralisée des énergies renouvelables/récupération à travers un développement territorialisé d’infrastructures dédiées, et une adaptation des réseaux. </w:t>
      </w:r>
    </w:p>
    <w:p w14:paraId="455AA3D0" w14:textId="40EA98DE" w:rsidR="00CB2BFD" w:rsidRDefault="00CE571A" w:rsidP="00654653">
      <w:pPr>
        <w:pStyle w:val="Heading3"/>
      </w:pPr>
      <w:bookmarkStart w:id="87" w:name="_Toc52499476"/>
      <w:bookmarkStart w:id="88" w:name="_Hlk68170308"/>
      <w:bookmarkStart w:id="89" w:name="_Toc93390283"/>
      <w:r>
        <w:t>D</w:t>
      </w:r>
      <w:r w:rsidR="004B5976">
        <w:t>onnées structurelles</w:t>
      </w:r>
      <w:r w:rsidR="00CC2FBC">
        <w:t xml:space="preserve"> </w:t>
      </w:r>
      <w:bookmarkEnd w:id="87"/>
      <w:r>
        <w:t>et</w:t>
      </w:r>
      <w:r w:rsidR="006241B4">
        <w:t xml:space="preserve"> stratégies régionales clefs</w:t>
      </w:r>
      <w:bookmarkEnd w:id="88"/>
      <w:bookmarkEnd w:id="89"/>
    </w:p>
    <w:p w14:paraId="68E4CE8A" w14:textId="77777777" w:rsidR="00E620B0" w:rsidRDefault="00E620B0" w:rsidP="00523D07">
      <w:pPr>
        <w:pStyle w:val="Heading4"/>
      </w:pPr>
      <w:r>
        <w:t>Cadre européen</w:t>
      </w:r>
    </w:p>
    <w:p w14:paraId="2CD47D25" w14:textId="177E70F5" w:rsidR="00E620B0" w:rsidRDefault="00B66DB9" w:rsidP="00E620B0">
      <w:pPr>
        <w:pStyle w:val="BodyText"/>
      </w:pPr>
      <w:r>
        <w:t>L</w:t>
      </w:r>
      <w:r w:rsidR="00E620B0">
        <w:t>e «</w:t>
      </w:r>
      <w:r w:rsidR="00E620B0" w:rsidRPr="00503C4C">
        <w:rPr>
          <w:b/>
          <w:bCs/>
        </w:rPr>
        <w:t xml:space="preserve"> Pacte vert pour l'Europe</w:t>
      </w:r>
      <w:r w:rsidR="00E620B0">
        <w:t> »</w:t>
      </w:r>
      <w:r>
        <w:t xml:space="preserve"> vise la</w:t>
      </w:r>
      <w:r w:rsidR="00E620B0" w:rsidRPr="00994FDE">
        <w:t xml:space="preserve"> neutralité climatique de l'UE à l'horizon 2050</w:t>
      </w:r>
      <w:r w:rsidR="00E620B0">
        <w:t xml:space="preserve">. </w:t>
      </w:r>
      <w:r>
        <w:t>L</w:t>
      </w:r>
      <w:r w:rsidR="00E620B0">
        <w:t xml:space="preserve">es objectifs à l’horizon 2030 en matière de réduction des émissions nettes de GES ont été relevés de 30 % à 55 % par rapport à 1990. Cette stratégie européenne se repose entre autres sur les énergies renouvelables. </w:t>
      </w:r>
      <w:r w:rsidR="00E620B0" w:rsidRPr="00503C4C">
        <w:t xml:space="preserve">L’efficacité énergétique, </w:t>
      </w:r>
      <w:r w:rsidR="00E620B0">
        <w:t xml:space="preserve">l’usage des </w:t>
      </w:r>
      <w:r w:rsidR="00E620B0" w:rsidRPr="00503C4C">
        <w:t>sols</w:t>
      </w:r>
      <w:r w:rsidR="00E620B0">
        <w:t xml:space="preserve">, </w:t>
      </w:r>
      <w:r w:rsidR="00E620B0" w:rsidRPr="00503C4C">
        <w:t>les normes de performance en matière d'émissions de CO</w:t>
      </w:r>
      <w:r w:rsidR="00E620B0" w:rsidRPr="00503C4C">
        <w:rPr>
          <w:vertAlign w:val="subscript"/>
        </w:rPr>
        <w:t xml:space="preserve">2 </w:t>
      </w:r>
      <w:r w:rsidR="00E620B0" w:rsidRPr="00503C4C">
        <w:t>pour les véhicules légers</w:t>
      </w:r>
      <w:r w:rsidR="00E620B0">
        <w:t>, etc</w:t>
      </w:r>
      <w:r w:rsidR="00CC0035">
        <w:t>.</w:t>
      </w:r>
      <w:r w:rsidR="00E620B0">
        <w:t xml:space="preserve"> devraient bientôt évoluer pour se conformer à ce nouvel objectif européen. Dans ces ambitions actuelles, le</w:t>
      </w:r>
      <w:r w:rsidR="00E620B0" w:rsidRPr="00503C4C">
        <w:t xml:space="preserve"> cadre d’action en matière de climat et d’énergie à l’horizon 2030</w:t>
      </w:r>
      <w:r w:rsidR="00E620B0">
        <w:t xml:space="preserve"> prévoyait pour cible de p</w:t>
      </w:r>
      <w:r w:rsidR="00E620B0" w:rsidRPr="00503C4C">
        <w:t>orter la part des énergies renouvelables à au moins 32 %</w:t>
      </w:r>
      <w:r w:rsidR="00E620B0">
        <w:t>. Cet objectif était calqué sur l’ambition</w:t>
      </w:r>
      <w:r w:rsidR="00E620B0" w:rsidRPr="005E5BFB">
        <w:t xml:space="preserve"> de 40 % les émissions de gaz à effet de serre</w:t>
      </w:r>
      <w:r w:rsidR="00E620B0">
        <w:t>.</w:t>
      </w:r>
      <w:r w:rsidR="00E620B0" w:rsidRPr="00F77D43">
        <w:t xml:space="preserve"> </w:t>
      </w:r>
      <w:r w:rsidR="00E620B0">
        <w:t>Les ambitions européennes sont traduits par les États-membres de l’Union Européenne dans des plans nationaux intégrés énergie-climat.</w:t>
      </w:r>
    </w:p>
    <w:p w14:paraId="6ED1B554" w14:textId="77777777" w:rsidR="00E620B0" w:rsidRDefault="00E620B0" w:rsidP="00523D07">
      <w:pPr>
        <w:pStyle w:val="Heading4"/>
      </w:pPr>
      <w:r>
        <w:t>Cadre national</w:t>
      </w:r>
    </w:p>
    <w:p w14:paraId="7E263CE4" w14:textId="77777777" w:rsidR="00E620B0" w:rsidRDefault="00E620B0" w:rsidP="00E620B0">
      <w:pPr>
        <w:pStyle w:val="BodyText"/>
      </w:pPr>
      <w:r w:rsidRPr="00503C4C">
        <w:t>En</w:t>
      </w:r>
      <w:r w:rsidRPr="00923651">
        <w:rPr>
          <w:b/>
          <w:bCs/>
        </w:rPr>
        <w:t xml:space="preserve"> France</w:t>
      </w:r>
      <w:r>
        <w:t>, la loi portant lutte contre le dérèglement climatique et renforcement de la résilience face à ses effets adopté en 1</w:t>
      </w:r>
      <w:r w:rsidRPr="005E5BFB">
        <w:rPr>
          <w:vertAlign w:val="superscript"/>
        </w:rPr>
        <w:t>ère</w:t>
      </w:r>
      <w:r>
        <w:t xml:space="preserve"> lecture en mai 2021, a été élaborée en cohérence avec l’objectif européen de réduction </w:t>
      </w:r>
      <w:r w:rsidRPr="005E5BFB">
        <w:t>40 % les émissions de gaz à effet de serre</w:t>
      </w:r>
      <w:r>
        <w:t>.</w:t>
      </w:r>
      <w:r w:rsidRPr="00C32C38">
        <w:t xml:space="preserve"> </w:t>
      </w:r>
      <w:r>
        <w:t xml:space="preserve"> Cette loi vient prendre des mesures d’alignement de la </w:t>
      </w:r>
      <w:r w:rsidRPr="00C32C38">
        <w:t>stratégie nationale bas carbone,</w:t>
      </w:r>
      <w:r>
        <w:t xml:space="preserve"> mais également des mesures de durcissement d</w:t>
      </w:r>
      <w:r w:rsidRPr="00C32C38">
        <w:t>es clauses environnementales des marchés publics</w:t>
      </w:r>
      <w:r>
        <w:t>. Elle permet de créer un lien entre les objectifs de long terme et les décisions de court terme.</w:t>
      </w:r>
    </w:p>
    <w:p w14:paraId="1BFAEDE4" w14:textId="0B9F910F" w:rsidR="00E620B0" w:rsidRDefault="00E620B0" w:rsidP="00E620B0">
      <w:pPr>
        <w:pStyle w:val="BodyText"/>
      </w:pPr>
      <w:r w:rsidRPr="005E5BFB">
        <w:t xml:space="preserve">Le chapitre IV </w:t>
      </w:r>
      <w:r>
        <w:t xml:space="preserve">du titre II </w:t>
      </w:r>
      <w:r w:rsidRPr="005E5BFB">
        <w:t>contient les dispositions accompagnant le développement de l’énergie décarbonée</w:t>
      </w:r>
      <w:r>
        <w:t xml:space="preserve"> au niveau des territoires en vue de l’atteinte des </w:t>
      </w:r>
      <w:r w:rsidRPr="005E5BFB">
        <w:t>objectifs nationaux de la programmation pluriannuelle de l’énergie.</w:t>
      </w:r>
      <w:r>
        <w:t xml:space="preserve"> Ainsi, les régions doivent décliner les objectifs de la programmation pluriannuelle de l’énergie (PPE) par des objectifs régionaux de développement </w:t>
      </w:r>
      <w:r w:rsidRPr="00C32C38">
        <w:t>de l’exploitation des énergies renouvelables et de récupération</w:t>
      </w:r>
      <w:r>
        <w:t xml:space="preserve"> ainsi que </w:t>
      </w:r>
      <w:r w:rsidRPr="00E74291">
        <w:t xml:space="preserve">le développement des communautés d’énergies renouvelables </w:t>
      </w:r>
      <w:r>
        <w:t xml:space="preserve">à travers les schémas régionaux d’aménagement, de développement durable et d’égalité des territoires. </w:t>
      </w:r>
    </w:p>
    <w:p w14:paraId="04850F6F" w14:textId="77777777" w:rsidR="00E620B0" w:rsidRDefault="00E620B0" w:rsidP="00E620B0">
      <w:pPr>
        <w:pStyle w:val="BodyText"/>
      </w:pPr>
      <w:r>
        <w:t xml:space="preserve">Le titre III prend des dispositions d’accélération de la transition de la mobilité, dont notamment l’ambition d’atteindre 95 % de ventes de voitures particulières « propres » dès 2030 (l’objectif précédent à l’horizon 2030 était de 35 % de voitures particulières électriques et de 10 % de voitures particulières hybrides rechargeables dans les ventes de véhicules neufs) et la suppression progressive de l’avantage fiscal sur le TICPE entre 2023 et 2030. D’autres dispositions importantes sont également prises. Il s’agit </w:t>
      </w:r>
      <w:r w:rsidRPr="00923651">
        <w:t xml:space="preserve">de favoriser le </w:t>
      </w:r>
      <w:r w:rsidRPr="00923651">
        <w:rPr>
          <w:b/>
          <w:bCs/>
        </w:rPr>
        <w:t>report modal</w:t>
      </w:r>
      <w:r w:rsidRPr="00923651">
        <w:t xml:space="preserve"> de la voiture vers les transports collectifs en entrée de ville</w:t>
      </w:r>
      <w:r>
        <w:t xml:space="preserve"> grâce à l’introduction des </w:t>
      </w:r>
      <w:r w:rsidRPr="00923651">
        <w:t>parkings</w:t>
      </w:r>
      <w:r w:rsidRPr="00923651">
        <w:rPr>
          <w:rFonts w:ascii="Cambria Math" w:hAnsi="Cambria Math" w:cs="Cambria Math"/>
        </w:rPr>
        <w:t>‑</w:t>
      </w:r>
      <w:r w:rsidRPr="00923651">
        <w:t>relais dans les objectifs des plans de mobilit</w:t>
      </w:r>
      <w:r w:rsidRPr="00923651">
        <w:rPr>
          <w:rFonts w:ascii="Century Gothic" w:hAnsi="Century Gothic" w:cs="Century Gothic"/>
        </w:rPr>
        <w:t>é</w:t>
      </w:r>
      <w:r w:rsidRPr="00923651">
        <w:t xml:space="preserve"> </w:t>
      </w:r>
      <w:r w:rsidRPr="00923651">
        <w:rPr>
          <w:rFonts w:ascii="Century Gothic" w:hAnsi="Century Gothic" w:cs="Century Gothic"/>
        </w:rPr>
        <w:t>é</w:t>
      </w:r>
      <w:r w:rsidRPr="00923651">
        <w:t>labor</w:t>
      </w:r>
      <w:r w:rsidRPr="00923651">
        <w:rPr>
          <w:rFonts w:ascii="Century Gothic" w:hAnsi="Century Gothic" w:cs="Century Gothic"/>
        </w:rPr>
        <w:t>é</w:t>
      </w:r>
      <w:r w:rsidRPr="00923651">
        <w:t>s par les collectivit</w:t>
      </w:r>
      <w:r w:rsidRPr="00923651">
        <w:rPr>
          <w:rFonts w:ascii="Century Gothic" w:hAnsi="Century Gothic" w:cs="Century Gothic"/>
        </w:rPr>
        <w:t>é</w:t>
      </w:r>
      <w:r w:rsidRPr="00923651">
        <w:t>s territoriales</w:t>
      </w:r>
      <w:r>
        <w:t xml:space="preserve">, interdire le recours au transport aérien </w:t>
      </w:r>
      <w:r w:rsidRPr="00341491">
        <w:t xml:space="preserve">lorsque des alternatives ferroviaires existent en moins de </w:t>
      </w:r>
      <w:r>
        <w:t>2h30</w:t>
      </w:r>
      <w:r w:rsidRPr="00341491">
        <w:t xml:space="preserve"> à l’exception des liaisons aériennes qui assurent majoritairement le transport de passagers en correspondance</w:t>
      </w:r>
      <w:r w:rsidRPr="00923651">
        <w:t xml:space="preserve">. </w:t>
      </w:r>
      <w:r>
        <w:t xml:space="preserve">De plus, la loi oblige les </w:t>
      </w:r>
      <w:r w:rsidRPr="00923651">
        <w:t>agglom</w:t>
      </w:r>
      <w:r w:rsidRPr="00923651">
        <w:rPr>
          <w:rFonts w:ascii="Century Gothic" w:hAnsi="Century Gothic" w:cs="Century Gothic"/>
        </w:rPr>
        <w:t>é</w:t>
      </w:r>
      <w:r w:rsidRPr="00923651">
        <w:t>rations m</w:t>
      </w:r>
      <w:r w:rsidRPr="00923651">
        <w:rPr>
          <w:rFonts w:ascii="Century Gothic" w:hAnsi="Century Gothic" w:cs="Century Gothic"/>
        </w:rPr>
        <w:t>é</w:t>
      </w:r>
      <w:r w:rsidRPr="00923651">
        <w:t>tropolitaines de plus 150 000 habitants</w:t>
      </w:r>
      <w:r>
        <w:t xml:space="preserve">, à mettre en place </w:t>
      </w:r>
      <w:r w:rsidRPr="00923651">
        <w:t>des zones à faibles émissions mobilité (ZFE</w:t>
      </w:r>
      <w:r w:rsidRPr="00923651">
        <w:rPr>
          <w:rFonts w:ascii="Cambria Math" w:hAnsi="Cambria Math" w:cs="Cambria Math"/>
        </w:rPr>
        <w:t>‑</w:t>
      </w:r>
      <w:r w:rsidRPr="00923651">
        <w:t>m)</w:t>
      </w:r>
      <w:r>
        <w:t xml:space="preserve"> </w:t>
      </w:r>
      <w:r w:rsidRPr="00923651">
        <w:t>d</w:t>
      </w:r>
      <w:r w:rsidRPr="00923651">
        <w:rPr>
          <w:rFonts w:ascii="Century Gothic" w:hAnsi="Century Gothic" w:cs="Century Gothic"/>
        </w:rPr>
        <w:t>’</w:t>
      </w:r>
      <w:r w:rsidRPr="00923651">
        <w:t>ici le 31 d</w:t>
      </w:r>
      <w:r w:rsidRPr="00923651">
        <w:rPr>
          <w:rFonts w:ascii="Century Gothic" w:hAnsi="Century Gothic" w:cs="Century Gothic"/>
        </w:rPr>
        <w:t>é</w:t>
      </w:r>
      <w:r w:rsidRPr="00923651">
        <w:t>cembre 2024.</w:t>
      </w:r>
      <w:r>
        <w:t xml:space="preserve"> Les zones à faibles émissions mobilité (ZFE-m) sont des zones au sein desquelles, seuls les véhicules les moins polluants (en fonction de leur certificat Crit’Air) ont le droit d’y circuler. </w:t>
      </w:r>
    </w:p>
    <w:p w14:paraId="7FADD35C" w14:textId="77777777" w:rsidR="00E620B0" w:rsidRDefault="00E620B0" w:rsidP="00E620B0">
      <w:pPr>
        <w:pStyle w:val="BodyText"/>
      </w:pPr>
      <w:r>
        <w:t xml:space="preserve">La </w:t>
      </w:r>
      <w:r w:rsidRPr="00DD3EE3">
        <w:rPr>
          <w:b/>
          <w:bCs/>
        </w:rPr>
        <w:t>Stratégie Nationale Bas-Carbone</w:t>
      </w:r>
      <w:r w:rsidRPr="004459A7">
        <w:t xml:space="preserve"> (SNBC) est la feuille de route de la France pour lutter contre le changement climatique. Elle donne des orientations pour mettre en œuvre, dans tous les secteurs d’activité, la transition vers une économie bas-carbone, circulaire et durable.</w:t>
      </w:r>
      <w:r>
        <w:t xml:space="preserve"> Sa version adoptée en avril 2020</w:t>
      </w:r>
      <w:r w:rsidRPr="004459A7">
        <w:t xml:space="preserve"> vise la neutralité carbone sur le territoire français à l’horizon 2050</w:t>
      </w:r>
      <w:r>
        <w:t xml:space="preserve"> et une cible de </w:t>
      </w:r>
      <w:r w:rsidRPr="00D02451">
        <w:t>-40 % en 2030 par rapport à 1990</w:t>
      </w:r>
      <w:r>
        <w:t xml:space="preserve">. </w:t>
      </w:r>
    </w:p>
    <w:p w14:paraId="4A927FE9" w14:textId="77777777" w:rsidR="00E620B0" w:rsidRDefault="00E620B0" w:rsidP="00E620B0">
      <w:pPr>
        <w:pStyle w:val="BodyText"/>
      </w:pPr>
      <w:r>
        <w:t>La dernière programmation pluriannuelle de l’énergie a été adoptée en avril 2020. La PPE est le document programmatique qui cadre l’évolution du système énergétique national. La loi climat-résilience prévoit d’y inclure une feuille de route pour le développement des communautés d’énergies renouvelables et des communautés énergétiques citoyennes, afin de favoriser l’implication des citoyens, des collectivités territoriales et des PME dans les projets d’énergies renouvelables et d’autoconsommation. Dans sa version actuelle, les objectifs sont fixés par rapport l’année 2012 et visent une sortie quasi-totale du charbon à l’horizon 2028.</w:t>
      </w:r>
    </w:p>
    <w:p w14:paraId="7141E17D" w14:textId="77777777" w:rsidR="00E620B0" w:rsidRDefault="00E620B0" w:rsidP="00536470">
      <w:pPr>
        <w:pStyle w:val="Bullet1"/>
      </w:pPr>
      <w:r>
        <w:t>En 2023, une réduction de 66 % pour le charbon, 19 % pour le pétrole et 10 % pour le gaz naturel</w:t>
      </w:r>
    </w:p>
    <w:p w14:paraId="07745C12" w14:textId="77777777" w:rsidR="00E620B0" w:rsidRDefault="00E620B0" w:rsidP="00536470">
      <w:pPr>
        <w:pStyle w:val="Bullet1"/>
      </w:pPr>
      <w:r>
        <w:t>En 2028, une réduction de 80 % pour le charbon, 34 % pour le pétrole et 22 % pour le gaz naturel</w:t>
      </w:r>
    </w:p>
    <w:p w14:paraId="15FCC222" w14:textId="77777777" w:rsidR="00E620B0" w:rsidRDefault="00E620B0" w:rsidP="00E620B0">
      <w:pPr>
        <w:pStyle w:val="Bullet1"/>
        <w:numPr>
          <w:ilvl w:val="0"/>
          <w:numId w:val="0"/>
        </w:numPr>
      </w:pPr>
      <w:r>
        <w:t>En matière de production d’électricité, les objectifs de développement des énergies renouvelables portent sur 5 sources primaires avec des ambitions fortes sur l’éolienne en mer, l’énergie radiative du soleil. En matière d’hydroélectricité, l’objectif est également d’engager des projets de stockage sous forme de transfert d’électricité par pompage.</w:t>
      </w:r>
    </w:p>
    <w:p w14:paraId="1CB0508B" w14:textId="276806BA" w:rsidR="00E620B0" w:rsidRDefault="00E620B0" w:rsidP="00E620B0">
      <w:pPr>
        <w:pStyle w:val="Caption"/>
        <w:jc w:val="both"/>
      </w:pPr>
      <w:bookmarkStart w:id="90" w:name="_Toc88842119"/>
      <w:r>
        <w:t xml:space="preserve">Figure </w:t>
      </w:r>
      <w:r>
        <w:fldChar w:fldCharType="begin"/>
      </w:r>
      <w:r>
        <w:instrText xml:space="preserve"> SEQ Figure \* ARABIC </w:instrText>
      </w:r>
      <w:r>
        <w:fldChar w:fldCharType="separate"/>
      </w:r>
      <w:r w:rsidR="009F0282">
        <w:rPr>
          <w:noProof/>
        </w:rPr>
        <w:t>6</w:t>
      </w:r>
      <w:r>
        <w:fldChar w:fldCharType="end"/>
      </w:r>
      <w:r>
        <w:t xml:space="preserve"> énergies primaires prioritaires de la PPE pour la production d’électricité renouvelable</w:t>
      </w:r>
      <w:bookmarkEnd w:id="90"/>
      <w:r>
        <w:t xml:space="preserve"> </w:t>
      </w:r>
    </w:p>
    <w:p w14:paraId="330EB532" w14:textId="77777777" w:rsidR="00E620B0" w:rsidRDefault="00E620B0" w:rsidP="00E620B0">
      <w:pPr>
        <w:pStyle w:val="BodyText"/>
      </w:pPr>
      <w:r>
        <w:rPr>
          <w:noProof/>
          <w:lang w:eastAsia="fr-FR"/>
        </w:rPr>
        <w:drawing>
          <wp:inline distT="0" distB="0" distL="0" distR="0" wp14:anchorId="4D5F3E30" wp14:editId="59E19FA9">
            <wp:extent cx="5667375" cy="2266950"/>
            <wp:effectExtent l="0" t="0" r="9525" b="0"/>
            <wp:docPr id="8" name="Graphique 8">
              <a:extLst xmlns:a="http://schemas.openxmlformats.org/drawingml/2006/main">
                <a:ext uri="{FF2B5EF4-FFF2-40B4-BE49-F238E27FC236}">
                  <a16:creationId xmlns:a16="http://schemas.microsoft.com/office/drawing/2014/main" id="{BD518EA9-8F27-4882-92F3-42E53FEE0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4A0AB1" w14:textId="77777777" w:rsidR="00E620B0" w:rsidRDefault="00E620B0" w:rsidP="00E620B0">
      <w:pPr>
        <w:pStyle w:val="Source"/>
      </w:pPr>
      <w:r>
        <w:t>Source PPE Avril 2020</w:t>
      </w:r>
    </w:p>
    <w:p w14:paraId="718905BC" w14:textId="77777777" w:rsidR="00E620B0" w:rsidRDefault="00E620B0" w:rsidP="00E620B0">
      <w:pPr>
        <w:pStyle w:val="BodyText"/>
      </w:pPr>
      <w:r>
        <w:t>En matière de production de chaleur et de froid renouvelables et de récupération livrés par les réseaux, les ambitions sont les suivantes :</w:t>
      </w:r>
    </w:p>
    <w:p w14:paraId="30ADEA8B" w14:textId="77777777" w:rsidR="00E620B0" w:rsidRDefault="00E620B0" w:rsidP="00536470">
      <w:pPr>
        <w:pStyle w:val="Bullet1"/>
      </w:pPr>
      <w:r>
        <w:t>Pour la chaleur renouvelable et de récupération, passer de 24,4 TWh à 31 TWh (option basse)</w:t>
      </w:r>
    </w:p>
    <w:p w14:paraId="1B0BAA0B" w14:textId="77777777" w:rsidR="00E620B0" w:rsidRDefault="00E620B0" w:rsidP="00536470">
      <w:pPr>
        <w:pStyle w:val="Bullet1"/>
      </w:pPr>
      <w:r>
        <w:t>Pour le froid renouvelable et de récupération, passer de 1,1 TWh à 1,4 TWh (option basse)</w:t>
      </w:r>
    </w:p>
    <w:p w14:paraId="29872FC7" w14:textId="77777777" w:rsidR="00E620B0" w:rsidRPr="007972DE" w:rsidRDefault="00E620B0" w:rsidP="00E620B0">
      <w:pPr>
        <w:pStyle w:val="BodyText"/>
      </w:pPr>
      <w:r>
        <w:t xml:space="preserve">Plus spécifiquement sur le </w:t>
      </w:r>
      <w:r w:rsidRPr="000E77A7">
        <w:rPr>
          <w:b/>
          <w:bCs/>
        </w:rPr>
        <w:t>biogaz</w:t>
      </w:r>
      <w:r>
        <w:t xml:space="preserve">, la PPE vise un doublement de la production entre 2023 et 2028 (24 TWh pour l’option basse en 2028) avec un objectif de 14 TWh en 2023, la moitié environ étant en </w:t>
      </w:r>
      <w:r w:rsidRPr="000E77A7">
        <w:rPr>
          <w:b/>
          <w:bCs/>
        </w:rPr>
        <w:t>injection dans le réseau</w:t>
      </w:r>
      <w:r>
        <w:t xml:space="preserve">. </w:t>
      </w:r>
    </w:p>
    <w:p w14:paraId="4240BF95" w14:textId="77777777" w:rsidR="00E620B0" w:rsidRDefault="00E620B0" w:rsidP="00E620B0">
      <w:pPr>
        <w:pStyle w:val="BodyText"/>
      </w:pPr>
      <w:r>
        <w:t>En matière d’</w:t>
      </w:r>
      <w:r w:rsidRPr="000E77A7">
        <w:rPr>
          <w:b/>
          <w:bCs/>
        </w:rPr>
        <w:t>hydrogène</w:t>
      </w:r>
      <w:r>
        <w:t>, la PPE entend favoriser l’installation d’une dizaine de démonstrateurs d’ici 2023, avec une fourchette allant de 10 à 100 à l’horizon 2028. Il s’agit également de porter à 10% le taux d’hydrogène décarboné en 2023 et jusqu’à 40% en 2028.</w:t>
      </w:r>
    </w:p>
    <w:p w14:paraId="49028C3F" w14:textId="77777777" w:rsidR="00E620B0" w:rsidRDefault="00E620B0" w:rsidP="00E620B0">
      <w:pPr>
        <w:pStyle w:val="BodyText"/>
      </w:pPr>
      <w:r>
        <w:t>Sur le plan de la mobilité propre, la PPE prévoit une forte accélération de la conversion du parc sur la période 2023 – 2028</w:t>
      </w:r>
    </w:p>
    <w:p w14:paraId="01CB33EB" w14:textId="77777777" w:rsidR="00E620B0" w:rsidRDefault="00E620B0" w:rsidP="00536470">
      <w:pPr>
        <w:pStyle w:val="Bullet1"/>
      </w:pPr>
      <w:r>
        <w:t>Véhicules électriques : de 660 000 en 2023 à 3 000 000 en 2028</w:t>
      </w:r>
    </w:p>
    <w:p w14:paraId="6B93687A" w14:textId="77777777" w:rsidR="00E620B0" w:rsidRDefault="00E620B0" w:rsidP="00536470">
      <w:pPr>
        <w:pStyle w:val="Bullet1"/>
      </w:pPr>
      <w:r>
        <w:t>Véhicules particuliers hybrides rechargeables : de 500 000 en 2023 à 1 800 000 en 2028</w:t>
      </w:r>
    </w:p>
    <w:p w14:paraId="111C13AD" w14:textId="77777777" w:rsidR="00E620B0" w:rsidRDefault="00E620B0" w:rsidP="00536470">
      <w:pPr>
        <w:pStyle w:val="Bullet1"/>
      </w:pPr>
      <w:r>
        <w:t>Véhicules utilitaires légers électriques ou hybrides rechargeables : de 170 000 en 2023 à 500 000 en 2028</w:t>
      </w:r>
    </w:p>
    <w:p w14:paraId="7D2B87EB" w14:textId="77777777" w:rsidR="00E620B0" w:rsidRDefault="00E620B0" w:rsidP="00536470">
      <w:pPr>
        <w:pStyle w:val="Bullet1"/>
      </w:pPr>
      <w:r>
        <w:t>Véhicules lourds à faibles émissions : de 21 000 en 2023 à 65 000 à 2028</w:t>
      </w:r>
    </w:p>
    <w:p w14:paraId="0A0A4BCB" w14:textId="77777777" w:rsidR="00E620B0" w:rsidRDefault="00E620B0" w:rsidP="00523D07">
      <w:pPr>
        <w:pStyle w:val="Heading4"/>
      </w:pPr>
      <w:r w:rsidRPr="008501BD">
        <w:t xml:space="preserve">Cadre régional </w:t>
      </w:r>
    </w:p>
    <w:p w14:paraId="480A6351" w14:textId="77777777" w:rsidR="00E620B0" w:rsidRDefault="00E620B0" w:rsidP="00E620B0">
      <w:pPr>
        <w:pStyle w:val="BodyText"/>
      </w:pPr>
      <w:r>
        <w:t>La 3</w:t>
      </w:r>
      <w:r w:rsidRPr="004E6F65">
        <w:rPr>
          <w:vertAlign w:val="superscript"/>
        </w:rPr>
        <w:t>ème</w:t>
      </w:r>
      <w:r>
        <w:t xml:space="preserve"> révolution industrielle est structurée autour de l’amélioration du système énergétique régional (production, usages), et de l’économie circulaire. La réduction des GES est basée sur la maîtrise de la consommation énergétique et la production d’une énergie décarbonée. </w:t>
      </w:r>
    </w:p>
    <w:p w14:paraId="5190F995" w14:textId="77777777" w:rsidR="00E620B0" w:rsidRDefault="00E620B0" w:rsidP="00E620B0">
      <w:pPr>
        <w:pStyle w:val="BodyText"/>
      </w:pPr>
      <w:r>
        <w:t xml:space="preserve">En ce qui concerne la production d’énergie décarbonée, le but poursuivi est d’accompagner le développement des énergies renouvelables et partagées au profit des entreprises et des territoires en recherchant une diversification durable du mix énergétique et de structurer le marché autour de collectifs publics privés. Au niveau des transports, l’enjeu est de rendre les modes alternatifs à la route plus attractifs et faciles d’accès.  </w:t>
      </w:r>
    </w:p>
    <w:p w14:paraId="41C3BD31" w14:textId="77777777" w:rsidR="00E620B0" w:rsidRDefault="00E620B0" w:rsidP="00523D07">
      <w:pPr>
        <w:pStyle w:val="Heading5"/>
      </w:pPr>
      <w:r>
        <w:t xml:space="preserve">Le </w:t>
      </w:r>
      <w:r w:rsidRPr="004E6F65">
        <w:t>SRADDET</w:t>
      </w:r>
    </w:p>
    <w:p w14:paraId="0D3DE881" w14:textId="77777777" w:rsidR="00E620B0" w:rsidRPr="001C6722" w:rsidRDefault="00E620B0" w:rsidP="00E620B0">
      <w:pPr>
        <w:pStyle w:val="BodyText"/>
        <w:keepNext/>
        <w:keepLines/>
        <w:rPr>
          <w:b/>
          <w:bCs/>
        </w:rPr>
      </w:pPr>
      <w:r w:rsidRPr="004250EB">
        <w:rPr>
          <w:b/>
          <w:bCs/>
        </w:rPr>
        <w:t>Encourager la sobriété et organiser les transitions</w:t>
      </w:r>
    </w:p>
    <w:p w14:paraId="1B0D5F54" w14:textId="208FF1BC" w:rsidR="00E620B0" w:rsidRDefault="00E620B0" w:rsidP="00E620B0">
      <w:pPr>
        <w:pStyle w:val="BodyText"/>
        <w:keepNext/>
        <w:keepLines/>
      </w:pPr>
      <w:r>
        <w:rPr>
          <w:noProof/>
          <w:lang w:eastAsia="fr-FR"/>
        </w:rPr>
        <w:drawing>
          <wp:anchor distT="0" distB="0" distL="114300" distR="114300" simplePos="0" relativeHeight="251658242" behindDoc="1" locked="0" layoutInCell="1" allowOverlap="1" wp14:anchorId="3FB709A2" wp14:editId="6BF973A0">
            <wp:simplePos x="0" y="0"/>
            <wp:positionH relativeFrom="margin">
              <wp:align>left</wp:align>
            </wp:positionH>
            <wp:positionV relativeFrom="paragraph">
              <wp:posOffset>723265</wp:posOffset>
            </wp:positionV>
            <wp:extent cx="2912110" cy="3810000"/>
            <wp:effectExtent l="0" t="0" r="2540" b="0"/>
            <wp:wrapTight wrapText="bothSides">
              <wp:wrapPolygon edited="0">
                <wp:start x="0" y="0"/>
                <wp:lineTo x="0" y="21492"/>
                <wp:lineTo x="21478" y="21492"/>
                <wp:lineTo x="2147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1798" b="5604"/>
                    <a:stretch/>
                  </pic:blipFill>
                  <pic:spPr bwMode="auto">
                    <a:xfrm>
                      <a:off x="0" y="0"/>
                      <a:ext cx="2914044" cy="3812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1" w:name="_Hlk72928211"/>
      <w:r>
        <w:t>Le S</w:t>
      </w:r>
      <w:r w:rsidRPr="00227612">
        <w:t>RADDET</w:t>
      </w:r>
      <w:r w:rsidR="00561015">
        <w:t xml:space="preserve"> adopté</w:t>
      </w:r>
      <w:r>
        <w:t xml:space="preserve"> en 2020</w:t>
      </w:r>
      <w:r w:rsidR="00561015">
        <w:t xml:space="preserve"> </w:t>
      </w:r>
      <w:r>
        <w:t xml:space="preserve">a été élaboré en cohérence avec l’objectif « facteur 4 » visant à diviser par 4 les émissions de gaz à effet de serre (GES) entre le niveau de 1990 et celui de 2050. </w:t>
      </w:r>
      <w:bookmarkEnd w:id="91"/>
      <w:r>
        <w:t>Le SRADDET en Hauts-de-France s’inscrit dans la démarche changement de modèle énergétique par le biais notamment des nouvelles technologies prônées par la «</w:t>
      </w:r>
      <w:r w:rsidR="00684E9D">
        <w:t> </w:t>
      </w:r>
      <w:r>
        <w:t>Troisième révolution industrielle » (« REV3 »), avec pour ambition d’aller plus loin. La TRI «</w:t>
      </w:r>
      <w:r w:rsidR="00684E9D">
        <w:t> </w:t>
      </w:r>
      <w:r>
        <w:t xml:space="preserve">REV3 » propose une convergence entre trois mutations majeures à savoir la transition énergétique, la révolution numérique et les nouveaux modèles économiques réconciliés avec les ressources naturelles et humaines. Sur le plan énergétique, La </w:t>
      </w:r>
      <w:r w:rsidRPr="003E5E44">
        <w:rPr>
          <w:b/>
          <w:bCs/>
        </w:rPr>
        <w:t>maîtrise de la consommation énergétique</w:t>
      </w:r>
      <w:r>
        <w:t xml:space="preserve"> est un pilier de la stratégie à travers lequel l’innovation permettra de réduire et d’ajuster la consommation et le développement des capacités de production décentralisées et renouvelables ou de récupération.</w:t>
      </w:r>
    </w:p>
    <w:p w14:paraId="6B0ED169" w14:textId="77777777" w:rsidR="00E620B0" w:rsidRDefault="00E620B0" w:rsidP="00E620B0">
      <w:pPr>
        <w:pStyle w:val="BodyText"/>
      </w:pPr>
      <w:r>
        <w:t xml:space="preserve">La TRI suggère la mobilisation des forces locales issues des filières </w:t>
      </w:r>
      <w:r w:rsidRPr="003E5E44">
        <w:rPr>
          <w:b/>
          <w:bCs/>
        </w:rPr>
        <w:t>bois, méthanisation, solaire, géothermie et énergies de récupération, de même que les réseaux intelligents</w:t>
      </w:r>
      <w:r>
        <w:t xml:space="preserve"> (ou « smart </w:t>
      </w:r>
      <w:proofErr w:type="spellStart"/>
      <w:r>
        <w:t>grid</w:t>
      </w:r>
      <w:proofErr w:type="spellEnd"/>
      <w:r>
        <w:t xml:space="preserve"> ») qui répondent aux enjeux de stockage. Le but est de garantir un haut niveau de service et de performance aux activités économiques et consolider un champ d’expertise régional. Les solutions de </w:t>
      </w:r>
      <w:r w:rsidRPr="003E5E44">
        <w:rPr>
          <w:b/>
          <w:bCs/>
        </w:rPr>
        <w:t>boucles énergétiques</w:t>
      </w:r>
      <w:r>
        <w:t xml:space="preserve"> locales mixant différents usages et différents secteurs, avec un approvisionnement de ces boucles provenant de sources renouvelables ou de récupération sont aussi envisagées.</w:t>
      </w:r>
    </w:p>
    <w:p w14:paraId="32849651" w14:textId="77777777" w:rsidR="00E620B0" w:rsidRDefault="00E620B0" w:rsidP="00E620B0">
      <w:pPr>
        <w:pStyle w:val="BodyText"/>
      </w:pPr>
      <w:r>
        <w:t>En cohérence avec la TRI, le SRADDET vise à favoriser la mise en place de politiques énergétiques territorialisées cohérentes afin d’optimiser à la fois la production, la distribution, la consommation des énergies disponibles localement, et encourager le recours à des réseaux intelligents. Cette vision est basée sur l’orientation stratégique qui vise à o</w:t>
      </w:r>
      <w:r w:rsidRPr="001C6722">
        <w:t>ffrir un aménagement durable de qualité du territoire régional, facteur d’attractivité</w:t>
      </w:r>
      <w:r>
        <w:t xml:space="preserve"> à travers la trame verte et Bleue, la biodiversité et maîtrise de la consommation énergétique.</w:t>
      </w:r>
      <w:r w:rsidRPr="00525145">
        <w:t xml:space="preserve"> </w:t>
      </w:r>
    </w:p>
    <w:p w14:paraId="23876DEE" w14:textId="77777777" w:rsidR="00E620B0" w:rsidRDefault="00E620B0" w:rsidP="00E620B0">
      <w:pPr>
        <w:pStyle w:val="BodyText"/>
      </w:pPr>
      <w:r>
        <w:t>L</w:t>
      </w:r>
      <w:r w:rsidRPr="00525145">
        <w:t xml:space="preserve">e développement des énergies renouvelables dans le mix énergétique régional </w:t>
      </w:r>
      <w:r>
        <w:t xml:space="preserve">est l’un des 4 objectifs liés cette orientation stratégique. </w:t>
      </w:r>
      <w:bookmarkStart w:id="92" w:name="_Hlk72928195"/>
      <w:r>
        <w:t xml:space="preserve">En lien avec la loi TECV fixant les objectifs nationaux de développer les énergies renouvelables (et de récupération) afin qu’elles représentent 23% de la consommation finale d’énergie en 2020 et 32% en 2030, la région s’est fixé pour objectif d’atteindre respectivement </w:t>
      </w:r>
      <w:r w:rsidRPr="00652FAB">
        <w:t xml:space="preserve">20% </w:t>
      </w:r>
      <w:r>
        <w:t xml:space="preserve">en 2026 et </w:t>
      </w:r>
      <w:r w:rsidRPr="00652FAB">
        <w:t xml:space="preserve">28% </w:t>
      </w:r>
      <w:r>
        <w:t xml:space="preserve">en 2030 (compatible avec l’effort de facteur 2 en 2030 au niveau national). </w:t>
      </w:r>
      <w:bookmarkEnd w:id="92"/>
      <w:r>
        <w:t xml:space="preserve">Rappelons que l’objectif fixé pour 2021 était de </w:t>
      </w:r>
      <w:r w:rsidRPr="00652FAB">
        <w:t>15%</w:t>
      </w:r>
      <w:r>
        <w:t xml:space="preserve">. </w:t>
      </w:r>
    </w:p>
    <w:p w14:paraId="1D910866" w14:textId="77777777" w:rsidR="00E620B0" w:rsidRDefault="00E620B0" w:rsidP="00E620B0">
      <w:pPr>
        <w:pStyle w:val="BodyText"/>
      </w:pPr>
      <w:r>
        <w:t xml:space="preserve">Concernant les énergies électriques renouvelables, la priorité est donnée au solaire, le niveau de l’éolien étant stabilisé </w:t>
      </w:r>
      <w:r w:rsidRPr="00D72AC5">
        <w:t>afin d’éviter les impacts environnementaux et en particulier le phénomène de saturation visuelle</w:t>
      </w:r>
      <w:r>
        <w:t>. Concernant les énergies thermiques renouvelables, la priorité est donnée au biogaz, à la géothermie, à la valorisation des énergies fatales et de récupération et ceci grâce au déploiement des énergies renouvelables dans les réseaux de chaleur.</w:t>
      </w:r>
    </w:p>
    <w:p w14:paraId="20F85DC6" w14:textId="06155A6C" w:rsidR="00043595" w:rsidRDefault="00043595" w:rsidP="00DD3EE3">
      <w:pPr>
        <w:pStyle w:val="Caption"/>
      </w:pPr>
      <w:r>
        <w:t xml:space="preserve">Tableau </w:t>
      </w:r>
      <w:r>
        <w:fldChar w:fldCharType="begin"/>
      </w:r>
      <w:r>
        <w:instrText xml:space="preserve"> SEQ Tableau \* ARABIC </w:instrText>
      </w:r>
      <w:r>
        <w:fldChar w:fldCharType="separate"/>
      </w:r>
      <w:r w:rsidR="009F0282">
        <w:rPr>
          <w:noProof/>
        </w:rPr>
        <w:t>12</w:t>
      </w:r>
      <w:r>
        <w:fldChar w:fldCharType="end"/>
      </w:r>
      <w:r>
        <w:t xml:space="preserve"> Objectifs de production par </w:t>
      </w:r>
      <w:proofErr w:type="spellStart"/>
      <w:r>
        <w:t>EnR</w:t>
      </w:r>
      <w:proofErr w:type="spellEnd"/>
    </w:p>
    <w:tbl>
      <w:tblPr>
        <w:tblStyle w:val="TechnopolisTable"/>
        <w:tblW w:w="8589" w:type="dxa"/>
        <w:tblLook w:val="04A0" w:firstRow="1" w:lastRow="0" w:firstColumn="1" w:lastColumn="0" w:noHBand="0" w:noVBand="1"/>
      </w:tblPr>
      <w:tblGrid>
        <w:gridCol w:w="1450"/>
        <w:gridCol w:w="1274"/>
        <w:gridCol w:w="745"/>
        <w:gridCol w:w="1538"/>
        <w:gridCol w:w="918"/>
        <w:gridCol w:w="1094"/>
        <w:gridCol w:w="1570"/>
      </w:tblGrid>
      <w:tr w:rsidR="00E620B0" w:rsidRPr="00C95721" w14:paraId="5AD42225" w14:textId="77777777" w:rsidTr="00D70F6D">
        <w:trPr>
          <w:cnfStyle w:val="100000000000" w:firstRow="1" w:lastRow="0" w:firstColumn="0" w:lastColumn="0" w:oddVBand="0" w:evenVBand="0" w:oddHBand="0" w:evenHBand="0" w:firstRowFirstColumn="0" w:firstRowLastColumn="0" w:lastRowFirstColumn="0" w:lastRowLastColumn="0"/>
          <w:trHeight w:val="799"/>
        </w:trPr>
        <w:tc>
          <w:tcPr>
            <w:tcW w:w="1450" w:type="dxa"/>
            <w:hideMark/>
          </w:tcPr>
          <w:p w14:paraId="5FFBE8BA" w14:textId="77777777" w:rsidR="00E620B0" w:rsidRPr="00C95721" w:rsidRDefault="00E620B0" w:rsidP="00D70F6D">
            <w:pPr>
              <w:pStyle w:val="Tabletext"/>
            </w:pPr>
            <w:r w:rsidRPr="00C95721">
              <w:t>Production d’énergies renouvelables en GWh</w:t>
            </w:r>
          </w:p>
        </w:tc>
        <w:tc>
          <w:tcPr>
            <w:tcW w:w="1274" w:type="dxa"/>
            <w:hideMark/>
          </w:tcPr>
          <w:p w14:paraId="5E1BFFD6" w14:textId="77777777" w:rsidR="00E620B0" w:rsidRPr="00C95721" w:rsidRDefault="00E620B0" w:rsidP="00D70F6D">
            <w:pPr>
              <w:pStyle w:val="Tabletext"/>
            </w:pPr>
            <w:r w:rsidRPr="00C95721">
              <w:t>Hydraulique</w:t>
            </w:r>
          </w:p>
        </w:tc>
        <w:tc>
          <w:tcPr>
            <w:tcW w:w="745" w:type="dxa"/>
            <w:hideMark/>
          </w:tcPr>
          <w:p w14:paraId="73328D88" w14:textId="77777777" w:rsidR="00E620B0" w:rsidRPr="00C95721" w:rsidRDefault="00E620B0" w:rsidP="00D70F6D">
            <w:pPr>
              <w:pStyle w:val="Tabletext"/>
            </w:pPr>
            <w:r w:rsidRPr="00C95721">
              <w:t>Eolien</w:t>
            </w:r>
          </w:p>
        </w:tc>
        <w:tc>
          <w:tcPr>
            <w:tcW w:w="1538" w:type="dxa"/>
            <w:hideMark/>
          </w:tcPr>
          <w:p w14:paraId="756C7D9C" w14:textId="77777777" w:rsidR="00E620B0" w:rsidRPr="00C95721" w:rsidRDefault="00E620B0" w:rsidP="00D70F6D">
            <w:pPr>
              <w:pStyle w:val="Tabletext"/>
            </w:pPr>
            <w:r w:rsidRPr="00C95721">
              <w:t>Solaire photovoltaïque</w:t>
            </w:r>
          </w:p>
        </w:tc>
        <w:tc>
          <w:tcPr>
            <w:tcW w:w="918" w:type="dxa"/>
            <w:hideMark/>
          </w:tcPr>
          <w:p w14:paraId="5E1BB664" w14:textId="77777777" w:rsidR="00E620B0" w:rsidRPr="00C95721" w:rsidRDefault="00E620B0" w:rsidP="00D70F6D">
            <w:pPr>
              <w:pStyle w:val="Tabletext"/>
            </w:pPr>
            <w:r w:rsidRPr="00C95721">
              <w:t>Bois énergie en collectif</w:t>
            </w:r>
          </w:p>
        </w:tc>
        <w:tc>
          <w:tcPr>
            <w:tcW w:w="1094" w:type="dxa"/>
            <w:hideMark/>
          </w:tcPr>
          <w:p w14:paraId="683109BF" w14:textId="77777777" w:rsidR="00E620B0" w:rsidRPr="00C95721" w:rsidRDefault="00E620B0" w:rsidP="00D70F6D">
            <w:pPr>
              <w:pStyle w:val="Tabletext"/>
            </w:pPr>
            <w:r w:rsidRPr="00C95721">
              <w:t>Bois énergie particulier</w:t>
            </w:r>
          </w:p>
        </w:tc>
        <w:tc>
          <w:tcPr>
            <w:tcW w:w="1570" w:type="dxa"/>
            <w:hideMark/>
          </w:tcPr>
          <w:p w14:paraId="3C4FC20C" w14:textId="77777777" w:rsidR="00E620B0" w:rsidRPr="00C95721" w:rsidRDefault="00E620B0" w:rsidP="00D70F6D">
            <w:pPr>
              <w:pStyle w:val="Tabletext"/>
            </w:pPr>
            <w:r w:rsidRPr="00C95721">
              <w:t>Agrocarburants</w:t>
            </w:r>
          </w:p>
        </w:tc>
      </w:tr>
      <w:tr w:rsidR="00E620B0" w:rsidRPr="00C95721" w14:paraId="6E0CF1D9" w14:textId="77777777" w:rsidTr="00D70F6D">
        <w:trPr>
          <w:cnfStyle w:val="000000100000" w:firstRow="0" w:lastRow="0" w:firstColumn="0" w:lastColumn="0" w:oddVBand="0" w:evenVBand="0" w:oddHBand="1" w:evenHBand="0" w:firstRowFirstColumn="0" w:firstRowLastColumn="0" w:lastRowFirstColumn="0" w:lastRowLastColumn="0"/>
          <w:trHeight w:val="207"/>
        </w:trPr>
        <w:tc>
          <w:tcPr>
            <w:tcW w:w="1450" w:type="dxa"/>
            <w:noWrap/>
            <w:hideMark/>
          </w:tcPr>
          <w:p w14:paraId="172ED2D7" w14:textId="77777777" w:rsidR="00E620B0" w:rsidRPr="00C95721" w:rsidRDefault="00E620B0" w:rsidP="00D70F6D">
            <w:pPr>
              <w:pStyle w:val="Tabletext"/>
              <w:rPr>
                <w:b/>
                <w:bCs/>
              </w:rPr>
            </w:pPr>
            <w:r w:rsidRPr="00C95721">
              <w:rPr>
                <w:b/>
                <w:bCs/>
              </w:rPr>
              <w:t>2026</w:t>
            </w:r>
          </w:p>
        </w:tc>
        <w:tc>
          <w:tcPr>
            <w:tcW w:w="1274" w:type="dxa"/>
            <w:noWrap/>
          </w:tcPr>
          <w:p w14:paraId="7A5B3D12" w14:textId="77777777" w:rsidR="00E620B0" w:rsidRPr="00C95721" w:rsidRDefault="00E620B0" w:rsidP="00D70F6D">
            <w:pPr>
              <w:pStyle w:val="Tabletext"/>
            </w:pPr>
            <w:r>
              <w:t>40</w:t>
            </w:r>
          </w:p>
        </w:tc>
        <w:tc>
          <w:tcPr>
            <w:tcW w:w="745" w:type="dxa"/>
            <w:noWrap/>
          </w:tcPr>
          <w:p w14:paraId="1942D9DF" w14:textId="77777777" w:rsidR="00E620B0" w:rsidRPr="00C95721" w:rsidRDefault="00E620B0" w:rsidP="00D70F6D">
            <w:pPr>
              <w:pStyle w:val="Tabletext"/>
            </w:pPr>
            <w:r>
              <w:t>7824</w:t>
            </w:r>
          </w:p>
        </w:tc>
        <w:tc>
          <w:tcPr>
            <w:tcW w:w="1538" w:type="dxa"/>
            <w:noWrap/>
          </w:tcPr>
          <w:p w14:paraId="34ACFD14" w14:textId="77777777" w:rsidR="00E620B0" w:rsidRPr="00C95721" w:rsidRDefault="00E620B0" w:rsidP="00D70F6D">
            <w:pPr>
              <w:pStyle w:val="Tabletext"/>
            </w:pPr>
            <w:r>
              <w:t>878</w:t>
            </w:r>
          </w:p>
        </w:tc>
        <w:tc>
          <w:tcPr>
            <w:tcW w:w="918" w:type="dxa"/>
            <w:noWrap/>
          </w:tcPr>
          <w:p w14:paraId="6B75C387" w14:textId="77777777" w:rsidR="00E620B0" w:rsidRPr="00C95721" w:rsidRDefault="00E620B0" w:rsidP="00D70F6D">
            <w:pPr>
              <w:pStyle w:val="Tabletext"/>
            </w:pPr>
            <w:r>
              <w:t>4694</w:t>
            </w:r>
          </w:p>
        </w:tc>
        <w:tc>
          <w:tcPr>
            <w:tcW w:w="1094" w:type="dxa"/>
            <w:noWrap/>
          </w:tcPr>
          <w:p w14:paraId="1FDAF507" w14:textId="77777777" w:rsidR="00E620B0" w:rsidRPr="00C95721" w:rsidRDefault="00E620B0" w:rsidP="00D70F6D">
            <w:pPr>
              <w:pStyle w:val="Tabletext"/>
            </w:pPr>
            <w:r>
              <w:t>4618</w:t>
            </w:r>
          </w:p>
        </w:tc>
        <w:tc>
          <w:tcPr>
            <w:tcW w:w="1570" w:type="dxa"/>
            <w:noWrap/>
          </w:tcPr>
          <w:p w14:paraId="2DF6BF12" w14:textId="77777777" w:rsidR="00E620B0" w:rsidRPr="00C95721" w:rsidRDefault="00E620B0" w:rsidP="00D70F6D">
            <w:pPr>
              <w:pStyle w:val="Tabletext"/>
            </w:pPr>
            <w:r>
              <w:t>2886</w:t>
            </w:r>
          </w:p>
        </w:tc>
      </w:tr>
      <w:tr w:rsidR="00E620B0" w:rsidRPr="00C95721" w14:paraId="68DB4C59" w14:textId="77777777" w:rsidTr="00D70F6D">
        <w:trPr>
          <w:cnfStyle w:val="000000010000" w:firstRow="0" w:lastRow="0" w:firstColumn="0" w:lastColumn="0" w:oddVBand="0" w:evenVBand="0" w:oddHBand="0" w:evenHBand="1" w:firstRowFirstColumn="0" w:firstRowLastColumn="0" w:lastRowFirstColumn="0" w:lastRowLastColumn="0"/>
          <w:trHeight w:val="207"/>
        </w:trPr>
        <w:tc>
          <w:tcPr>
            <w:tcW w:w="1450" w:type="dxa"/>
            <w:noWrap/>
            <w:hideMark/>
          </w:tcPr>
          <w:p w14:paraId="01A709A6" w14:textId="77777777" w:rsidR="00E620B0" w:rsidRPr="00C95721" w:rsidRDefault="00E620B0" w:rsidP="00D70F6D">
            <w:pPr>
              <w:pStyle w:val="Tabletext"/>
              <w:rPr>
                <w:b/>
                <w:bCs/>
              </w:rPr>
            </w:pPr>
            <w:r w:rsidRPr="00C95721">
              <w:rPr>
                <w:b/>
                <w:bCs/>
              </w:rPr>
              <w:t>2031</w:t>
            </w:r>
          </w:p>
        </w:tc>
        <w:tc>
          <w:tcPr>
            <w:tcW w:w="1274" w:type="dxa"/>
            <w:noWrap/>
          </w:tcPr>
          <w:p w14:paraId="0029C381" w14:textId="77777777" w:rsidR="00E620B0" w:rsidRPr="00C95721" w:rsidRDefault="00E620B0" w:rsidP="00D70F6D">
            <w:pPr>
              <w:pStyle w:val="Tabletext"/>
            </w:pPr>
            <w:r>
              <w:t>60</w:t>
            </w:r>
          </w:p>
        </w:tc>
        <w:tc>
          <w:tcPr>
            <w:tcW w:w="745" w:type="dxa"/>
            <w:noWrap/>
          </w:tcPr>
          <w:p w14:paraId="5D3DE70E" w14:textId="77777777" w:rsidR="00E620B0" w:rsidRPr="00C95721" w:rsidRDefault="00E620B0" w:rsidP="00D70F6D">
            <w:pPr>
              <w:pStyle w:val="Tabletext"/>
            </w:pPr>
            <w:r>
              <w:t>7824</w:t>
            </w:r>
          </w:p>
        </w:tc>
        <w:tc>
          <w:tcPr>
            <w:tcW w:w="1538" w:type="dxa"/>
            <w:noWrap/>
          </w:tcPr>
          <w:p w14:paraId="2AD5FC75" w14:textId="77777777" w:rsidR="00E620B0" w:rsidRPr="00C95721" w:rsidRDefault="00E620B0" w:rsidP="00D70F6D">
            <w:pPr>
              <w:pStyle w:val="Tabletext"/>
            </w:pPr>
            <w:r>
              <w:t>1778</w:t>
            </w:r>
          </w:p>
        </w:tc>
        <w:tc>
          <w:tcPr>
            <w:tcW w:w="918" w:type="dxa"/>
            <w:noWrap/>
          </w:tcPr>
          <w:p w14:paraId="6E42E5F3" w14:textId="77777777" w:rsidR="00E620B0" w:rsidRPr="00C95721" w:rsidRDefault="00E620B0" w:rsidP="00D70F6D">
            <w:pPr>
              <w:pStyle w:val="Tabletext"/>
            </w:pPr>
            <w:r>
              <w:t>5182</w:t>
            </w:r>
          </w:p>
        </w:tc>
        <w:tc>
          <w:tcPr>
            <w:tcW w:w="1094" w:type="dxa"/>
            <w:noWrap/>
          </w:tcPr>
          <w:p w14:paraId="177C8621" w14:textId="77777777" w:rsidR="00E620B0" w:rsidRPr="00C95721" w:rsidRDefault="00E620B0" w:rsidP="00D70F6D">
            <w:pPr>
              <w:pStyle w:val="Tabletext"/>
            </w:pPr>
            <w:r>
              <w:t>4618</w:t>
            </w:r>
          </w:p>
        </w:tc>
        <w:tc>
          <w:tcPr>
            <w:tcW w:w="1570" w:type="dxa"/>
            <w:noWrap/>
          </w:tcPr>
          <w:p w14:paraId="1F32545E" w14:textId="77777777" w:rsidR="00E620B0" w:rsidRPr="00C95721" w:rsidRDefault="00E620B0" w:rsidP="00D70F6D">
            <w:pPr>
              <w:pStyle w:val="Tabletext"/>
            </w:pPr>
            <w:r>
              <w:t>2900</w:t>
            </w:r>
          </w:p>
        </w:tc>
      </w:tr>
    </w:tbl>
    <w:p w14:paraId="400CE6FF" w14:textId="77777777" w:rsidR="00E620B0" w:rsidRDefault="00E620B0" w:rsidP="00E620B0">
      <w:pPr>
        <w:pStyle w:val="BodyText"/>
      </w:pPr>
    </w:p>
    <w:tbl>
      <w:tblPr>
        <w:tblStyle w:val="TechnopolisTable"/>
        <w:tblW w:w="8596" w:type="dxa"/>
        <w:tblLook w:val="04A0" w:firstRow="1" w:lastRow="0" w:firstColumn="1" w:lastColumn="0" w:noHBand="0" w:noVBand="1"/>
      </w:tblPr>
      <w:tblGrid>
        <w:gridCol w:w="1684"/>
        <w:gridCol w:w="1288"/>
        <w:gridCol w:w="939"/>
        <w:gridCol w:w="1018"/>
        <w:gridCol w:w="1087"/>
        <w:gridCol w:w="1509"/>
        <w:gridCol w:w="1071"/>
      </w:tblGrid>
      <w:tr w:rsidR="00E620B0" w:rsidRPr="00C95721" w14:paraId="70D35674" w14:textId="77777777" w:rsidTr="00D70F6D">
        <w:trPr>
          <w:cnfStyle w:val="100000000000" w:firstRow="1" w:lastRow="0" w:firstColumn="0" w:lastColumn="0" w:oddVBand="0" w:evenVBand="0" w:oddHBand="0" w:evenHBand="0" w:firstRowFirstColumn="0" w:firstRowLastColumn="0" w:lastRowFirstColumn="0" w:lastRowLastColumn="0"/>
          <w:trHeight w:val="833"/>
        </w:trPr>
        <w:tc>
          <w:tcPr>
            <w:tcW w:w="1684" w:type="dxa"/>
            <w:hideMark/>
          </w:tcPr>
          <w:p w14:paraId="4A06975B" w14:textId="77777777" w:rsidR="00E620B0" w:rsidRPr="00C95721" w:rsidRDefault="00E620B0" w:rsidP="00D70F6D">
            <w:pPr>
              <w:pStyle w:val="Tabletext"/>
            </w:pPr>
            <w:r w:rsidRPr="00C95721">
              <w:t>Production d’énergies renouvelables en GWh</w:t>
            </w:r>
          </w:p>
        </w:tc>
        <w:tc>
          <w:tcPr>
            <w:tcW w:w="1288" w:type="dxa"/>
            <w:hideMark/>
          </w:tcPr>
          <w:p w14:paraId="79E96C46" w14:textId="77777777" w:rsidR="00E620B0" w:rsidRPr="00C95721" w:rsidRDefault="00E620B0" w:rsidP="00D70F6D">
            <w:pPr>
              <w:pStyle w:val="Tabletext"/>
            </w:pPr>
            <w:r w:rsidRPr="00C95721">
              <w:t>Solaire thermique</w:t>
            </w:r>
          </w:p>
        </w:tc>
        <w:tc>
          <w:tcPr>
            <w:tcW w:w="939" w:type="dxa"/>
            <w:hideMark/>
          </w:tcPr>
          <w:p w14:paraId="0AEBC10E" w14:textId="77777777" w:rsidR="00E620B0" w:rsidRPr="00C95721" w:rsidRDefault="00E620B0" w:rsidP="00D70F6D">
            <w:pPr>
              <w:pStyle w:val="Tabletext"/>
            </w:pPr>
            <w:r w:rsidRPr="00C95721">
              <w:t>Biogaz</w:t>
            </w:r>
          </w:p>
        </w:tc>
        <w:tc>
          <w:tcPr>
            <w:tcW w:w="1018" w:type="dxa"/>
            <w:hideMark/>
          </w:tcPr>
          <w:p w14:paraId="1159E0E0" w14:textId="77777777" w:rsidR="00E620B0" w:rsidRPr="00C95721" w:rsidRDefault="00E620B0" w:rsidP="00D70F6D">
            <w:pPr>
              <w:pStyle w:val="Tabletext"/>
            </w:pPr>
            <w:r w:rsidRPr="00C95721">
              <w:t>Energie fatale, gaz de mines</w:t>
            </w:r>
          </w:p>
        </w:tc>
        <w:tc>
          <w:tcPr>
            <w:tcW w:w="1087" w:type="dxa"/>
            <w:hideMark/>
          </w:tcPr>
          <w:p w14:paraId="401499FD" w14:textId="77777777" w:rsidR="00E620B0" w:rsidRPr="00C95721" w:rsidRDefault="00E620B0" w:rsidP="00D70F6D">
            <w:pPr>
              <w:pStyle w:val="Tabletext"/>
            </w:pPr>
            <w:r w:rsidRPr="00C95721">
              <w:t>Déchets</w:t>
            </w:r>
          </w:p>
        </w:tc>
        <w:tc>
          <w:tcPr>
            <w:tcW w:w="1509" w:type="dxa"/>
            <w:hideMark/>
          </w:tcPr>
          <w:p w14:paraId="7164439E" w14:textId="77777777" w:rsidR="00E620B0" w:rsidRPr="00C95721" w:rsidRDefault="00E620B0" w:rsidP="00D70F6D">
            <w:pPr>
              <w:pStyle w:val="Tabletext"/>
            </w:pPr>
            <w:r w:rsidRPr="00C95721">
              <w:t>Géothermie basse température</w:t>
            </w:r>
          </w:p>
        </w:tc>
        <w:tc>
          <w:tcPr>
            <w:tcW w:w="1071" w:type="dxa"/>
            <w:hideMark/>
          </w:tcPr>
          <w:p w14:paraId="2E82F3E5" w14:textId="77777777" w:rsidR="00E620B0" w:rsidRPr="00C95721" w:rsidRDefault="00E620B0" w:rsidP="00D70F6D">
            <w:pPr>
              <w:pStyle w:val="Tabletext"/>
            </w:pPr>
            <w:r w:rsidRPr="00C95721">
              <w:t>Pompes à chaleur</w:t>
            </w:r>
          </w:p>
        </w:tc>
      </w:tr>
      <w:tr w:rsidR="00E620B0" w:rsidRPr="00C95721" w14:paraId="2109A912" w14:textId="77777777" w:rsidTr="00D70F6D">
        <w:trPr>
          <w:cnfStyle w:val="000000100000" w:firstRow="0" w:lastRow="0" w:firstColumn="0" w:lastColumn="0" w:oddVBand="0" w:evenVBand="0" w:oddHBand="1" w:evenHBand="0" w:firstRowFirstColumn="0" w:firstRowLastColumn="0" w:lastRowFirstColumn="0" w:lastRowLastColumn="0"/>
          <w:trHeight w:val="215"/>
        </w:trPr>
        <w:tc>
          <w:tcPr>
            <w:tcW w:w="1684" w:type="dxa"/>
            <w:noWrap/>
            <w:hideMark/>
          </w:tcPr>
          <w:p w14:paraId="76A89E2B" w14:textId="77777777" w:rsidR="00E620B0" w:rsidRPr="00C95721" w:rsidRDefault="00E620B0" w:rsidP="00D70F6D">
            <w:pPr>
              <w:pStyle w:val="Tabletext"/>
              <w:rPr>
                <w:b/>
                <w:bCs/>
              </w:rPr>
            </w:pPr>
            <w:r w:rsidRPr="00C95721">
              <w:rPr>
                <w:b/>
                <w:bCs/>
              </w:rPr>
              <w:t>2026</w:t>
            </w:r>
          </w:p>
        </w:tc>
        <w:tc>
          <w:tcPr>
            <w:tcW w:w="1288" w:type="dxa"/>
            <w:noWrap/>
          </w:tcPr>
          <w:p w14:paraId="3DC8C58B" w14:textId="77777777" w:rsidR="00E620B0" w:rsidRPr="00C95721" w:rsidRDefault="00E620B0" w:rsidP="00D70F6D">
            <w:pPr>
              <w:pStyle w:val="Tabletext"/>
            </w:pPr>
            <w:r>
              <w:t>417</w:t>
            </w:r>
          </w:p>
        </w:tc>
        <w:tc>
          <w:tcPr>
            <w:tcW w:w="939" w:type="dxa"/>
            <w:noWrap/>
          </w:tcPr>
          <w:p w14:paraId="5A4F2AF4" w14:textId="77777777" w:rsidR="00E620B0" w:rsidRPr="00C95721" w:rsidRDefault="00E620B0" w:rsidP="00D70F6D">
            <w:pPr>
              <w:pStyle w:val="Tabletext"/>
            </w:pPr>
            <w:r>
              <w:t>4284</w:t>
            </w:r>
          </w:p>
        </w:tc>
        <w:tc>
          <w:tcPr>
            <w:tcW w:w="1018" w:type="dxa"/>
            <w:noWrap/>
          </w:tcPr>
          <w:p w14:paraId="2A2FBB18" w14:textId="77777777" w:rsidR="00E620B0" w:rsidRPr="00C95721" w:rsidRDefault="00E620B0" w:rsidP="00D70F6D">
            <w:pPr>
              <w:pStyle w:val="Tabletext"/>
            </w:pPr>
            <w:r>
              <w:t>1210</w:t>
            </w:r>
          </w:p>
        </w:tc>
        <w:tc>
          <w:tcPr>
            <w:tcW w:w="1087" w:type="dxa"/>
            <w:noWrap/>
          </w:tcPr>
          <w:p w14:paraId="04294324" w14:textId="77777777" w:rsidR="00E620B0" w:rsidRPr="00C95721" w:rsidRDefault="00E620B0" w:rsidP="00D70F6D">
            <w:pPr>
              <w:pStyle w:val="Tabletext"/>
            </w:pPr>
            <w:r>
              <w:t>1095</w:t>
            </w:r>
          </w:p>
        </w:tc>
        <w:tc>
          <w:tcPr>
            <w:tcW w:w="1509" w:type="dxa"/>
            <w:noWrap/>
          </w:tcPr>
          <w:p w14:paraId="3E017121" w14:textId="77777777" w:rsidR="00E620B0" w:rsidRPr="00C95721" w:rsidRDefault="00E620B0" w:rsidP="00D70F6D">
            <w:pPr>
              <w:pStyle w:val="Tabletext"/>
            </w:pPr>
            <w:r>
              <w:t>528</w:t>
            </w:r>
          </w:p>
        </w:tc>
        <w:tc>
          <w:tcPr>
            <w:tcW w:w="1071" w:type="dxa"/>
            <w:noWrap/>
          </w:tcPr>
          <w:p w14:paraId="585DC98A" w14:textId="77777777" w:rsidR="00E620B0" w:rsidRPr="00C95721" w:rsidRDefault="00E620B0" w:rsidP="00D70F6D">
            <w:pPr>
              <w:pStyle w:val="Tabletext"/>
            </w:pPr>
            <w:r>
              <w:t>2451</w:t>
            </w:r>
          </w:p>
        </w:tc>
      </w:tr>
      <w:tr w:rsidR="00E620B0" w:rsidRPr="00C95721" w14:paraId="1DA42336" w14:textId="77777777" w:rsidTr="00D70F6D">
        <w:trPr>
          <w:cnfStyle w:val="000000010000" w:firstRow="0" w:lastRow="0" w:firstColumn="0" w:lastColumn="0" w:oddVBand="0" w:evenVBand="0" w:oddHBand="0" w:evenHBand="1" w:firstRowFirstColumn="0" w:firstRowLastColumn="0" w:lastRowFirstColumn="0" w:lastRowLastColumn="0"/>
          <w:trHeight w:val="215"/>
        </w:trPr>
        <w:tc>
          <w:tcPr>
            <w:tcW w:w="1684" w:type="dxa"/>
            <w:noWrap/>
            <w:hideMark/>
          </w:tcPr>
          <w:p w14:paraId="0AA7EDA3" w14:textId="77777777" w:rsidR="00E620B0" w:rsidRPr="00C95721" w:rsidRDefault="00E620B0" w:rsidP="00D70F6D">
            <w:pPr>
              <w:pStyle w:val="Tabletext"/>
              <w:rPr>
                <w:b/>
                <w:bCs/>
              </w:rPr>
            </w:pPr>
            <w:r w:rsidRPr="00C95721">
              <w:rPr>
                <w:b/>
                <w:bCs/>
              </w:rPr>
              <w:t>2031</w:t>
            </w:r>
          </w:p>
        </w:tc>
        <w:tc>
          <w:tcPr>
            <w:tcW w:w="1288" w:type="dxa"/>
            <w:noWrap/>
          </w:tcPr>
          <w:p w14:paraId="67542E60" w14:textId="77777777" w:rsidR="00E620B0" w:rsidRPr="00C95721" w:rsidRDefault="00E620B0" w:rsidP="00D70F6D">
            <w:pPr>
              <w:pStyle w:val="Tabletext"/>
            </w:pPr>
            <w:r>
              <w:t>1015</w:t>
            </w:r>
          </w:p>
        </w:tc>
        <w:tc>
          <w:tcPr>
            <w:tcW w:w="939" w:type="dxa"/>
            <w:noWrap/>
          </w:tcPr>
          <w:p w14:paraId="23840081" w14:textId="77777777" w:rsidR="00E620B0" w:rsidRPr="00C95721" w:rsidRDefault="00E620B0" w:rsidP="00D70F6D">
            <w:pPr>
              <w:pStyle w:val="Tabletext"/>
            </w:pPr>
            <w:r>
              <w:t>9053</w:t>
            </w:r>
          </w:p>
        </w:tc>
        <w:tc>
          <w:tcPr>
            <w:tcW w:w="1018" w:type="dxa"/>
            <w:noWrap/>
          </w:tcPr>
          <w:p w14:paraId="1A14105C" w14:textId="77777777" w:rsidR="00E620B0" w:rsidRPr="00C95721" w:rsidRDefault="00E620B0" w:rsidP="00D70F6D">
            <w:pPr>
              <w:pStyle w:val="Tabletext"/>
            </w:pPr>
            <w:r>
              <w:t>1987</w:t>
            </w:r>
          </w:p>
        </w:tc>
        <w:tc>
          <w:tcPr>
            <w:tcW w:w="1087" w:type="dxa"/>
            <w:noWrap/>
          </w:tcPr>
          <w:p w14:paraId="0EC45571" w14:textId="77777777" w:rsidR="00E620B0" w:rsidRPr="00C95721" w:rsidRDefault="00E620B0" w:rsidP="00D70F6D">
            <w:pPr>
              <w:pStyle w:val="Tabletext"/>
            </w:pPr>
            <w:r>
              <w:t>1292</w:t>
            </w:r>
          </w:p>
        </w:tc>
        <w:tc>
          <w:tcPr>
            <w:tcW w:w="1509" w:type="dxa"/>
            <w:noWrap/>
          </w:tcPr>
          <w:p w14:paraId="1D0E967C" w14:textId="77777777" w:rsidR="00E620B0" w:rsidRPr="00C95721" w:rsidRDefault="00E620B0" w:rsidP="00D70F6D">
            <w:pPr>
              <w:pStyle w:val="Tabletext"/>
            </w:pPr>
            <w:r>
              <w:t>1029</w:t>
            </w:r>
          </w:p>
        </w:tc>
        <w:tc>
          <w:tcPr>
            <w:tcW w:w="1071" w:type="dxa"/>
            <w:noWrap/>
          </w:tcPr>
          <w:p w14:paraId="53AFE2FF" w14:textId="77777777" w:rsidR="00E620B0" w:rsidRPr="00C95721" w:rsidRDefault="00E620B0" w:rsidP="00D70F6D">
            <w:pPr>
              <w:pStyle w:val="Tabletext"/>
            </w:pPr>
            <w:r>
              <w:t>2800</w:t>
            </w:r>
          </w:p>
        </w:tc>
      </w:tr>
    </w:tbl>
    <w:p w14:paraId="181B4D14" w14:textId="5112A079" w:rsidR="00266285" w:rsidRDefault="00266285" w:rsidP="00DD3EE3">
      <w:pPr>
        <w:pStyle w:val="Source"/>
      </w:pPr>
      <w:r>
        <w:t>Source : SRADDET</w:t>
      </w:r>
    </w:p>
    <w:p w14:paraId="196DD945" w14:textId="46731B3F" w:rsidR="00E620B0" w:rsidRPr="009135D7" w:rsidRDefault="00E620B0" w:rsidP="009135D7">
      <w:pPr>
        <w:pStyle w:val="BodyText"/>
        <w:keepNext/>
        <w:keepLines/>
        <w:rPr>
          <w:b/>
        </w:rPr>
      </w:pPr>
      <w:r w:rsidRPr="009135D7">
        <w:rPr>
          <w:b/>
        </w:rPr>
        <w:t>Encourager l’usage de véhicules moins émetteurs de gaz à effet de serre et de polluants, dont électriques et/ou gaz</w:t>
      </w:r>
    </w:p>
    <w:p w14:paraId="2634FC51" w14:textId="77777777" w:rsidR="00E620B0" w:rsidRDefault="00E620B0" w:rsidP="00E620B0">
      <w:pPr>
        <w:pStyle w:val="BodyText"/>
        <w:keepNext/>
        <w:keepLines/>
      </w:pPr>
      <w:r>
        <w:t>A l’horizon 2031, la région poursuit 3 objectifs principaux en matière de mobilité propre à savoir :</w:t>
      </w:r>
    </w:p>
    <w:p w14:paraId="59C07781" w14:textId="77777777" w:rsidR="00E620B0" w:rsidRDefault="00E620B0" w:rsidP="00536470">
      <w:pPr>
        <w:pStyle w:val="Bullet1"/>
        <w:keepNext/>
        <w:keepLines/>
      </w:pPr>
      <w:r>
        <w:t>atteindre 114gCO</w:t>
      </w:r>
      <w:r w:rsidRPr="00034149">
        <w:rPr>
          <w:vertAlign w:val="subscript"/>
        </w:rPr>
        <w:t>2</w:t>
      </w:r>
      <w:r>
        <w:t>/km sur les véhicules (140gCO</w:t>
      </w:r>
      <w:r w:rsidRPr="00034149">
        <w:rPr>
          <w:vertAlign w:val="subscript"/>
        </w:rPr>
        <w:t>2</w:t>
      </w:r>
      <w:r>
        <w:t>/km sur les véhicules neufs aujourd’hui)</w:t>
      </w:r>
    </w:p>
    <w:p w14:paraId="47B58606" w14:textId="77777777" w:rsidR="00E620B0" w:rsidRDefault="00E620B0" w:rsidP="00536470">
      <w:pPr>
        <w:pStyle w:val="Bullet1"/>
        <w:keepNext/>
        <w:keepLines/>
      </w:pPr>
      <w:bookmarkStart w:id="93" w:name="_Hlk72928305"/>
      <w:r>
        <w:t>atteindre 7% de part des véhicules (gaz, hydrogène, bio méthane et électrique)</w:t>
      </w:r>
    </w:p>
    <w:p w14:paraId="19E37F2E" w14:textId="0B53D4A4" w:rsidR="00E620B0" w:rsidRDefault="00E620B0" w:rsidP="00536470">
      <w:pPr>
        <w:pStyle w:val="Bullet1"/>
        <w:keepNext/>
        <w:keepLines/>
      </w:pPr>
      <w:r>
        <w:t>diminuer de 24 % la consommation unitaire d’énergie fossile des véhicules utilisés pour le transport de marchandises</w:t>
      </w:r>
      <w:r w:rsidR="008F2E15">
        <w:t>.</w:t>
      </w:r>
    </w:p>
    <w:p w14:paraId="7481C95E" w14:textId="1F44064F" w:rsidR="008F2E15" w:rsidRDefault="008F2E15" w:rsidP="00DD3EE3">
      <w:pPr>
        <w:pStyle w:val="Bullet1"/>
        <w:keepNext/>
        <w:keepLines/>
        <w:numPr>
          <w:ilvl w:val="0"/>
          <w:numId w:val="0"/>
        </w:numPr>
      </w:pPr>
      <w:r>
        <w:t>Cet objectif est aligné avec l’objectif européen d’arrêt de commercialisation des véhicules thermique à horizon 2035.</w:t>
      </w:r>
    </w:p>
    <w:bookmarkEnd w:id="93"/>
    <w:p w14:paraId="4792C9DF" w14:textId="77777777" w:rsidR="00E620B0" w:rsidRDefault="00E620B0" w:rsidP="00E620B0">
      <w:pPr>
        <w:pStyle w:val="BodyText"/>
        <w:keepNext/>
        <w:keepLines/>
      </w:pPr>
      <w:r>
        <w:t xml:space="preserve">Il s’agira entre autres d’encourager le développement du stationnement et des infrastructures nécessaires pour les modes alternatifs de mobilités (modes actifs, transports en commun, covoiturage, </w:t>
      </w:r>
      <w:proofErr w:type="spellStart"/>
      <w:r>
        <w:t>auto-partage</w:t>
      </w:r>
      <w:proofErr w:type="spellEnd"/>
      <w:r>
        <w:t>…) et des points de rechargement en carburants alternatifs au pétrole (électrique, hydrogène, GNV…). Ces objectifs se basent sur 2 leviers :</w:t>
      </w:r>
    </w:p>
    <w:p w14:paraId="655758C2" w14:textId="72428613" w:rsidR="00E620B0" w:rsidRDefault="00E620B0" w:rsidP="00536470">
      <w:pPr>
        <w:pStyle w:val="Bullet1"/>
        <w:keepNext/>
        <w:keepLines/>
      </w:pPr>
      <w:r>
        <w:t>pour le transport de voyageurs : réduire les déplacements routiers (en besoin, nombre et portée, avec développement du covoiturage) et leurs impacts (en développant les déplacements alternatifs à la voiture, qui ne représentent que 30</w:t>
      </w:r>
      <w:r w:rsidR="006D7769">
        <w:t> </w:t>
      </w:r>
      <w:r>
        <w:t>% des trajets, dont 25</w:t>
      </w:r>
      <w:r w:rsidR="006D7769">
        <w:t> </w:t>
      </w:r>
      <w:r>
        <w:t>% en modes doux (vélo, marche à pied) : développement de la multimodalité, amélioration de la logistique urbaine, amélioration de la motorisation, optimisation des modes de conduite.</w:t>
      </w:r>
    </w:p>
    <w:p w14:paraId="62F50821" w14:textId="77777777" w:rsidR="00E620B0" w:rsidRDefault="00E620B0" w:rsidP="00536470">
      <w:pPr>
        <w:pStyle w:val="Bullet1"/>
        <w:keepNext/>
        <w:keepLines/>
      </w:pPr>
      <w:r>
        <w:t>pour le transport marchandises : réduire les déplacements routiers et leurs impacts, via notamment la multimodalité, l’amélioration/optimisation de la logistique (urbaine, et du dernier kilomètre), les enjeux technologiques (motorisation, gestion des véhicules, amélioration des conditions de conduite).</w:t>
      </w:r>
    </w:p>
    <w:p w14:paraId="6D45CB47" w14:textId="107BA8F2" w:rsidR="00E620B0" w:rsidRDefault="00E620B0" w:rsidP="00E620B0">
      <w:pPr>
        <w:pStyle w:val="BodyText"/>
        <w:keepNext/>
        <w:keepLines/>
        <w:rPr>
          <w:b/>
          <w:bCs/>
        </w:rPr>
      </w:pPr>
      <w:r w:rsidRPr="004250EB">
        <w:rPr>
          <w:b/>
          <w:bCs/>
        </w:rPr>
        <w:t xml:space="preserve">Un contexte règlementaire en évolution </w:t>
      </w:r>
    </w:p>
    <w:p w14:paraId="29945536" w14:textId="77777777" w:rsidR="00E620B0" w:rsidRDefault="00E620B0" w:rsidP="00E620B0">
      <w:pPr>
        <w:pStyle w:val="BodyText"/>
        <w:keepNext/>
        <w:keepLines/>
      </w:pPr>
      <w:r w:rsidRPr="004250EB">
        <w:t xml:space="preserve">Les </w:t>
      </w:r>
      <w:r>
        <w:t xml:space="preserve">objectifs stratégiques présentés sur dessus s’appuient sur les précédents </w:t>
      </w:r>
      <w:r w:rsidRPr="004250EB">
        <w:t xml:space="preserve">objectifs nationaux fixés par la loi TECV et l’article L.100-4 code de l’énergie </w:t>
      </w:r>
      <w:r>
        <w:t xml:space="preserve">que </w:t>
      </w:r>
      <w:r w:rsidRPr="004250EB">
        <w:t>sont</w:t>
      </w:r>
      <w:r>
        <w:t> :</w:t>
      </w:r>
    </w:p>
    <w:p w14:paraId="3A95BA2E" w14:textId="77777777" w:rsidR="00E620B0" w:rsidRDefault="00E620B0" w:rsidP="00536470">
      <w:pPr>
        <w:pStyle w:val="Bullet1"/>
        <w:keepNext/>
        <w:keepLines/>
      </w:pPr>
      <w:r>
        <w:t>En matière d’</w:t>
      </w:r>
      <w:r w:rsidRPr="004250EB">
        <w:t>émissions de gaz à effet de serre</w:t>
      </w:r>
      <w:r>
        <w:t> :  réduire de 40 % entre 1990 et 2030 et de 14 % de 2005 à 2020 dans les secteurs non soumis au système d’échange de quotas d’émission et de diviser par quatre de 1990 à 2050 (</w:t>
      </w:r>
      <w:r w:rsidRPr="004250EB">
        <w:rPr>
          <w:b/>
          <w:bCs/>
        </w:rPr>
        <w:t>facteur 4</w:t>
      </w:r>
      <w:r>
        <w:t>)</w:t>
      </w:r>
    </w:p>
    <w:p w14:paraId="1D144E14" w14:textId="77777777" w:rsidR="00E620B0" w:rsidRPr="004250EB" w:rsidRDefault="00E620B0" w:rsidP="00536470">
      <w:pPr>
        <w:pStyle w:val="Bullet1"/>
        <w:keepNext/>
        <w:keepLines/>
      </w:pPr>
      <w:r>
        <w:t xml:space="preserve">En matière </w:t>
      </w:r>
      <w:r w:rsidRPr="004250EB">
        <w:t>consommation d’énergie finale</w:t>
      </w:r>
      <w:r>
        <w:t> : réduire de -20 % en 2030 et de -50 % en 2050 la consommation d’énergie (par rapport à 2012) et porter la part des énergies renouvelables dans l’énergie finale à 23 % en 2020 et 32% en 2030.</w:t>
      </w:r>
    </w:p>
    <w:p w14:paraId="2F04272A" w14:textId="77777777" w:rsidR="00E620B0" w:rsidRDefault="00E620B0" w:rsidP="00E620B0">
      <w:pPr>
        <w:pStyle w:val="BodyText"/>
        <w:keepNext/>
        <w:keepLines/>
      </w:pPr>
      <w:r>
        <w:t>Cependant cet objectif inscrit dans la loi de l’énergie en 2005, a été remplacé sur le plan national par l’objectif de</w:t>
      </w:r>
      <w:r w:rsidRPr="00E74B03">
        <w:rPr>
          <w:b/>
          <w:bCs/>
        </w:rPr>
        <w:t xml:space="preserve"> neutralité carbone</w:t>
      </w:r>
      <w:r>
        <w:t xml:space="preserve">. Ce passage à la neutralité carbone a également entraîné une forte évolution de l’objectif intermédiaire de développement des énergies renouvelables qui passe de 32 % à l’horizon </w:t>
      </w:r>
      <w:r w:rsidRPr="00C25B96">
        <w:t>2030</w:t>
      </w:r>
      <w:r>
        <w:t xml:space="preserve">. </w:t>
      </w:r>
    </w:p>
    <w:p w14:paraId="02F75944" w14:textId="234F06B1" w:rsidR="00EF6332" w:rsidRDefault="00D8761C">
      <w:pPr>
        <w:rPr>
          <w:sz w:val="20"/>
        </w:rPr>
      </w:pPr>
      <w:r>
        <w:br w:type="page"/>
      </w:r>
    </w:p>
    <w:p w14:paraId="12C4EB76" w14:textId="4CD5CFDD" w:rsidR="0029609D" w:rsidRPr="00370190" w:rsidRDefault="0029609D" w:rsidP="00123A8E">
      <w:pPr>
        <w:pStyle w:val="Heading3"/>
      </w:pPr>
      <w:bookmarkStart w:id="94" w:name="_Toc93390284"/>
      <w:bookmarkStart w:id="95" w:name="_Toc52499768"/>
      <w:r>
        <w:t xml:space="preserve">Bilan des forces et faiblesses des </w:t>
      </w:r>
      <w:r w:rsidR="00C43C1D">
        <w:t>porteurs de projets</w:t>
      </w:r>
      <w:r>
        <w:t xml:space="preserve"> des Hauts de France</w:t>
      </w:r>
      <w:bookmarkEnd w:id="94"/>
    </w:p>
    <w:p w14:paraId="0464A8ED" w14:textId="77777777" w:rsidR="00EE05D2" w:rsidRDefault="0004638A" w:rsidP="00D8761C">
      <w:pPr>
        <w:pStyle w:val="BodyText"/>
        <w:keepNext/>
        <w:keepLines/>
        <w:widowControl w:val="0"/>
      </w:pPr>
      <w:r w:rsidRPr="0004638A">
        <w:t xml:space="preserve">Afin d’atteindre les objectifs en matière de production énergétique, </w:t>
      </w:r>
      <w:r w:rsidRPr="00083198">
        <w:rPr>
          <w:b/>
        </w:rPr>
        <w:t>des investissements importants devront être réalisés</w:t>
      </w:r>
      <w:r w:rsidR="00C93D7D">
        <w:t xml:space="preserve">. Les orientations européennes et nationales en matière </w:t>
      </w:r>
      <w:r w:rsidR="00B65B17">
        <w:t xml:space="preserve">de climat offrent des leviers de financement publiques et favorisent l’essor de la finance verte notamment le financement des </w:t>
      </w:r>
      <w:proofErr w:type="spellStart"/>
      <w:r w:rsidR="00B65B17">
        <w:t>EnR</w:t>
      </w:r>
      <w:proofErr w:type="spellEnd"/>
      <w:r w:rsidR="00B65B17">
        <w:t xml:space="preserve">. </w:t>
      </w:r>
      <w:r w:rsidR="00332769">
        <w:t>Au niveau régional</w:t>
      </w:r>
      <w:r w:rsidR="00C5385F">
        <w:t xml:space="preserve">, </w:t>
      </w:r>
      <w:r w:rsidR="00F60616">
        <w:t xml:space="preserve">différents </w:t>
      </w:r>
      <w:r w:rsidR="00203208" w:rsidRPr="00203208">
        <w:t xml:space="preserve">mécanismes de financement </w:t>
      </w:r>
      <w:r w:rsidR="00F60616">
        <w:t>permettent de financer l</w:t>
      </w:r>
      <w:r w:rsidR="00203208" w:rsidRPr="00203208">
        <w:t>es projets d’EnR de territoire</w:t>
      </w:r>
      <w:r w:rsidR="00F60616">
        <w:t xml:space="preserve">. </w:t>
      </w:r>
      <w:r w:rsidR="005E34D9">
        <w:t>N</w:t>
      </w:r>
      <w:r w:rsidR="008E3EBA">
        <w:t>éan</w:t>
      </w:r>
      <w:r w:rsidR="005E34D9">
        <w:t>moins les</w:t>
      </w:r>
      <w:r w:rsidR="00060CEA">
        <w:t xml:space="preserve"> </w:t>
      </w:r>
      <w:r w:rsidR="00963C14">
        <w:t xml:space="preserve">moyens supplémentaires devront être mobilisés ou </w:t>
      </w:r>
      <w:proofErr w:type="spellStart"/>
      <w:r w:rsidR="00963C14">
        <w:t>renforrcés</w:t>
      </w:r>
      <w:proofErr w:type="spellEnd"/>
      <w:r w:rsidR="00963C14">
        <w:t xml:space="preserve"> pour f</w:t>
      </w:r>
      <w:r w:rsidR="005750A3">
        <w:t xml:space="preserve">inancer certaines filières et/ou typologies de projets, en particulier les projets innovants et </w:t>
      </w:r>
      <w:r w:rsidR="00C84E6A">
        <w:t>la réalisation d’infrastructures</w:t>
      </w:r>
      <w:r w:rsidR="00157522">
        <w:t xml:space="preserve"> liées à la mobilité durable. </w:t>
      </w:r>
    </w:p>
    <w:p w14:paraId="70B9E371" w14:textId="7C2DCED5" w:rsidR="00897547" w:rsidRDefault="0004638A" w:rsidP="00D8761C">
      <w:pPr>
        <w:pStyle w:val="BodyText"/>
        <w:keepNext/>
        <w:keepLines/>
        <w:widowControl w:val="0"/>
      </w:pPr>
      <w:r w:rsidRPr="0004638A">
        <w:t xml:space="preserve">Le tableau ci-dessous présente </w:t>
      </w:r>
      <w:r w:rsidR="00897547">
        <w:t xml:space="preserve">une analyse AFOM </w:t>
      </w:r>
      <w:r w:rsidR="00C43C1D">
        <w:t>des porteurs de projets</w:t>
      </w:r>
      <w:r w:rsidR="0058491E">
        <w:t xml:space="preserve"> sur le territoire : </w:t>
      </w:r>
    </w:p>
    <w:p w14:paraId="78DD264D" w14:textId="730D11D2" w:rsidR="00A30566" w:rsidRDefault="00A30566" w:rsidP="00D8761C">
      <w:pPr>
        <w:pStyle w:val="Caption"/>
        <w:keepLines/>
        <w:widowControl w:val="0"/>
      </w:pPr>
      <w:bookmarkStart w:id="96" w:name="_Toc88842101"/>
      <w:r>
        <w:t xml:space="preserve">Tableau </w:t>
      </w:r>
      <w:r>
        <w:fldChar w:fldCharType="begin"/>
      </w:r>
      <w:r>
        <w:instrText xml:space="preserve"> SEQ Tableau \* ARABIC </w:instrText>
      </w:r>
      <w:r>
        <w:fldChar w:fldCharType="separate"/>
      </w:r>
      <w:r w:rsidR="009F0282">
        <w:rPr>
          <w:noProof/>
        </w:rPr>
        <w:t>13</w:t>
      </w:r>
      <w:r>
        <w:fldChar w:fldCharType="end"/>
      </w:r>
      <w:r>
        <w:t xml:space="preserve"> AFOM d</w:t>
      </w:r>
      <w:r w:rsidR="00621C5E">
        <w:t xml:space="preserve">es énergies renouvelables </w:t>
      </w:r>
      <w:r>
        <w:t>sur le territoire</w:t>
      </w:r>
      <w:bookmarkEnd w:id="95"/>
      <w:bookmarkEnd w:id="96"/>
    </w:p>
    <w:tbl>
      <w:tblPr>
        <w:tblStyle w:val="TechnopolisLight"/>
        <w:tblpPr w:leftFromText="180" w:rightFromText="180" w:topFromText="60" w:vertAnchor="text" w:horzAnchor="margin" w:tblpY="173"/>
        <w:tblW w:w="9067" w:type="dxa"/>
        <w:tblLook w:val="0480" w:firstRow="0" w:lastRow="0" w:firstColumn="1" w:lastColumn="0" w:noHBand="0" w:noVBand="1"/>
      </w:tblPr>
      <w:tblGrid>
        <w:gridCol w:w="4403"/>
        <w:gridCol w:w="4664"/>
      </w:tblGrid>
      <w:tr w:rsidR="002B4CC2" w14:paraId="3D371FBF" w14:textId="77777777" w:rsidTr="000431F6">
        <w:trPr>
          <w:trHeight w:val="3204"/>
        </w:trPr>
        <w:tc>
          <w:tcPr>
            <w:tcW w:w="6" w:type="dxa"/>
            <w:tcBorders>
              <w:top w:val="nil"/>
              <w:left w:val="nil"/>
              <w:bottom w:val="single" w:sz="4" w:space="0" w:color="A69EC1" w:themeColor="accent4"/>
              <w:right w:val="single" w:sz="4" w:space="0" w:color="A69EC1" w:themeColor="accent4"/>
            </w:tcBorders>
            <w:hideMark/>
          </w:tcPr>
          <w:p w14:paraId="37D606B9" w14:textId="77777777" w:rsidR="00831E1B" w:rsidRPr="001D17F2" w:rsidRDefault="00831E1B" w:rsidP="00D8761C">
            <w:pPr>
              <w:pStyle w:val="BodyText"/>
              <w:keepNext/>
              <w:keepLines/>
              <w:widowControl w:val="0"/>
              <w:rPr>
                <w:b/>
              </w:rPr>
            </w:pPr>
            <w:r w:rsidRPr="001D17F2">
              <w:rPr>
                <w:b/>
              </w:rPr>
              <w:t>Forces</w:t>
            </w:r>
          </w:p>
          <w:p w14:paraId="2F75807E" w14:textId="6EBFE697" w:rsidR="001D17F2" w:rsidRDefault="001D17F2" w:rsidP="00D8761C">
            <w:pPr>
              <w:pStyle w:val="Tablebullet1"/>
              <w:keepNext/>
              <w:keepLines/>
              <w:widowControl w:val="0"/>
            </w:pPr>
            <w:r>
              <w:t>Présence de filières d’énergies renouvelables à fort potentiel (bois-énergie, méthanisation, géothermie, thalasso-thermie, énergies fatales, et hydrogène)</w:t>
            </w:r>
          </w:p>
          <w:p w14:paraId="281D00BF" w14:textId="49CF3C36" w:rsidR="0084536E" w:rsidRPr="00A617F6" w:rsidRDefault="001D17F2" w:rsidP="00D8761C">
            <w:pPr>
              <w:pStyle w:val="Tablebullet1"/>
              <w:keepNext/>
              <w:keepLines/>
              <w:widowControl w:val="0"/>
            </w:pPr>
            <w:r>
              <w:t>Rôle important accordé aux territoires dans le développement des énergies renouvelables</w:t>
            </w:r>
          </w:p>
          <w:p w14:paraId="602CACD4" w14:textId="32BA353C" w:rsidR="000431F6" w:rsidRDefault="000431F6" w:rsidP="000431F6">
            <w:pPr>
              <w:pStyle w:val="Tablebullet1"/>
            </w:pPr>
            <w:r>
              <w:t xml:space="preserve">Poids du secteur industriel dans le tissu économique régional pouvant </w:t>
            </w:r>
            <w:r w:rsidR="00D5604F">
              <w:t>favoriser le développement de certaines filières telles que l’hydrogène vert et la chaleur fatale</w:t>
            </w:r>
            <w:r>
              <w:t xml:space="preserve">  </w:t>
            </w:r>
          </w:p>
          <w:p w14:paraId="66C89DA8" w14:textId="32ECF5EB" w:rsidR="00CC2CBE" w:rsidRDefault="000A44D5" w:rsidP="000431F6">
            <w:pPr>
              <w:pStyle w:val="Tablebullet1"/>
            </w:pPr>
            <w:r>
              <w:t xml:space="preserve">Ambitions régionales en matière d’EnR traduite à travers des documents stratégiques </w:t>
            </w:r>
          </w:p>
          <w:p w14:paraId="21B9638C" w14:textId="77777777" w:rsidR="000431F6" w:rsidRPr="00A617F6" w:rsidRDefault="000431F6" w:rsidP="000431F6">
            <w:pPr>
              <w:pStyle w:val="Tablebullet1"/>
              <w:keepNext/>
              <w:keepLines/>
              <w:widowControl w:val="0"/>
              <w:numPr>
                <w:ilvl w:val="0"/>
                <w:numId w:val="0"/>
              </w:numPr>
              <w:ind w:left="227"/>
            </w:pPr>
          </w:p>
          <w:p w14:paraId="4433DE0D" w14:textId="77777777" w:rsidR="00831E1B" w:rsidRPr="001F242B" w:rsidRDefault="00831E1B" w:rsidP="00D8761C">
            <w:pPr>
              <w:pStyle w:val="BodyText0"/>
              <w:keepNext/>
              <w:keepLines/>
              <w:widowControl w:val="0"/>
              <w:rPr>
                <w:iCs/>
                <w:sz w:val="16"/>
                <w:szCs w:val="16"/>
              </w:rPr>
            </w:pPr>
          </w:p>
        </w:tc>
        <w:tc>
          <w:tcPr>
            <w:tcW w:w="6" w:type="dxa"/>
            <w:tcBorders>
              <w:top w:val="nil"/>
              <w:left w:val="single" w:sz="4" w:space="0" w:color="A69EC1" w:themeColor="accent4"/>
              <w:bottom w:val="single" w:sz="4" w:space="0" w:color="A69EC1" w:themeColor="accent4"/>
              <w:right w:val="nil"/>
            </w:tcBorders>
            <w:hideMark/>
          </w:tcPr>
          <w:p w14:paraId="14DA744A" w14:textId="77777777" w:rsidR="00831E1B" w:rsidRPr="00D8761C" w:rsidRDefault="00831E1B" w:rsidP="00D8761C">
            <w:pPr>
              <w:pStyle w:val="BodyText"/>
              <w:keepNext/>
              <w:keepLines/>
              <w:widowControl w:val="0"/>
              <w:rPr>
                <w:b/>
              </w:rPr>
            </w:pPr>
            <w:r w:rsidRPr="00D8761C">
              <w:rPr>
                <w:b/>
              </w:rPr>
              <w:t>Faiblesses</w:t>
            </w:r>
          </w:p>
          <w:p w14:paraId="71A84213" w14:textId="4E5B6627" w:rsidR="001775F5" w:rsidRDefault="001775F5" w:rsidP="00D8761C">
            <w:pPr>
              <w:pStyle w:val="Tablebullet1"/>
              <w:keepNext/>
              <w:keepLines/>
              <w:widowControl w:val="0"/>
            </w:pPr>
            <w:r>
              <w:t xml:space="preserve">Métropolisation entraînant la concentration des flux et des déplacements longs s’effectuant très majoritairement en voiture </w:t>
            </w:r>
          </w:p>
          <w:p w14:paraId="1F173426" w14:textId="4B9CAAD8" w:rsidR="00790C26" w:rsidRDefault="00790C26" w:rsidP="00D8761C">
            <w:pPr>
              <w:pStyle w:val="Tablebullet1"/>
              <w:keepNext/>
              <w:keepLines/>
              <w:widowControl w:val="0"/>
            </w:pPr>
            <w:r>
              <w:t xml:space="preserve">Faible maillage </w:t>
            </w:r>
            <w:r w:rsidR="003F1B90">
              <w:t>territorial</w:t>
            </w:r>
            <w:r w:rsidR="008F08EA">
              <w:t xml:space="preserve"> d’</w:t>
            </w:r>
            <w:r w:rsidR="003F1B90">
              <w:t>infrastructures</w:t>
            </w:r>
            <w:r w:rsidR="008F08EA">
              <w:t xml:space="preserve"> de mobilité durable</w:t>
            </w:r>
          </w:p>
          <w:p w14:paraId="5EFBDA5F" w14:textId="71E44529" w:rsidR="001775F5" w:rsidRDefault="001775F5" w:rsidP="00D8761C">
            <w:pPr>
              <w:pStyle w:val="Tablebullet1"/>
              <w:keepNext/>
              <w:keepLines/>
              <w:widowControl w:val="0"/>
            </w:pPr>
            <w:r>
              <w:t>Peu d’ambition sur l’éolienne en mer contrairement aux orientations nationales (où l’éolienne en mer est la principale énergie mobilisée dans la PPE pour l’atteinte des objectifs)</w:t>
            </w:r>
          </w:p>
          <w:p w14:paraId="46A60D7F" w14:textId="03D5946C" w:rsidR="000C184E" w:rsidRDefault="001775F5" w:rsidP="00D8761C">
            <w:pPr>
              <w:pStyle w:val="Tablebullet1"/>
              <w:keepNext/>
              <w:keepLines/>
              <w:widowControl w:val="0"/>
            </w:pPr>
            <w:r>
              <w:t xml:space="preserve">Ambition forte sur le solaire dans un contexte géographique régional de faible </w:t>
            </w:r>
            <w:r w:rsidR="0017423D">
              <w:t>capacité productive</w:t>
            </w:r>
            <w:r>
              <w:t xml:space="preserve"> solaire </w:t>
            </w:r>
            <w:r w:rsidR="00903524">
              <w:t xml:space="preserve">et où le stockage est </w:t>
            </w:r>
            <w:r w:rsidR="00B80E80">
              <w:t>peu développé</w:t>
            </w:r>
          </w:p>
          <w:p w14:paraId="5AADC02E" w14:textId="1978D23F" w:rsidR="00EE56A2" w:rsidRDefault="00EE56A2" w:rsidP="00D8761C">
            <w:pPr>
              <w:pStyle w:val="Tablebullet1"/>
              <w:keepNext/>
              <w:keepLines/>
              <w:widowControl w:val="0"/>
            </w:pPr>
            <w:r>
              <w:t>Choix politique de ne plus développer d’éolien (y compris offshore), énergie à fort potentiel sur le territoire</w:t>
            </w:r>
          </w:p>
          <w:p w14:paraId="607D2D13" w14:textId="2DBA3695" w:rsidR="000C184E" w:rsidRPr="00FA5CA5" w:rsidRDefault="000431F6" w:rsidP="003A1C6F">
            <w:pPr>
              <w:pStyle w:val="Tablebullet1"/>
            </w:pPr>
            <w:r>
              <w:t xml:space="preserve">Poids du secteur industriel dans le tissu économique régional et leur intensité énergétique  </w:t>
            </w:r>
            <w:r w:rsidR="00D617ED">
              <w:t xml:space="preserve"> </w:t>
            </w:r>
          </w:p>
        </w:tc>
      </w:tr>
      <w:tr w:rsidR="002B4CC2" w14:paraId="65C00A25" w14:textId="77777777" w:rsidTr="00BC7A3A">
        <w:trPr>
          <w:trHeight w:val="1350"/>
        </w:trPr>
        <w:tc>
          <w:tcPr>
            <w:tcW w:w="6" w:type="dxa"/>
            <w:tcBorders>
              <w:top w:val="single" w:sz="4" w:space="0" w:color="A69EC1" w:themeColor="accent4"/>
              <w:left w:val="nil"/>
              <w:bottom w:val="nil"/>
              <w:right w:val="single" w:sz="4" w:space="0" w:color="A69EC1" w:themeColor="accent4"/>
            </w:tcBorders>
            <w:hideMark/>
          </w:tcPr>
          <w:p w14:paraId="06C9C72B" w14:textId="77777777" w:rsidR="00831E1B" w:rsidRPr="00D8761C" w:rsidRDefault="00831E1B" w:rsidP="00D8761C">
            <w:pPr>
              <w:pStyle w:val="BodyText"/>
              <w:keepNext/>
              <w:keepLines/>
              <w:widowControl w:val="0"/>
              <w:rPr>
                <w:b/>
              </w:rPr>
            </w:pPr>
            <w:r w:rsidRPr="00D8761C">
              <w:rPr>
                <w:b/>
              </w:rPr>
              <w:t>Opportunités</w:t>
            </w:r>
          </w:p>
          <w:p w14:paraId="1B750D60" w14:textId="38FDFB5E" w:rsidR="00D8761C" w:rsidRDefault="00D8761C" w:rsidP="00D8761C">
            <w:pPr>
              <w:pStyle w:val="Tablebullet1"/>
              <w:keepNext/>
              <w:keepLines/>
              <w:widowControl w:val="0"/>
            </w:pPr>
            <w:r>
              <w:t xml:space="preserve">Orientations stratégiques fortes sur les énergies renouvelables au niveau européen et national </w:t>
            </w:r>
          </w:p>
          <w:p w14:paraId="748ED1F9" w14:textId="77777777" w:rsidR="00D8761C" w:rsidRDefault="00D8761C" w:rsidP="00D8761C">
            <w:pPr>
              <w:pStyle w:val="Tablebullet1"/>
              <w:keepNext/>
              <w:keepLines/>
              <w:widowControl w:val="0"/>
            </w:pPr>
            <w:r>
              <w:t>Introduction dans la loi climat-résilience d’une feuille de route pour le développement des communautés d’énergies renouvelables et des communautés énergétiques citoyennes</w:t>
            </w:r>
          </w:p>
          <w:p w14:paraId="261A33D8" w14:textId="77777777" w:rsidR="00D8761C" w:rsidRDefault="00D8761C" w:rsidP="00D8761C">
            <w:pPr>
              <w:pStyle w:val="Tablebullet1"/>
              <w:keepNext/>
              <w:keepLines/>
              <w:widowControl w:val="0"/>
            </w:pPr>
            <w:r>
              <w:t xml:space="preserve">Poids du secteur industriel dans le tissu économique régional et leur intensité énergétique  </w:t>
            </w:r>
          </w:p>
          <w:p w14:paraId="21F55A8D" w14:textId="5643BF02" w:rsidR="00813C58" w:rsidRPr="00A617F6" w:rsidRDefault="00D8761C" w:rsidP="00D8761C">
            <w:pPr>
              <w:pStyle w:val="Tablebullet1"/>
              <w:keepNext/>
              <w:keepLines/>
              <w:widowControl w:val="0"/>
            </w:pPr>
            <w:r>
              <w:t>Forte ambition nationale sur le biogaz, l’hydrogène et les réseaux de chaleur</w:t>
            </w:r>
          </w:p>
          <w:p w14:paraId="31BD23ED" w14:textId="7F12384A" w:rsidR="00831E1B" w:rsidRPr="00D73F63" w:rsidRDefault="00831E1B" w:rsidP="00D8761C">
            <w:pPr>
              <w:pStyle w:val="BodyText0"/>
              <w:keepNext/>
              <w:keepLines/>
              <w:widowControl w:val="0"/>
              <w:spacing w:line="256" w:lineRule="auto"/>
              <w:ind w:left="360"/>
              <w:jc w:val="left"/>
              <w:rPr>
                <w:b/>
                <w:sz w:val="16"/>
                <w:szCs w:val="16"/>
              </w:rPr>
            </w:pPr>
          </w:p>
        </w:tc>
        <w:tc>
          <w:tcPr>
            <w:tcW w:w="6" w:type="dxa"/>
            <w:tcBorders>
              <w:top w:val="single" w:sz="4" w:space="0" w:color="A69EC1" w:themeColor="accent4"/>
              <w:left w:val="single" w:sz="4" w:space="0" w:color="A69EC1" w:themeColor="accent4"/>
              <w:bottom w:val="nil"/>
              <w:right w:val="nil"/>
            </w:tcBorders>
            <w:hideMark/>
          </w:tcPr>
          <w:p w14:paraId="4017F70A" w14:textId="77777777" w:rsidR="00831E1B" w:rsidRPr="00D8761C" w:rsidRDefault="00831E1B" w:rsidP="00D8761C">
            <w:pPr>
              <w:pStyle w:val="BodyText"/>
              <w:keepNext/>
              <w:keepLines/>
              <w:widowControl w:val="0"/>
              <w:rPr>
                <w:b/>
              </w:rPr>
            </w:pPr>
            <w:r w:rsidRPr="00D8761C">
              <w:rPr>
                <w:b/>
              </w:rPr>
              <w:t>Menaces</w:t>
            </w:r>
          </w:p>
          <w:p w14:paraId="44E02389" w14:textId="5D01F45A" w:rsidR="00F95A60" w:rsidRPr="00D73F63" w:rsidRDefault="000431F6" w:rsidP="00A617F6">
            <w:pPr>
              <w:pStyle w:val="Tablebullet1"/>
            </w:pPr>
            <w:r>
              <w:t>Prévisions de forte croissance des flux de marchandises qui entraînerait une hausse de 60 % des émissions de CO2</w:t>
            </w:r>
          </w:p>
        </w:tc>
      </w:tr>
    </w:tbl>
    <w:p w14:paraId="10458283" w14:textId="77777777" w:rsidR="000F2395" w:rsidRPr="00390A65" w:rsidRDefault="000F2395" w:rsidP="00390A65">
      <w:pPr>
        <w:pStyle w:val="BodyText"/>
      </w:pPr>
    </w:p>
    <w:p w14:paraId="23C38BE7" w14:textId="2CEA7416" w:rsidR="00370190" w:rsidRDefault="00873669" w:rsidP="00123A8E">
      <w:pPr>
        <w:pStyle w:val="Heading3"/>
      </w:pPr>
      <w:bookmarkStart w:id="97" w:name="_Toc52499477"/>
      <w:bookmarkStart w:id="98" w:name="_Toc93390285"/>
      <w:r w:rsidRPr="00D4726B">
        <w:t>Besoin de financement et défaillances de marché</w:t>
      </w:r>
      <w:bookmarkEnd w:id="97"/>
      <w:bookmarkEnd w:id="98"/>
    </w:p>
    <w:p w14:paraId="7730C423" w14:textId="161D6A3A" w:rsidR="00A36BE9" w:rsidRPr="004316DA" w:rsidRDefault="004316DA" w:rsidP="004316DA">
      <w:pPr>
        <w:pStyle w:val="BodyText"/>
        <w:rPr>
          <w:color w:val="CF342C" w:themeColor="text2"/>
          <w:sz w:val="18"/>
          <w:szCs w:val="18"/>
        </w:rPr>
        <w:sectPr w:rsidR="00A36BE9" w:rsidRPr="004316DA" w:rsidSect="00A36BE9">
          <w:footnotePr>
            <w:numRestart w:val="eachPage"/>
          </w:footnotePr>
          <w:type w:val="continuous"/>
          <w:pgSz w:w="11907" w:h="16839" w:code="9"/>
          <w:pgMar w:top="1701" w:right="1701" w:bottom="1701" w:left="1134" w:header="709" w:footer="851" w:gutter="0"/>
          <w:cols w:space="708"/>
          <w:docGrid w:linePitch="360"/>
        </w:sectPr>
      </w:pPr>
      <w:r>
        <w:t>N</w:t>
      </w:r>
      <w:r w:rsidR="008A762D">
        <w:t>ous présentons ci-dessous les principaux besoins de financements et défaillances ayant trait aux énergies renouvelables ainsi que les défaillances et freins non financiers pouvant limiter le déploiement de celles-ci.</w:t>
      </w:r>
    </w:p>
    <w:p w14:paraId="36C1AE7A" w14:textId="0180E32E" w:rsidR="009B4013" w:rsidRDefault="009B4013" w:rsidP="00A36BE9">
      <w:pPr>
        <w:pStyle w:val="Caption"/>
        <w:keepNext w:val="0"/>
      </w:pPr>
      <w:bookmarkStart w:id="99" w:name="_Toc88842102"/>
      <w:r>
        <w:t xml:space="preserve">Tableau </w:t>
      </w:r>
      <w:r>
        <w:fldChar w:fldCharType="begin"/>
      </w:r>
      <w:r>
        <w:instrText xml:space="preserve"> SEQ Tableau \* ARABIC </w:instrText>
      </w:r>
      <w:r>
        <w:fldChar w:fldCharType="separate"/>
      </w:r>
      <w:r w:rsidR="009F0282">
        <w:rPr>
          <w:noProof/>
        </w:rPr>
        <w:t>14</w:t>
      </w:r>
      <w:r>
        <w:fldChar w:fldCharType="end"/>
      </w:r>
      <w:r>
        <w:t xml:space="preserve"> Niveau de couverture des besoins par l’offre régionale</w:t>
      </w:r>
      <w:bookmarkEnd w:id="99"/>
    </w:p>
    <w:tbl>
      <w:tblPr>
        <w:tblStyle w:val="TechnopolisTable20"/>
        <w:tblW w:w="5224" w:type="pct"/>
        <w:tblLook w:val="04A0" w:firstRow="1" w:lastRow="0" w:firstColumn="1" w:lastColumn="0" w:noHBand="0" w:noVBand="1"/>
      </w:tblPr>
      <w:tblGrid>
        <w:gridCol w:w="1083"/>
        <w:gridCol w:w="22"/>
        <w:gridCol w:w="1319"/>
        <w:gridCol w:w="1417"/>
        <w:gridCol w:w="1080"/>
        <w:gridCol w:w="3962"/>
        <w:gridCol w:w="2253"/>
        <w:gridCol w:w="2893"/>
      </w:tblGrid>
      <w:tr w:rsidR="002E7B48" w14:paraId="066C5C34" w14:textId="77777777" w:rsidTr="00920A00">
        <w:trPr>
          <w:cnfStyle w:val="100000000000" w:firstRow="1" w:lastRow="0" w:firstColumn="0" w:lastColumn="0" w:oddVBand="0" w:evenVBand="0" w:oddHBand="0" w:evenHBand="0" w:firstRowFirstColumn="0" w:firstRowLastColumn="0" w:lastRowFirstColumn="0" w:lastRowLastColumn="0"/>
          <w:trHeight w:val="406"/>
        </w:trPr>
        <w:tc>
          <w:tcPr>
            <w:tcW w:w="864" w:type="pct"/>
            <w:gridSpan w:val="3"/>
          </w:tcPr>
          <w:p w14:paraId="67F55585" w14:textId="77777777" w:rsidR="002E7B48" w:rsidRDefault="002E7B48" w:rsidP="00A36BE9">
            <w:pPr>
              <w:pStyle w:val="Tabletext"/>
            </w:pPr>
            <w:bookmarkStart w:id="100" w:name="_Toc52499478"/>
            <w:r>
              <w:t>Filière</w:t>
            </w:r>
          </w:p>
        </w:tc>
        <w:tc>
          <w:tcPr>
            <w:tcW w:w="505" w:type="pct"/>
          </w:tcPr>
          <w:p w14:paraId="49DED045" w14:textId="555A2A92" w:rsidR="002E7B48" w:rsidRDefault="002E7B48" w:rsidP="00A36BE9">
            <w:pPr>
              <w:pStyle w:val="Tabletext"/>
            </w:pPr>
            <w:r>
              <w:t xml:space="preserve">Estimation des </w:t>
            </w:r>
            <w:r w:rsidR="00D17E23">
              <w:t>Investissements nécessaires</w:t>
            </w:r>
            <w:r>
              <w:t xml:space="preserve"> </w:t>
            </w:r>
          </w:p>
        </w:tc>
        <w:tc>
          <w:tcPr>
            <w:tcW w:w="385" w:type="pct"/>
          </w:tcPr>
          <w:p w14:paraId="03E8B1B3" w14:textId="77777777" w:rsidR="002E7B48" w:rsidRDefault="002E7B48" w:rsidP="00A36BE9">
            <w:pPr>
              <w:pStyle w:val="Tabletext"/>
            </w:pPr>
            <w:r>
              <w:t>Couverture des besoins</w:t>
            </w:r>
          </w:p>
        </w:tc>
        <w:tc>
          <w:tcPr>
            <w:tcW w:w="1412" w:type="pct"/>
          </w:tcPr>
          <w:p w14:paraId="10F5D036" w14:textId="77EE7B25" w:rsidR="002E7B48" w:rsidRDefault="00130E91" w:rsidP="00130E91">
            <w:pPr>
              <w:pStyle w:val="Tabletext"/>
              <w:jc w:val="center"/>
            </w:pPr>
            <w:r>
              <w:t>Défaillances</w:t>
            </w:r>
          </w:p>
        </w:tc>
        <w:tc>
          <w:tcPr>
            <w:tcW w:w="803" w:type="pct"/>
          </w:tcPr>
          <w:p w14:paraId="4141533A" w14:textId="77777777" w:rsidR="002E7B48" w:rsidRDefault="002E7B48" w:rsidP="00A36BE9">
            <w:pPr>
              <w:pStyle w:val="Tabletext"/>
            </w:pPr>
            <w:r>
              <w:t>Types d’IF</w:t>
            </w:r>
          </w:p>
        </w:tc>
        <w:tc>
          <w:tcPr>
            <w:tcW w:w="1031" w:type="pct"/>
          </w:tcPr>
          <w:p w14:paraId="0222A6F9" w14:textId="158C4F0D" w:rsidR="002E7B48" w:rsidRDefault="002E7B48" w:rsidP="00A36BE9">
            <w:pPr>
              <w:pStyle w:val="Tabletext"/>
            </w:pPr>
            <w:r>
              <w:t>Autres défaillances</w:t>
            </w:r>
            <w:r w:rsidR="00B42227">
              <w:t xml:space="preserve"> et freins non financiers</w:t>
            </w:r>
          </w:p>
        </w:tc>
      </w:tr>
      <w:tr w:rsidR="00B27EC3" w14:paraId="31FE2F6B" w14:textId="77777777" w:rsidTr="00920A00">
        <w:trPr>
          <w:cnfStyle w:val="000000100000" w:firstRow="0" w:lastRow="0" w:firstColumn="0" w:lastColumn="0" w:oddVBand="0" w:evenVBand="0" w:oddHBand="1" w:evenHBand="0" w:firstRowFirstColumn="0" w:firstRowLastColumn="0" w:lastRowFirstColumn="0" w:lastRowLastColumn="0"/>
          <w:trHeight w:val="600"/>
        </w:trPr>
        <w:tc>
          <w:tcPr>
            <w:tcW w:w="864" w:type="pct"/>
            <w:gridSpan w:val="3"/>
          </w:tcPr>
          <w:p w14:paraId="0619DDC9" w14:textId="33E860A8" w:rsidR="002E7B48" w:rsidRPr="00AE7136" w:rsidRDefault="002E7B48" w:rsidP="00A36BE9">
            <w:pPr>
              <w:pStyle w:val="Tabletext"/>
              <w:rPr>
                <w:b/>
              </w:rPr>
            </w:pPr>
            <w:r w:rsidRPr="00AE7136">
              <w:rPr>
                <w:b/>
              </w:rPr>
              <w:t xml:space="preserve">Eolien </w:t>
            </w:r>
            <w:r w:rsidR="00B415FE">
              <w:rPr>
                <w:b/>
              </w:rPr>
              <w:t xml:space="preserve">terrestre </w:t>
            </w:r>
          </w:p>
        </w:tc>
        <w:tc>
          <w:tcPr>
            <w:tcW w:w="505" w:type="pct"/>
            <w:shd w:val="clear" w:color="auto" w:fill="auto"/>
          </w:tcPr>
          <w:p w14:paraId="295E168B" w14:textId="77777777" w:rsidR="002E7B48" w:rsidRDefault="002E7B48" w:rsidP="00A36BE9">
            <w:pPr>
              <w:pStyle w:val="Tabletext"/>
              <w:jc w:val="center"/>
            </w:pPr>
            <w:r>
              <w:t>0</w:t>
            </w:r>
            <w:r>
              <w:rPr>
                <w:rFonts w:ascii="Century Gothic" w:hAnsi="Century Gothic"/>
              </w:rPr>
              <w:t>€</w:t>
            </w:r>
          </w:p>
        </w:tc>
        <w:tc>
          <w:tcPr>
            <w:tcW w:w="385" w:type="pct"/>
            <w:shd w:val="clear" w:color="auto" w:fill="92D050"/>
          </w:tcPr>
          <w:p w14:paraId="1993955D" w14:textId="77777777" w:rsidR="002E7B48" w:rsidRDefault="002E7B48" w:rsidP="00A36BE9">
            <w:pPr>
              <w:pStyle w:val="Tabletext"/>
              <w:jc w:val="center"/>
            </w:pPr>
            <w:r>
              <w:t>Bonne</w:t>
            </w:r>
          </w:p>
        </w:tc>
        <w:tc>
          <w:tcPr>
            <w:tcW w:w="1412" w:type="pct"/>
            <w:shd w:val="clear" w:color="auto" w:fill="92D050"/>
          </w:tcPr>
          <w:p w14:paraId="4DD5CC94" w14:textId="77777777" w:rsidR="002E7B48" w:rsidRDefault="002E7B48" w:rsidP="00A36BE9">
            <w:pPr>
              <w:pStyle w:val="Tabletext"/>
              <w:jc w:val="center"/>
            </w:pPr>
            <w:r>
              <w:t>Pas de défaillance</w:t>
            </w:r>
          </w:p>
        </w:tc>
        <w:tc>
          <w:tcPr>
            <w:tcW w:w="803" w:type="pct"/>
            <w:shd w:val="clear" w:color="auto" w:fill="92D050"/>
          </w:tcPr>
          <w:p w14:paraId="1E1621A9" w14:textId="77777777" w:rsidR="002E7B48" w:rsidRDefault="002E7B48" w:rsidP="00A36BE9">
            <w:pPr>
              <w:pStyle w:val="Tabletext"/>
              <w:jc w:val="center"/>
            </w:pPr>
            <w:r>
              <w:t>NA</w:t>
            </w:r>
          </w:p>
        </w:tc>
        <w:tc>
          <w:tcPr>
            <w:tcW w:w="1031" w:type="pct"/>
            <w:shd w:val="clear" w:color="auto" w:fill="F3D7D7" w:themeFill="accent1" w:themeFillTint="33"/>
          </w:tcPr>
          <w:p w14:paraId="056BA31D" w14:textId="77777777" w:rsidR="002E7B48" w:rsidRDefault="002E7B48" w:rsidP="00920A00">
            <w:pPr>
              <w:pStyle w:val="Tablebullet1"/>
            </w:pPr>
            <w:r w:rsidRPr="00A36BE9">
              <w:t>Orientations stratégiques régionales</w:t>
            </w:r>
          </w:p>
          <w:p w14:paraId="52160658" w14:textId="016906F6" w:rsidR="002E7B48" w:rsidRPr="00A36BE9" w:rsidRDefault="004B6210" w:rsidP="00A36BE9">
            <w:pPr>
              <w:pStyle w:val="Tablebullet1"/>
            </w:pPr>
            <w:r>
              <w:t>Manque d’acceptabilité sociale</w:t>
            </w:r>
          </w:p>
        </w:tc>
      </w:tr>
      <w:tr w:rsidR="00920A00" w14:paraId="67B8992E" w14:textId="77777777" w:rsidTr="00920A00">
        <w:trPr>
          <w:cnfStyle w:val="000000010000" w:firstRow="0" w:lastRow="0" w:firstColumn="0" w:lastColumn="0" w:oddVBand="0" w:evenVBand="0" w:oddHBand="0" w:evenHBand="1" w:firstRowFirstColumn="0" w:firstRowLastColumn="0" w:lastRowFirstColumn="0" w:lastRowLastColumn="0"/>
          <w:trHeight w:val="600"/>
        </w:trPr>
        <w:tc>
          <w:tcPr>
            <w:tcW w:w="864" w:type="pct"/>
            <w:gridSpan w:val="3"/>
          </w:tcPr>
          <w:p w14:paraId="4CB30905" w14:textId="34F2A35B" w:rsidR="00920A00" w:rsidRPr="00AE7136" w:rsidRDefault="00920A00" w:rsidP="00920A00">
            <w:pPr>
              <w:pStyle w:val="Tabletext"/>
              <w:rPr>
                <w:b/>
              </w:rPr>
            </w:pPr>
            <w:r w:rsidRPr="00AE7136">
              <w:rPr>
                <w:b/>
              </w:rPr>
              <w:t xml:space="preserve">Eolien </w:t>
            </w:r>
            <w:r>
              <w:rPr>
                <w:b/>
              </w:rPr>
              <w:t>offshore</w:t>
            </w:r>
          </w:p>
        </w:tc>
        <w:tc>
          <w:tcPr>
            <w:tcW w:w="505" w:type="pct"/>
            <w:shd w:val="clear" w:color="auto" w:fill="auto"/>
          </w:tcPr>
          <w:p w14:paraId="0B6DE627" w14:textId="63890EE1" w:rsidR="00920A00" w:rsidRDefault="00920A00" w:rsidP="00920A00">
            <w:pPr>
              <w:pStyle w:val="Tabletext"/>
              <w:jc w:val="center"/>
            </w:pPr>
            <w:r>
              <w:t>NA</w:t>
            </w:r>
          </w:p>
        </w:tc>
        <w:tc>
          <w:tcPr>
            <w:tcW w:w="385" w:type="pct"/>
            <w:shd w:val="clear" w:color="auto" w:fill="92D050"/>
          </w:tcPr>
          <w:p w14:paraId="122317C6" w14:textId="516BFEE0" w:rsidR="00920A00" w:rsidRDefault="000E24F4" w:rsidP="00920A00">
            <w:pPr>
              <w:pStyle w:val="Tabletext"/>
              <w:jc w:val="center"/>
            </w:pPr>
            <w:r>
              <w:t>Bonne</w:t>
            </w:r>
          </w:p>
        </w:tc>
        <w:tc>
          <w:tcPr>
            <w:tcW w:w="1412" w:type="pct"/>
            <w:shd w:val="clear" w:color="auto" w:fill="FCE7BC" w:themeFill="accent3" w:themeFillTint="66"/>
          </w:tcPr>
          <w:p w14:paraId="6753C3D8" w14:textId="1D3E9726" w:rsidR="00920A00" w:rsidRDefault="00920A00" w:rsidP="00920A00">
            <w:pPr>
              <w:pStyle w:val="Tabletext"/>
              <w:jc w:val="center"/>
            </w:pPr>
            <w:r>
              <w:t>Besoin de renforcement du soutien régional</w:t>
            </w:r>
          </w:p>
        </w:tc>
        <w:tc>
          <w:tcPr>
            <w:tcW w:w="803" w:type="pct"/>
            <w:shd w:val="clear" w:color="auto" w:fill="FCE7BC" w:themeFill="accent3" w:themeFillTint="66"/>
          </w:tcPr>
          <w:p w14:paraId="59C9D298" w14:textId="77777777" w:rsidR="00920A00" w:rsidRDefault="00920A00" w:rsidP="00920A00">
            <w:pPr>
              <w:pStyle w:val="Tabletext"/>
              <w:jc w:val="center"/>
            </w:pPr>
            <w:r>
              <w:t>Subventions</w:t>
            </w:r>
          </w:p>
          <w:p w14:paraId="4CAD3A32" w14:textId="49669C6D" w:rsidR="00920A00" w:rsidRDefault="00920A00" w:rsidP="00920A00">
            <w:pPr>
              <w:rPr>
                <w:rFonts w:eastAsia="Times New Roman" w:cs="Times New Roman"/>
                <w:szCs w:val="24"/>
              </w:rPr>
            </w:pPr>
            <w:r>
              <w:t xml:space="preserve"> FP/QFP</w:t>
            </w:r>
          </w:p>
          <w:p w14:paraId="138D2929" w14:textId="77777777" w:rsidR="00920A00" w:rsidRDefault="00920A00" w:rsidP="00920A00">
            <w:pPr>
              <w:pStyle w:val="Tabletext"/>
              <w:jc w:val="center"/>
            </w:pPr>
          </w:p>
        </w:tc>
        <w:tc>
          <w:tcPr>
            <w:tcW w:w="1031" w:type="pct"/>
            <w:shd w:val="clear" w:color="auto" w:fill="F3D7D7" w:themeFill="accent1" w:themeFillTint="33"/>
          </w:tcPr>
          <w:p w14:paraId="2970CEC1" w14:textId="295E369E" w:rsidR="00920A00" w:rsidRPr="00A36BE9" w:rsidRDefault="00920A00" w:rsidP="00920A00">
            <w:pPr>
              <w:pStyle w:val="Tablebullet1"/>
              <w:jc w:val="left"/>
            </w:pPr>
            <w:r>
              <w:t>Risque de problèmes d’acceptabilité sociale pour l’éolien offshore en cas d’ambition forte sur cette filière dans l</w:t>
            </w:r>
            <w:r w:rsidRPr="00C6529C">
              <w:t>a stratégie de développement des EMR est en cours de définition</w:t>
            </w:r>
          </w:p>
        </w:tc>
      </w:tr>
      <w:tr w:rsidR="00B27EC3" w14:paraId="2548D25F" w14:textId="77777777" w:rsidTr="00920A00">
        <w:trPr>
          <w:cnfStyle w:val="000000100000" w:firstRow="0" w:lastRow="0" w:firstColumn="0" w:lastColumn="0" w:oddVBand="0" w:evenVBand="0" w:oddHBand="1" w:evenHBand="0" w:firstRowFirstColumn="0" w:firstRowLastColumn="0" w:lastRowFirstColumn="0" w:lastRowLastColumn="0"/>
          <w:trHeight w:val="224"/>
        </w:trPr>
        <w:tc>
          <w:tcPr>
            <w:tcW w:w="864" w:type="pct"/>
            <w:gridSpan w:val="3"/>
          </w:tcPr>
          <w:p w14:paraId="7F6DE05A" w14:textId="77777777" w:rsidR="002E7B48" w:rsidRDefault="002E7B48" w:rsidP="00A36BE9">
            <w:pPr>
              <w:pStyle w:val="Tabletext"/>
            </w:pPr>
            <w:r w:rsidRPr="00AE7136">
              <w:rPr>
                <w:b/>
              </w:rPr>
              <w:t>Solaire</w:t>
            </w:r>
            <w:r>
              <w:t xml:space="preserve"> (PV, thermique)</w:t>
            </w:r>
          </w:p>
        </w:tc>
        <w:tc>
          <w:tcPr>
            <w:tcW w:w="505" w:type="pct"/>
            <w:shd w:val="clear" w:color="auto" w:fill="auto"/>
          </w:tcPr>
          <w:p w14:paraId="3544DDA6" w14:textId="77777777" w:rsidR="002E7B48" w:rsidRDefault="002E7B48" w:rsidP="00A36BE9">
            <w:pPr>
              <w:pStyle w:val="Tabletext"/>
              <w:jc w:val="center"/>
            </w:pPr>
            <w:r>
              <w:t>NA</w:t>
            </w:r>
          </w:p>
        </w:tc>
        <w:tc>
          <w:tcPr>
            <w:tcW w:w="385" w:type="pct"/>
            <w:shd w:val="clear" w:color="auto" w:fill="92D050"/>
          </w:tcPr>
          <w:p w14:paraId="2DF7F402" w14:textId="77777777" w:rsidR="002E7B48" w:rsidRDefault="002E7B48" w:rsidP="00A36BE9">
            <w:pPr>
              <w:pStyle w:val="Tabletext"/>
              <w:jc w:val="center"/>
            </w:pPr>
            <w:r>
              <w:t>Bonne</w:t>
            </w:r>
          </w:p>
        </w:tc>
        <w:tc>
          <w:tcPr>
            <w:tcW w:w="1412" w:type="pct"/>
            <w:shd w:val="clear" w:color="auto" w:fill="92D050"/>
          </w:tcPr>
          <w:p w14:paraId="1C58CE3D" w14:textId="77777777" w:rsidR="002E7B48" w:rsidRDefault="002E7B48" w:rsidP="00A36BE9">
            <w:pPr>
              <w:pStyle w:val="Tabletext"/>
              <w:jc w:val="center"/>
            </w:pPr>
            <w:r>
              <w:t>Pas de défaillance</w:t>
            </w:r>
          </w:p>
        </w:tc>
        <w:tc>
          <w:tcPr>
            <w:tcW w:w="803" w:type="pct"/>
            <w:shd w:val="clear" w:color="auto" w:fill="92D050"/>
          </w:tcPr>
          <w:p w14:paraId="15ECC803" w14:textId="77777777" w:rsidR="002E7B48" w:rsidRDefault="002E7B48" w:rsidP="00A36BE9">
            <w:pPr>
              <w:pStyle w:val="Tabletext"/>
              <w:jc w:val="center"/>
            </w:pPr>
            <w:r>
              <w:t>NA</w:t>
            </w:r>
          </w:p>
        </w:tc>
        <w:tc>
          <w:tcPr>
            <w:tcW w:w="1031" w:type="pct"/>
            <w:shd w:val="clear" w:color="auto" w:fill="F3D7D7" w:themeFill="accent1" w:themeFillTint="33"/>
          </w:tcPr>
          <w:p w14:paraId="37C1EA5D" w14:textId="7BEAE13C" w:rsidR="002E7B48" w:rsidRPr="00A36BE9" w:rsidRDefault="002E7B48" w:rsidP="00A36BE9">
            <w:pPr>
              <w:pStyle w:val="Tablebullet1"/>
            </w:pPr>
            <w:r w:rsidRPr="00A36BE9">
              <w:t>Manque d’ingénierie des acteurs territoriaux</w:t>
            </w:r>
          </w:p>
        </w:tc>
      </w:tr>
      <w:tr w:rsidR="00C031D3" w14:paraId="452FEB0E" w14:textId="77777777" w:rsidTr="00920A00">
        <w:trPr>
          <w:cnfStyle w:val="000000010000" w:firstRow="0" w:lastRow="0" w:firstColumn="0" w:lastColumn="0" w:oddVBand="0" w:evenVBand="0" w:oddHBand="0" w:evenHBand="1" w:firstRowFirstColumn="0" w:firstRowLastColumn="0" w:lastRowFirstColumn="0" w:lastRowLastColumn="0"/>
          <w:trHeight w:val="620"/>
        </w:trPr>
        <w:tc>
          <w:tcPr>
            <w:tcW w:w="394" w:type="pct"/>
            <w:gridSpan w:val="2"/>
            <w:vMerge w:val="restart"/>
          </w:tcPr>
          <w:p w14:paraId="75BB3F28" w14:textId="5B9AE2E6" w:rsidR="002E7B48" w:rsidRPr="00AE7136" w:rsidRDefault="002E7B48" w:rsidP="00A36BE9">
            <w:pPr>
              <w:pStyle w:val="Tabletext"/>
              <w:rPr>
                <w:b/>
              </w:rPr>
            </w:pPr>
            <w:proofErr w:type="spellStart"/>
            <w:r w:rsidRPr="00AE7136">
              <w:rPr>
                <w:b/>
                <w:bCs/>
              </w:rPr>
              <w:t>Bio</w:t>
            </w:r>
            <w:r w:rsidR="00AE7136">
              <w:rPr>
                <w:b/>
                <w:bCs/>
              </w:rPr>
              <w:t>-</w:t>
            </w:r>
            <w:r w:rsidRPr="00AE7136">
              <w:rPr>
                <w:b/>
                <w:bCs/>
              </w:rPr>
              <w:t>énergies</w:t>
            </w:r>
            <w:proofErr w:type="spellEnd"/>
          </w:p>
        </w:tc>
        <w:tc>
          <w:tcPr>
            <w:tcW w:w="470" w:type="pct"/>
          </w:tcPr>
          <w:p w14:paraId="2B72C7A9" w14:textId="77777777" w:rsidR="002E7B48" w:rsidRPr="0064404F" w:rsidRDefault="002E7B48" w:rsidP="00A36BE9">
            <w:pPr>
              <w:pStyle w:val="Tabletext"/>
            </w:pPr>
            <w:r>
              <w:t>Biogaz par Méthanisation</w:t>
            </w:r>
          </w:p>
        </w:tc>
        <w:tc>
          <w:tcPr>
            <w:tcW w:w="505" w:type="pct"/>
            <w:shd w:val="clear" w:color="auto" w:fill="auto"/>
          </w:tcPr>
          <w:p w14:paraId="6D62680C" w14:textId="77777777" w:rsidR="002E7B48" w:rsidRDefault="002E7B48" w:rsidP="00A36BE9">
            <w:pPr>
              <w:pStyle w:val="Tabletext"/>
              <w:jc w:val="center"/>
            </w:pPr>
            <w:r>
              <w:t>NA</w:t>
            </w:r>
          </w:p>
        </w:tc>
        <w:tc>
          <w:tcPr>
            <w:tcW w:w="385" w:type="pct"/>
            <w:shd w:val="clear" w:color="auto" w:fill="92D050"/>
          </w:tcPr>
          <w:p w14:paraId="733E8366" w14:textId="7CCFAB09" w:rsidR="002E7B48" w:rsidRPr="0064404F" w:rsidRDefault="002E7B48" w:rsidP="00A36BE9">
            <w:pPr>
              <w:pStyle w:val="Tabletext"/>
              <w:jc w:val="center"/>
            </w:pPr>
            <w:r>
              <w:t>Bonne</w:t>
            </w:r>
          </w:p>
        </w:tc>
        <w:tc>
          <w:tcPr>
            <w:tcW w:w="1412" w:type="pct"/>
            <w:shd w:val="clear" w:color="auto" w:fill="FCE7BC" w:themeFill="accent3" w:themeFillTint="66"/>
          </w:tcPr>
          <w:p w14:paraId="4043E7C0" w14:textId="77777777" w:rsidR="002E7B48" w:rsidRPr="0064404F" w:rsidRDefault="002E7B48" w:rsidP="00A36BE9">
            <w:pPr>
              <w:pStyle w:val="Tabletext"/>
              <w:jc w:val="center"/>
            </w:pPr>
            <w:r>
              <w:t>Défaillance possible sur la méthanisation en raison des évolutions réglementaires</w:t>
            </w:r>
          </w:p>
        </w:tc>
        <w:tc>
          <w:tcPr>
            <w:tcW w:w="803" w:type="pct"/>
            <w:shd w:val="clear" w:color="auto" w:fill="FCE7BC" w:themeFill="accent3" w:themeFillTint="66"/>
          </w:tcPr>
          <w:p w14:paraId="081E88CB" w14:textId="45E17C5E" w:rsidR="002E7B48" w:rsidRPr="0064404F" w:rsidRDefault="002E7B48" w:rsidP="00A36BE9">
            <w:pPr>
              <w:pStyle w:val="Tabletext"/>
              <w:jc w:val="center"/>
            </w:pPr>
            <w:r>
              <w:t>700 k</w:t>
            </w:r>
            <w:r>
              <w:rPr>
                <w:rFonts w:ascii="Century Gothic" w:hAnsi="Century Gothic"/>
              </w:rPr>
              <w:t>€</w:t>
            </w:r>
            <w:r>
              <w:t>/projet en FP/QFP (10% des coûts d’investissements)</w:t>
            </w:r>
          </w:p>
        </w:tc>
        <w:tc>
          <w:tcPr>
            <w:tcW w:w="1031" w:type="pct"/>
            <w:shd w:val="clear" w:color="auto" w:fill="auto"/>
          </w:tcPr>
          <w:p w14:paraId="167297A2" w14:textId="2FE7649A" w:rsidR="002E7B48" w:rsidRPr="00A36BE9" w:rsidRDefault="00130E91" w:rsidP="00A36BE9">
            <w:pPr>
              <w:pStyle w:val="Tablebullet1"/>
            </w:pPr>
            <w:r>
              <w:t>NA</w:t>
            </w:r>
          </w:p>
        </w:tc>
      </w:tr>
      <w:tr w:rsidR="00C031D3" w14:paraId="3C8F1FC6" w14:textId="77777777" w:rsidTr="00920A00">
        <w:trPr>
          <w:cnfStyle w:val="000000100000" w:firstRow="0" w:lastRow="0" w:firstColumn="0" w:lastColumn="0" w:oddVBand="0" w:evenVBand="0" w:oddHBand="1" w:evenHBand="0" w:firstRowFirstColumn="0" w:firstRowLastColumn="0" w:lastRowFirstColumn="0" w:lastRowLastColumn="0"/>
          <w:trHeight w:val="122"/>
        </w:trPr>
        <w:tc>
          <w:tcPr>
            <w:tcW w:w="394" w:type="pct"/>
            <w:gridSpan w:val="2"/>
            <w:vMerge/>
          </w:tcPr>
          <w:p w14:paraId="5A5963AF" w14:textId="77777777" w:rsidR="002E7B48" w:rsidRPr="002E7B48" w:rsidRDefault="002E7B48" w:rsidP="00A36BE9">
            <w:pPr>
              <w:pStyle w:val="Tabletext"/>
            </w:pPr>
          </w:p>
        </w:tc>
        <w:tc>
          <w:tcPr>
            <w:tcW w:w="470" w:type="pct"/>
          </w:tcPr>
          <w:p w14:paraId="3252041F" w14:textId="77777777" w:rsidR="002E7B48" w:rsidRDefault="002E7B48" w:rsidP="00A36BE9">
            <w:pPr>
              <w:pStyle w:val="Tabletext"/>
            </w:pPr>
            <w:r>
              <w:t xml:space="preserve">Biogaz par nouveaux procédés </w:t>
            </w:r>
          </w:p>
        </w:tc>
        <w:tc>
          <w:tcPr>
            <w:tcW w:w="505" w:type="pct"/>
            <w:shd w:val="clear" w:color="auto" w:fill="auto"/>
          </w:tcPr>
          <w:p w14:paraId="0F74E10C" w14:textId="77777777" w:rsidR="002E7B48" w:rsidRDefault="002E7B48" w:rsidP="00A36BE9">
            <w:pPr>
              <w:pStyle w:val="Tabletext"/>
              <w:jc w:val="center"/>
            </w:pPr>
            <w:r>
              <w:t>NA</w:t>
            </w:r>
          </w:p>
        </w:tc>
        <w:tc>
          <w:tcPr>
            <w:tcW w:w="385" w:type="pct"/>
            <w:shd w:val="clear" w:color="auto" w:fill="92D050"/>
          </w:tcPr>
          <w:p w14:paraId="11EA3D4A" w14:textId="766D04FA" w:rsidR="002E7B48" w:rsidRDefault="002E7B48" w:rsidP="00A36BE9">
            <w:pPr>
              <w:pStyle w:val="Tabletext"/>
              <w:jc w:val="center"/>
            </w:pPr>
            <w:r>
              <w:t>Assez bonne</w:t>
            </w:r>
          </w:p>
        </w:tc>
        <w:tc>
          <w:tcPr>
            <w:tcW w:w="1412" w:type="pct"/>
            <w:shd w:val="clear" w:color="auto" w:fill="FCE7BC" w:themeFill="accent3" w:themeFillTint="66"/>
          </w:tcPr>
          <w:p w14:paraId="623DEEA3" w14:textId="77777777" w:rsidR="002E7B48" w:rsidRPr="00481483" w:rsidRDefault="002E7B48" w:rsidP="00A36BE9">
            <w:pPr>
              <w:pStyle w:val="Tabletext"/>
              <w:jc w:val="center"/>
            </w:pPr>
            <w:r>
              <w:t xml:space="preserve">S’assurer </w:t>
            </w:r>
            <w:r w:rsidRPr="00481483">
              <w:t xml:space="preserve">Rev3 financement </w:t>
            </w:r>
            <w:r>
              <w:t xml:space="preserve">ou le FRATRI </w:t>
            </w:r>
            <w:r w:rsidRPr="00481483">
              <w:t>permet</w:t>
            </w:r>
            <w:r>
              <w:t>tent</w:t>
            </w:r>
            <w:r w:rsidRPr="00481483">
              <w:t xml:space="preserve"> de couvrir la demande</w:t>
            </w:r>
          </w:p>
        </w:tc>
        <w:tc>
          <w:tcPr>
            <w:tcW w:w="803" w:type="pct"/>
            <w:shd w:val="clear" w:color="auto" w:fill="FCE7BC" w:themeFill="accent3" w:themeFillTint="66"/>
          </w:tcPr>
          <w:p w14:paraId="660D0FE2" w14:textId="77777777" w:rsidR="002E7B48" w:rsidRDefault="00C35BA8" w:rsidP="00A36BE9">
            <w:pPr>
              <w:pStyle w:val="Tabletext"/>
              <w:jc w:val="center"/>
            </w:pPr>
            <w:r>
              <w:t xml:space="preserve">Subventions </w:t>
            </w:r>
          </w:p>
          <w:p w14:paraId="7CF8CA3D" w14:textId="429EF713" w:rsidR="00C35BA8" w:rsidRPr="00481483" w:rsidRDefault="00C35BA8" w:rsidP="00A36BE9">
            <w:pPr>
              <w:pStyle w:val="Tabletext"/>
              <w:jc w:val="center"/>
            </w:pPr>
            <w:r>
              <w:t>FP/QFP</w:t>
            </w:r>
          </w:p>
        </w:tc>
        <w:tc>
          <w:tcPr>
            <w:tcW w:w="1031" w:type="pct"/>
            <w:shd w:val="clear" w:color="auto" w:fill="auto"/>
          </w:tcPr>
          <w:p w14:paraId="6F737CFE" w14:textId="578908FA" w:rsidR="002E7B48" w:rsidRPr="00A36BE9" w:rsidRDefault="00130E91" w:rsidP="00A36BE9">
            <w:pPr>
              <w:pStyle w:val="Tablebullet1"/>
            </w:pPr>
            <w:r>
              <w:t>NA</w:t>
            </w:r>
          </w:p>
        </w:tc>
      </w:tr>
      <w:tr w:rsidR="00B27EC3" w14:paraId="3489F37A" w14:textId="77777777" w:rsidTr="00920A00">
        <w:trPr>
          <w:cnfStyle w:val="000000010000" w:firstRow="0" w:lastRow="0" w:firstColumn="0" w:lastColumn="0" w:oddVBand="0" w:evenVBand="0" w:oddHBand="0" w:evenHBand="1" w:firstRowFirstColumn="0" w:firstRowLastColumn="0" w:lastRowFirstColumn="0" w:lastRowLastColumn="0"/>
          <w:trHeight w:val="933"/>
        </w:trPr>
        <w:tc>
          <w:tcPr>
            <w:tcW w:w="394" w:type="pct"/>
            <w:gridSpan w:val="2"/>
            <w:vMerge/>
          </w:tcPr>
          <w:p w14:paraId="59C2C060" w14:textId="77777777" w:rsidR="002E7B48" w:rsidRPr="00481483" w:rsidRDefault="002E7B48" w:rsidP="00A36BE9">
            <w:pPr>
              <w:pStyle w:val="Tabletext"/>
            </w:pPr>
          </w:p>
        </w:tc>
        <w:tc>
          <w:tcPr>
            <w:tcW w:w="470" w:type="pct"/>
          </w:tcPr>
          <w:p w14:paraId="1F5B0DBA" w14:textId="77777777" w:rsidR="002E7B48" w:rsidRPr="00481483" w:rsidRDefault="002E7B48" w:rsidP="00A36BE9">
            <w:pPr>
              <w:pStyle w:val="Tabletext"/>
            </w:pPr>
            <w:r>
              <w:t xml:space="preserve">Bois-énergie </w:t>
            </w:r>
          </w:p>
        </w:tc>
        <w:tc>
          <w:tcPr>
            <w:tcW w:w="505" w:type="pct"/>
            <w:shd w:val="clear" w:color="auto" w:fill="auto"/>
          </w:tcPr>
          <w:p w14:paraId="032A4CCD" w14:textId="77777777" w:rsidR="002E7B48" w:rsidRDefault="002E7B48" w:rsidP="00A36BE9">
            <w:pPr>
              <w:pStyle w:val="Tabletext"/>
              <w:jc w:val="center"/>
            </w:pPr>
            <w:r>
              <w:t>NA</w:t>
            </w:r>
          </w:p>
        </w:tc>
        <w:tc>
          <w:tcPr>
            <w:tcW w:w="385" w:type="pct"/>
            <w:shd w:val="clear" w:color="auto" w:fill="92D050"/>
          </w:tcPr>
          <w:p w14:paraId="08D0F8BE" w14:textId="4F64DB10" w:rsidR="002E7B48" w:rsidRPr="00481483" w:rsidRDefault="002E7B48" w:rsidP="00A36BE9">
            <w:pPr>
              <w:pStyle w:val="Tabletext"/>
              <w:jc w:val="center"/>
            </w:pPr>
            <w:r>
              <w:t>Bonne</w:t>
            </w:r>
          </w:p>
        </w:tc>
        <w:tc>
          <w:tcPr>
            <w:tcW w:w="1412" w:type="pct"/>
            <w:shd w:val="clear" w:color="auto" w:fill="92D050"/>
          </w:tcPr>
          <w:p w14:paraId="53E34134" w14:textId="77777777" w:rsidR="002E7B48" w:rsidRPr="00481483" w:rsidRDefault="002E7B48" w:rsidP="00A36BE9">
            <w:pPr>
              <w:pStyle w:val="Tabletext"/>
              <w:jc w:val="center"/>
            </w:pPr>
            <w:r>
              <w:t>Pas de défaillance</w:t>
            </w:r>
          </w:p>
        </w:tc>
        <w:tc>
          <w:tcPr>
            <w:tcW w:w="803" w:type="pct"/>
            <w:shd w:val="clear" w:color="auto" w:fill="92D050"/>
          </w:tcPr>
          <w:p w14:paraId="504950DB" w14:textId="77777777" w:rsidR="002E7B48" w:rsidRPr="00481483" w:rsidRDefault="002E7B48" w:rsidP="00A36BE9">
            <w:pPr>
              <w:pStyle w:val="Tabletext"/>
              <w:jc w:val="center"/>
            </w:pPr>
            <w:r>
              <w:t>NA</w:t>
            </w:r>
          </w:p>
        </w:tc>
        <w:tc>
          <w:tcPr>
            <w:tcW w:w="1031" w:type="pct"/>
            <w:shd w:val="clear" w:color="auto" w:fill="F3D7D7" w:themeFill="accent1" w:themeFillTint="33"/>
          </w:tcPr>
          <w:p w14:paraId="27AFBE79" w14:textId="77777777" w:rsidR="002E7B48" w:rsidRPr="00A36BE9" w:rsidRDefault="002E7B48" w:rsidP="00A36BE9">
            <w:pPr>
              <w:pStyle w:val="Tablebullet1"/>
            </w:pPr>
            <w:r w:rsidRPr="00A36BE9">
              <w:t>Conditions économiques peu favorables</w:t>
            </w:r>
          </w:p>
          <w:p w14:paraId="1C2AE46D" w14:textId="77777777" w:rsidR="002E7B48" w:rsidRPr="00A36BE9" w:rsidRDefault="002E7B48" w:rsidP="00A36BE9">
            <w:pPr>
              <w:pStyle w:val="Tablebullet1"/>
            </w:pPr>
            <w:r w:rsidRPr="00A36BE9">
              <w:t>Difficultés de mobilisation de la ressource bois</w:t>
            </w:r>
          </w:p>
        </w:tc>
      </w:tr>
      <w:tr w:rsidR="00B27EC3" w14:paraId="7793752C" w14:textId="77777777" w:rsidTr="00920A00">
        <w:trPr>
          <w:cnfStyle w:val="000000100000" w:firstRow="0" w:lastRow="0" w:firstColumn="0" w:lastColumn="0" w:oddVBand="0" w:evenVBand="0" w:oddHBand="1" w:evenHBand="0" w:firstRowFirstColumn="0" w:firstRowLastColumn="0" w:lastRowFirstColumn="0" w:lastRowLastColumn="0"/>
          <w:trHeight w:val="122"/>
        </w:trPr>
        <w:tc>
          <w:tcPr>
            <w:tcW w:w="864" w:type="pct"/>
            <w:gridSpan w:val="3"/>
          </w:tcPr>
          <w:p w14:paraId="2B4E6CE8" w14:textId="77777777" w:rsidR="002E7B48" w:rsidRPr="00AE7136" w:rsidRDefault="002E7B48" w:rsidP="00A36BE9">
            <w:pPr>
              <w:pStyle w:val="Tabletext"/>
              <w:rPr>
                <w:b/>
              </w:rPr>
            </w:pPr>
            <w:r w:rsidRPr="00AE7136">
              <w:rPr>
                <w:b/>
              </w:rPr>
              <w:t>Réseau de chaleur et de froid</w:t>
            </w:r>
          </w:p>
        </w:tc>
        <w:tc>
          <w:tcPr>
            <w:tcW w:w="505" w:type="pct"/>
            <w:shd w:val="clear" w:color="auto" w:fill="auto"/>
          </w:tcPr>
          <w:p w14:paraId="7AB4D519" w14:textId="77777777" w:rsidR="002E7B48" w:rsidRPr="00F75DD2" w:rsidRDefault="002E7B48" w:rsidP="00A36BE9">
            <w:pPr>
              <w:pStyle w:val="Tabletext"/>
              <w:jc w:val="center"/>
            </w:pPr>
            <w:r w:rsidRPr="00AE7136">
              <w:t>73 M€</w:t>
            </w:r>
            <w:r w:rsidRPr="00F75DD2">
              <w:t xml:space="preserve"> </w:t>
            </w:r>
            <w:r>
              <w:t>(</w:t>
            </w:r>
            <w:r w:rsidRPr="00F75DD2">
              <w:t>2026</w:t>
            </w:r>
            <w:r>
              <w:t xml:space="preserve">) </w:t>
            </w:r>
            <w:r w:rsidRPr="00F75DD2">
              <w:t xml:space="preserve">et </w:t>
            </w:r>
            <w:r w:rsidRPr="00AE7136">
              <w:t>100 M€ (</w:t>
            </w:r>
            <w:r w:rsidRPr="00F75DD2">
              <w:t>2031</w:t>
            </w:r>
            <w:r>
              <w:t>)</w:t>
            </w:r>
          </w:p>
        </w:tc>
        <w:tc>
          <w:tcPr>
            <w:tcW w:w="385" w:type="pct"/>
            <w:shd w:val="clear" w:color="auto" w:fill="92D050"/>
          </w:tcPr>
          <w:p w14:paraId="0660119A" w14:textId="6B34D28C" w:rsidR="002E7B48" w:rsidRPr="00481483" w:rsidRDefault="002E7B48" w:rsidP="00A36BE9">
            <w:pPr>
              <w:pStyle w:val="Tabletext"/>
              <w:jc w:val="center"/>
            </w:pPr>
            <w:r>
              <w:t>Bonne</w:t>
            </w:r>
          </w:p>
        </w:tc>
        <w:tc>
          <w:tcPr>
            <w:tcW w:w="1412" w:type="pct"/>
            <w:shd w:val="clear" w:color="auto" w:fill="FCE7BC" w:themeFill="accent3" w:themeFillTint="66"/>
          </w:tcPr>
          <w:p w14:paraId="2E8FFB9E" w14:textId="7BD8FBEA" w:rsidR="002E7B48" w:rsidRPr="00481483" w:rsidRDefault="002E7B48" w:rsidP="00A36BE9">
            <w:pPr>
              <w:pStyle w:val="Tabletext"/>
              <w:jc w:val="center"/>
            </w:pPr>
            <w:r>
              <w:t xml:space="preserve">Pas de défaillance mais question de garantie pour chaleur fatale </w:t>
            </w:r>
            <w:r w:rsidR="001A5BFF">
              <w:t>évoquée. Mais une précédente étude avait déjà conclu qu’un f</w:t>
            </w:r>
            <w:r w:rsidR="001A5BFF" w:rsidRPr="001A5BFF">
              <w:t>onds de Garantie</w:t>
            </w:r>
            <w:r w:rsidR="00CF3BE7">
              <w:t xml:space="preserve"> pour la chaleur fatale industrielle</w:t>
            </w:r>
            <w:r w:rsidR="001A5BFF" w:rsidRPr="001A5BFF">
              <w:t xml:space="preserve"> ne sera </w:t>
            </w:r>
            <w:r w:rsidR="001A5BFF">
              <w:t>possible qu’à l’échelle nationale et non régionale.</w:t>
            </w:r>
          </w:p>
        </w:tc>
        <w:tc>
          <w:tcPr>
            <w:tcW w:w="803" w:type="pct"/>
            <w:shd w:val="clear" w:color="auto" w:fill="FCE7BC" w:themeFill="accent3" w:themeFillTint="66"/>
          </w:tcPr>
          <w:p w14:paraId="64B4987D" w14:textId="4C82B7CC" w:rsidR="002E7B48" w:rsidRPr="00481483" w:rsidRDefault="00C35BA8" w:rsidP="00A36BE9">
            <w:pPr>
              <w:pStyle w:val="Tabletext"/>
              <w:jc w:val="center"/>
            </w:pPr>
            <w:r>
              <w:t>G</w:t>
            </w:r>
            <w:r w:rsidR="002E7B48">
              <w:t>arantie chaleur fatale si défaillance confirmée</w:t>
            </w:r>
            <w:r w:rsidR="001A5BFF">
              <w:t xml:space="preserve"> mais faisabilité au niveau régional peu probable</w:t>
            </w:r>
          </w:p>
        </w:tc>
        <w:tc>
          <w:tcPr>
            <w:tcW w:w="1031" w:type="pct"/>
            <w:shd w:val="clear" w:color="auto" w:fill="F3D7D7" w:themeFill="accent1" w:themeFillTint="33"/>
          </w:tcPr>
          <w:p w14:paraId="7F4AE72C" w14:textId="2D42A340" w:rsidR="002E7B48" w:rsidRPr="00A36BE9" w:rsidRDefault="002E7B48" w:rsidP="00A36BE9">
            <w:pPr>
              <w:pStyle w:val="Tablebullet1"/>
            </w:pPr>
            <w:r w:rsidRPr="00A36BE9">
              <w:t>Compétitivité à long terme</w:t>
            </w:r>
          </w:p>
        </w:tc>
      </w:tr>
      <w:tr w:rsidR="00C031D3" w14:paraId="711989FF" w14:textId="77777777" w:rsidTr="004316DA">
        <w:trPr>
          <w:cnfStyle w:val="000000010000" w:firstRow="0" w:lastRow="0" w:firstColumn="0" w:lastColumn="0" w:oddVBand="0" w:evenVBand="0" w:oddHBand="0" w:evenHBand="1" w:firstRowFirstColumn="0" w:firstRowLastColumn="0" w:lastRowFirstColumn="0" w:lastRowLastColumn="0"/>
          <w:trHeight w:val="240"/>
        </w:trPr>
        <w:tc>
          <w:tcPr>
            <w:tcW w:w="864" w:type="pct"/>
            <w:gridSpan w:val="3"/>
          </w:tcPr>
          <w:p w14:paraId="6F03124A" w14:textId="77777777" w:rsidR="002E7B48" w:rsidRPr="00AE7136" w:rsidRDefault="002E7B48" w:rsidP="00A36BE9">
            <w:pPr>
              <w:pStyle w:val="Tabletext"/>
              <w:rPr>
                <w:b/>
              </w:rPr>
            </w:pPr>
            <w:r w:rsidRPr="00AE7136">
              <w:rPr>
                <w:b/>
              </w:rPr>
              <w:t>Géothermie</w:t>
            </w:r>
          </w:p>
        </w:tc>
        <w:tc>
          <w:tcPr>
            <w:tcW w:w="505" w:type="pct"/>
            <w:shd w:val="clear" w:color="auto" w:fill="auto"/>
          </w:tcPr>
          <w:p w14:paraId="63E1A415" w14:textId="77777777" w:rsidR="002E7B48" w:rsidRPr="00F75DD2" w:rsidRDefault="002E7B48" w:rsidP="00A36BE9">
            <w:pPr>
              <w:pStyle w:val="Tabletext"/>
              <w:jc w:val="center"/>
            </w:pPr>
            <w:r w:rsidRPr="00AE7136">
              <w:t>55 M€ (2026) et 109 M€ (2031)</w:t>
            </w:r>
          </w:p>
        </w:tc>
        <w:tc>
          <w:tcPr>
            <w:tcW w:w="385" w:type="pct"/>
            <w:shd w:val="clear" w:color="auto" w:fill="FCE7BC" w:themeFill="accent3" w:themeFillTint="66"/>
          </w:tcPr>
          <w:p w14:paraId="62609590" w14:textId="77777777" w:rsidR="002E7B48" w:rsidRPr="00481483" w:rsidRDefault="002E7B48" w:rsidP="00A36BE9">
            <w:pPr>
              <w:pStyle w:val="Tabletext"/>
              <w:jc w:val="center"/>
            </w:pPr>
            <w:r>
              <w:t>Pas suffisante</w:t>
            </w:r>
          </w:p>
        </w:tc>
        <w:tc>
          <w:tcPr>
            <w:tcW w:w="1412" w:type="pct"/>
            <w:shd w:val="clear" w:color="auto" w:fill="FCE7BC" w:themeFill="accent3" w:themeFillTint="66"/>
          </w:tcPr>
          <w:p w14:paraId="2E56B0A5" w14:textId="77777777" w:rsidR="002E7B48" w:rsidRPr="00481483" w:rsidRDefault="002E7B48" w:rsidP="00A36BE9">
            <w:pPr>
              <w:pStyle w:val="Tabletext"/>
              <w:jc w:val="center"/>
            </w:pPr>
            <w:r>
              <w:t>Défaillance en garantie</w:t>
            </w:r>
          </w:p>
        </w:tc>
        <w:tc>
          <w:tcPr>
            <w:tcW w:w="803" w:type="pct"/>
            <w:shd w:val="clear" w:color="auto" w:fill="FCE7BC" w:themeFill="accent3" w:themeFillTint="66"/>
          </w:tcPr>
          <w:p w14:paraId="4EC38308" w14:textId="3A8C6DB8" w:rsidR="002E7B48" w:rsidRPr="00481483" w:rsidRDefault="002E7B48" w:rsidP="00A36BE9">
            <w:pPr>
              <w:pStyle w:val="Tabletext"/>
              <w:jc w:val="center"/>
            </w:pPr>
            <w:r>
              <w:t>Garantie pour mobiliser les investissements nécessaires à l’atteinte des objectifs régionaux</w:t>
            </w:r>
          </w:p>
        </w:tc>
        <w:tc>
          <w:tcPr>
            <w:tcW w:w="1031" w:type="pct"/>
            <w:shd w:val="clear" w:color="auto" w:fill="F6D5D4" w:themeFill="text2" w:themeFillTint="33"/>
          </w:tcPr>
          <w:p w14:paraId="3D86A29F" w14:textId="0C4D8435" w:rsidR="002E7B48" w:rsidRPr="00A36BE9" w:rsidRDefault="004316DA" w:rsidP="00A36BE9">
            <w:pPr>
              <w:pStyle w:val="Tablebullet1"/>
            </w:pPr>
            <w:r>
              <w:t>Potentiels</w:t>
            </w:r>
            <w:r w:rsidR="004B6210">
              <w:t xml:space="preserve"> problèmes d’acceptabilité sociale (séismes induits par de la géothermie profonde dans d’autres régions)</w:t>
            </w:r>
          </w:p>
        </w:tc>
      </w:tr>
      <w:tr w:rsidR="00B27EC3" w14:paraId="75901DF6" w14:textId="77777777" w:rsidTr="00920A00">
        <w:trPr>
          <w:cnfStyle w:val="000000100000" w:firstRow="0" w:lastRow="0" w:firstColumn="0" w:lastColumn="0" w:oddVBand="0" w:evenVBand="0" w:oddHBand="1" w:evenHBand="0" w:firstRowFirstColumn="0" w:firstRowLastColumn="0" w:lastRowFirstColumn="0" w:lastRowLastColumn="0"/>
          <w:trHeight w:val="376"/>
        </w:trPr>
        <w:tc>
          <w:tcPr>
            <w:tcW w:w="864" w:type="pct"/>
            <w:gridSpan w:val="3"/>
          </w:tcPr>
          <w:p w14:paraId="7BCFEC7A" w14:textId="5E5F9A14" w:rsidR="002E7B48" w:rsidRPr="00AE7136" w:rsidRDefault="00130E91" w:rsidP="00A36BE9">
            <w:pPr>
              <w:pStyle w:val="Tabletext"/>
              <w:rPr>
                <w:b/>
              </w:rPr>
            </w:pPr>
            <w:r w:rsidRPr="00AE7136">
              <w:rPr>
                <w:b/>
              </w:rPr>
              <w:t>Hydroélectricité</w:t>
            </w:r>
          </w:p>
        </w:tc>
        <w:tc>
          <w:tcPr>
            <w:tcW w:w="505" w:type="pct"/>
            <w:shd w:val="clear" w:color="auto" w:fill="auto"/>
          </w:tcPr>
          <w:p w14:paraId="72AFF370" w14:textId="77777777" w:rsidR="002E7B48" w:rsidRDefault="002E7B48" w:rsidP="00A36BE9">
            <w:pPr>
              <w:pStyle w:val="Tabletext"/>
              <w:jc w:val="center"/>
            </w:pPr>
            <w:r>
              <w:t>NA</w:t>
            </w:r>
          </w:p>
        </w:tc>
        <w:tc>
          <w:tcPr>
            <w:tcW w:w="385" w:type="pct"/>
            <w:shd w:val="clear" w:color="auto" w:fill="92D050"/>
          </w:tcPr>
          <w:p w14:paraId="631AF7E9" w14:textId="77777777" w:rsidR="002E7B48" w:rsidRPr="0064404F" w:rsidRDefault="002E7B48" w:rsidP="00A36BE9">
            <w:pPr>
              <w:pStyle w:val="Tabletext"/>
              <w:jc w:val="center"/>
            </w:pPr>
            <w:r>
              <w:t>Bonne</w:t>
            </w:r>
          </w:p>
        </w:tc>
        <w:tc>
          <w:tcPr>
            <w:tcW w:w="1412" w:type="pct"/>
            <w:shd w:val="clear" w:color="auto" w:fill="92D050"/>
          </w:tcPr>
          <w:p w14:paraId="1CA598F6" w14:textId="77777777" w:rsidR="002E7B48" w:rsidRPr="0064404F" w:rsidRDefault="002E7B48" w:rsidP="00A36BE9">
            <w:pPr>
              <w:pStyle w:val="Tabletext"/>
              <w:jc w:val="center"/>
            </w:pPr>
            <w:r>
              <w:t>Pas de défaillance</w:t>
            </w:r>
          </w:p>
        </w:tc>
        <w:tc>
          <w:tcPr>
            <w:tcW w:w="803" w:type="pct"/>
            <w:shd w:val="clear" w:color="auto" w:fill="92D050"/>
          </w:tcPr>
          <w:p w14:paraId="17E9DDC0" w14:textId="77777777" w:rsidR="002E7B48" w:rsidRPr="0064404F" w:rsidRDefault="002E7B48" w:rsidP="00A36BE9">
            <w:pPr>
              <w:pStyle w:val="Tabletext"/>
              <w:jc w:val="center"/>
            </w:pPr>
            <w:r>
              <w:t>NA</w:t>
            </w:r>
          </w:p>
        </w:tc>
        <w:tc>
          <w:tcPr>
            <w:tcW w:w="1031" w:type="pct"/>
            <w:shd w:val="clear" w:color="auto" w:fill="F3D7D7" w:themeFill="accent1" w:themeFillTint="33"/>
          </w:tcPr>
          <w:p w14:paraId="01ECD410" w14:textId="56C29B75" w:rsidR="002E7B48" w:rsidRPr="00A36BE9" w:rsidRDefault="002E7B48" w:rsidP="00A36BE9">
            <w:pPr>
              <w:pStyle w:val="Tablebullet1"/>
            </w:pPr>
            <w:r w:rsidRPr="00A36BE9">
              <w:t>Problèmes liés au foncier</w:t>
            </w:r>
          </w:p>
        </w:tc>
      </w:tr>
      <w:tr w:rsidR="00C031D3" w14:paraId="0B188416" w14:textId="77777777" w:rsidTr="00920A00">
        <w:trPr>
          <w:cnfStyle w:val="000000010000" w:firstRow="0" w:lastRow="0" w:firstColumn="0" w:lastColumn="0" w:oddVBand="0" w:evenVBand="0" w:oddHBand="0" w:evenHBand="1" w:firstRowFirstColumn="0" w:firstRowLastColumn="0" w:lastRowFirstColumn="0" w:lastRowLastColumn="0"/>
          <w:trHeight w:val="461"/>
        </w:trPr>
        <w:tc>
          <w:tcPr>
            <w:tcW w:w="864" w:type="pct"/>
            <w:gridSpan w:val="3"/>
          </w:tcPr>
          <w:p w14:paraId="34DA5065" w14:textId="60BBBA98" w:rsidR="002E7B48" w:rsidRPr="00F75DD2" w:rsidRDefault="002E7B48" w:rsidP="00A36BE9">
            <w:pPr>
              <w:pStyle w:val="Tabletext"/>
            </w:pPr>
            <w:r w:rsidRPr="00AE7136">
              <w:rPr>
                <w:b/>
              </w:rPr>
              <w:t>Em</w:t>
            </w:r>
            <w:r w:rsidR="00130E91">
              <w:rPr>
                <w:b/>
              </w:rPr>
              <w:t>R</w:t>
            </w:r>
            <w:r w:rsidRPr="00F75DD2">
              <w:t xml:space="preserve"> (hors éolien en mer)</w:t>
            </w:r>
          </w:p>
        </w:tc>
        <w:tc>
          <w:tcPr>
            <w:tcW w:w="505" w:type="pct"/>
            <w:shd w:val="clear" w:color="auto" w:fill="auto"/>
          </w:tcPr>
          <w:p w14:paraId="364AFDFF" w14:textId="77777777" w:rsidR="002E7B48" w:rsidRPr="00F75DD2" w:rsidRDefault="002E7B48" w:rsidP="00A36BE9">
            <w:pPr>
              <w:pStyle w:val="Tabletext"/>
              <w:jc w:val="center"/>
            </w:pPr>
            <w:r>
              <w:t>NA</w:t>
            </w:r>
          </w:p>
        </w:tc>
        <w:tc>
          <w:tcPr>
            <w:tcW w:w="385" w:type="pct"/>
            <w:shd w:val="clear" w:color="auto" w:fill="92D050"/>
          </w:tcPr>
          <w:p w14:paraId="75FEE82A" w14:textId="77777777" w:rsidR="002E7B48" w:rsidRPr="00F75DD2" w:rsidRDefault="002E7B48" w:rsidP="00A36BE9">
            <w:pPr>
              <w:pStyle w:val="Tabletext"/>
              <w:jc w:val="center"/>
            </w:pPr>
            <w:r>
              <w:t>Assez bonne</w:t>
            </w:r>
          </w:p>
        </w:tc>
        <w:tc>
          <w:tcPr>
            <w:tcW w:w="1412" w:type="pct"/>
            <w:shd w:val="clear" w:color="auto" w:fill="FCE7BC" w:themeFill="accent3" w:themeFillTint="66"/>
          </w:tcPr>
          <w:p w14:paraId="4F1D8CDE" w14:textId="505E6FA1" w:rsidR="002E7B48" w:rsidRPr="00F75DD2" w:rsidRDefault="00266186" w:rsidP="00A36BE9">
            <w:pPr>
              <w:pStyle w:val="Tabletext"/>
              <w:jc w:val="center"/>
            </w:pPr>
            <w:r>
              <w:t>Projets encore en pha</w:t>
            </w:r>
            <w:r w:rsidR="000316BA">
              <w:t xml:space="preserve">se de démonstration peu financés par le privé. </w:t>
            </w:r>
            <w:r w:rsidR="00D05CF2">
              <w:t>Besoin de r</w:t>
            </w:r>
            <w:r w:rsidR="002E7B48">
              <w:t>enforcement du soutien régional</w:t>
            </w:r>
            <w:r w:rsidR="00222EB7">
              <w:t xml:space="preserve"> </w:t>
            </w:r>
          </w:p>
        </w:tc>
        <w:tc>
          <w:tcPr>
            <w:tcW w:w="803" w:type="pct"/>
            <w:shd w:val="clear" w:color="auto" w:fill="FCE7BC" w:themeFill="accent3" w:themeFillTint="66"/>
          </w:tcPr>
          <w:p w14:paraId="20632780" w14:textId="77777777" w:rsidR="00C35BA8" w:rsidRDefault="00C35BA8" w:rsidP="00A36BE9">
            <w:pPr>
              <w:pStyle w:val="Tabletext"/>
              <w:jc w:val="center"/>
            </w:pPr>
            <w:r>
              <w:t>Subventions</w:t>
            </w:r>
          </w:p>
          <w:p w14:paraId="5B4224F3" w14:textId="6FDBBECD" w:rsidR="002E7B48" w:rsidRDefault="002E7B48" w:rsidP="00A36BE9">
            <w:pPr>
              <w:rPr>
                <w:rFonts w:eastAsia="Times New Roman" w:cs="Times New Roman"/>
                <w:szCs w:val="24"/>
              </w:rPr>
            </w:pPr>
            <w:r>
              <w:t xml:space="preserve"> FP</w:t>
            </w:r>
            <w:r w:rsidR="00C35BA8">
              <w:t>/QFP</w:t>
            </w:r>
          </w:p>
          <w:p w14:paraId="139073C5" w14:textId="77777777" w:rsidR="002E7B48" w:rsidRPr="006803FA" w:rsidRDefault="002E7B48" w:rsidP="00A36BE9"/>
        </w:tc>
        <w:tc>
          <w:tcPr>
            <w:tcW w:w="1031" w:type="pct"/>
            <w:shd w:val="clear" w:color="auto" w:fill="auto"/>
          </w:tcPr>
          <w:p w14:paraId="27B5F8DA" w14:textId="15808D54" w:rsidR="002E7B48" w:rsidRPr="00A36BE9" w:rsidRDefault="00A36BE9" w:rsidP="00A36BE9">
            <w:pPr>
              <w:pStyle w:val="Tablebullet1"/>
            </w:pPr>
            <w:r>
              <w:t>NA</w:t>
            </w:r>
          </w:p>
        </w:tc>
      </w:tr>
      <w:tr w:rsidR="00C031D3" w14:paraId="19959E4D" w14:textId="77777777" w:rsidTr="00920A00">
        <w:trPr>
          <w:cnfStyle w:val="000000100000" w:firstRow="0" w:lastRow="0" w:firstColumn="0" w:lastColumn="0" w:oddVBand="0" w:evenVBand="0" w:oddHBand="1" w:evenHBand="0" w:firstRowFirstColumn="0" w:firstRowLastColumn="0" w:lastRowFirstColumn="0" w:lastRowLastColumn="0"/>
          <w:trHeight w:val="1100"/>
        </w:trPr>
        <w:tc>
          <w:tcPr>
            <w:tcW w:w="386" w:type="pct"/>
            <w:vMerge w:val="restart"/>
          </w:tcPr>
          <w:p w14:paraId="468FFF02" w14:textId="77777777" w:rsidR="002E7B48" w:rsidRPr="00AE7136" w:rsidRDefault="002E7B48" w:rsidP="00A36BE9">
            <w:pPr>
              <w:pStyle w:val="Tabletext"/>
              <w:rPr>
                <w:b/>
                <w:lang w:val="en-US"/>
              </w:rPr>
            </w:pPr>
            <w:r w:rsidRPr="00AE7136">
              <w:rPr>
                <w:b/>
              </w:rPr>
              <w:t xml:space="preserve">Hydrogène </w:t>
            </w:r>
          </w:p>
        </w:tc>
        <w:tc>
          <w:tcPr>
            <w:tcW w:w="478" w:type="pct"/>
            <w:gridSpan w:val="2"/>
          </w:tcPr>
          <w:p w14:paraId="1D36C05A" w14:textId="38A91EEB" w:rsidR="002E7B48" w:rsidRPr="00F75DD2" w:rsidRDefault="00130E91" w:rsidP="00A36BE9">
            <w:pPr>
              <w:pStyle w:val="Tabletext"/>
            </w:pPr>
            <w:r>
              <w:t>Infrastructures</w:t>
            </w:r>
          </w:p>
        </w:tc>
        <w:tc>
          <w:tcPr>
            <w:tcW w:w="505" w:type="pct"/>
            <w:shd w:val="clear" w:color="auto" w:fill="auto"/>
          </w:tcPr>
          <w:p w14:paraId="587E0141" w14:textId="77777777" w:rsidR="002E7B48" w:rsidRDefault="002E7B48" w:rsidP="00A36BE9">
            <w:pPr>
              <w:pStyle w:val="Tabletext"/>
              <w:jc w:val="center"/>
            </w:pPr>
            <w:r>
              <w:t>60 M€</w:t>
            </w:r>
          </w:p>
        </w:tc>
        <w:tc>
          <w:tcPr>
            <w:tcW w:w="385" w:type="pct"/>
            <w:shd w:val="clear" w:color="auto" w:fill="92D050"/>
          </w:tcPr>
          <w:p w14:paraId="7502FC2B" w14:textId="77777777" w:rsidR="002E7B48" w:rsidRDefault="002E7B48" w:rsidP="00A36BE9">
            <w:pPr>
              <w:pStyle w:val="Tabletext"/>
              <w:jc w:val="center"/>
            </w:pPr>
            <w:r>
              <w:t xml:space="preserve">Assez bonne </w:t>
            </w:r>
          </w:p>
        </w:tc>
        <w:tc>
          <w:tcPr>
            <w:tcW w:w="1412" w:type="pct"/>
            <w:shd w:val="clear" w:color="auto" w:fill="FCE7BC" w:themeFill="accent3" w:themeFillTint="66"/>
          </w:tcPr>
          <w:p w14:paraId="0E90EA7F" w14:textId="0ECC045B" w:rsidR="002E7B48" w:rsidRPr="00C53387" w:rsidRDefault="002E7B48" w:rsidP="00A36BE9">
            <w:pPr>
              <w:pStyle w:val="Tabletext"/>
              <w:jc w:val="center"/>
            </w:pPr>
            <w:r>
              <w:t>S’assurer que</w:t>
            </w:r>
            <w:r w:rsidRPr="00C53387">
              <w:t xml:space="preserve"> SEM Energies, FRATRI</w:t>
            </w:r>
            <w:r>
              <w:t xml:space="preserve"> et Rev3 financement</w:t>
            </w:r>
            <w:r w:rsidR="00D05CF2">
              <w:t xml:space="preserve"> </w:t>
            </w:r>
            <w:r>
              <w:t>orientent</w:t>
            </w:r>
            <w:r w:rsidRPr="00C53387">
              <w:t xml:space="preserve"> effectivement les ressources vers les projets en infrastructure</w:t>
            </w:r>
            <w:r w:rsidR="00D05CF2">
              <w:t>s</w:t>
            </w:r>
            <w:r w:rsidRPr="00C53387">
              <w:t xml:space="preserve"> sur le territoire sous forme de fonds propres afin de faciliter la levée de capitaux privés</w:t>
            </w:r>
          </w:p>
        </w:tc>
        <w:tc>
          <w:tcPr>
            <w:tcW w:w="803" w:type="pct"/>
            <w:shd w:val="clear" w:color="auto" w:fill="FCE7BC" w:themeFill="accent3" w:themeFillTint="66"/>
          </w:tcPr>
          <w:p w14:paraId="6880BAC3" w14:textId="77777777" w:rsidR="002E7B48" w:rsidRPr="00C53387" w:rsidRDefault="002E7B48" w:rsidP="00A36BE9">
            <w:pPr>
              <w:pStyle w:val="Tabletext"/>
              <w:jc w:val="center"/>
            </w:pPr>
            <w:r>
              <w:t>1 M</w:t>
            </w:r>
            <w:r>
              <w:rPr>
                <w:rFonts w:ascii="Century Gothic" w:hAnsi="Century Gothic"/>
              </w:rPr>
              <w:t>€/projet</w:t>
            </w:r>
            <w:r>
              <w:t xml:space="preserve"> en FP/QFP soit au total 6 M</w:t>
            </w:r>
            <w:r>
              <w:rPr>
                <w:rFonts w:ascii="Century Gothic" w:hAnsi="Century Gothic"/>
              </w:rPr>
              <w:t>€</w:t>
            </w:r>
          </w:p>
        </w:tc>
        <w:tc>
          <w:tcPr>
            <w:tcW w:w="1031" w:type="pct"/>
            <w:shd w:val="clear" w:color="auto" w:fill="auto"/>
          </w:tcPr>
          <w:p w14:paraId="2D89C69F" w14:textId="32CFA9F8" w:rsidR="002E7B48" w:rsidRPr="00A36BE9" w:rsidRDefault="00A36BE9" w:rsidP="00A36BE9">
            <w:pPr>
              <w:pStyle w:val="Tablebullet1"/>
            </w:pPr>
            <w:r>
              <w:t>NA</w:t>
            </w:r>
          </w:p>
        </w:tc>
      </w:tr>
      <w:tr w:rsidR="00C031D3" w14:paraId="6C08C0DE" w14:textId="77777777" w:rsidTr="00920A00">
        <w:trPr>
          <w:cnfStyle w:val="000000010000" w:firstRow="0" w:lastRow="0" w:firstColumn="0" w:lastColumn="0" w:oddVBand="0" w:evenVBand="0" w:oddHBand="0" w:evenHBand="1" w:firstRowFirstColumn="0" w:firstRowLastColumn="0" w:lastRowFirstColumn="0" w:lastRowLastColumn="0"/>
          <w:trHeight w:val="1100"/>
        </w:trPr>
        <w:tc>
          <w:tcPr>
            <w:tcW w:w="386" w:type="pct"/>
            <w:vMerge/>
          </w:tcPr>
          <w:p w14:paraId="1BE6AFF7" w14:textId="77777777" w:rsidR="002E7B48" w:rsidRPr="00E95ADA" w:rsidRDefault="002E7B48" w:rsidP="00A36BE9">
            <w:pPr>
              <w:pStyle w:val="Tabletext"/>
            </w:pPr>
          </w:p>
        </w:tc>
        <w:tc>
          <w:tcPr>
            <w:tcW w:w="478" w:type="pct"/>
            <w:gridSpan w:val="2"/>
          </w:tcPr>
          <w:p w14:paraId="7BF94ED9" w14:textId="77777777" w:rsidR="002E7B48" w:rsidRDefault="002E7B48" w:rsidP="00A36BE9">
            <w:pPr>
              <w:pStyle w:val="Tabletext"/>
            </w:pPr>
            <w:r>
              <w:t>R&amp;D</w:t>
            </w:r>
          </w:p>
        </w:tc>
        <w:tc>
          <w:tcPr>
            <w:tcW w:w="505" w:type="pct"/>
            <w:shd w:val="clear" w:color="auto" w:fill="auto"/>
          </w:tcPr>
          <w:p w14:paraId="2652DCE9" w14:textId="77777777" w:rsidR="002E7B48" w:rsidRDefault="002E7B48" w:rsidP="00A36BE9">
            <w:pPr>
              <w:pStyle w:val="Tabletext"/>
              <w:jc w:val="center"/>
            </w:pPr>
            <w:r>
              <w:t>NA</w:t>
            </w:r>
          </w:p>
        </w:tc>
        <w:tc>
          <w:tcPr>
            <w:tcW w:w="385" w:type="pct"/>
            <w:shd w:val="clear" w:color="auto" w:fill="92D050"/>
          </w:tcPr>
          <w:p w14:paraId="53F196B5" w14:textId="77777777" w:rsidR="002E7B48" w:rsidRDefault="002E7B48" w:rsidP="00A36BE9">
            <w:pPr>
              <w:pStyle w:val="Tabletext"/>
              <w:jc w:val="center"/>
            </w:pPr>
            <w:r>
              <w:t xml:space="preserve">Assez bonne </w:t>
            </w:r>
          </w:p>
        </w:tc>
        <w:tc>
          <w:tcPr>
            <w:tcW w:w="1412" w:type="pct"/>
            <w:shd w:val="clear" w:color="auto" w:fill="FCE7BC" w:themeFill="accent3" w:themeFillTint="66"/>
          </w:tcPr>
          <w:p w14:paraId="762F8334" w14:textId="43CFC48A" w:rsidR="002E7B48" w:rsidRPr="00E95ADA" w:rsidRDefault="002E7B48" w:rsidP="00A36BE9">
            <w:pPr>
              <w:pStyle w:val="Tabletext"/>
              <w:jc w:val="center"/>
            </w:pPr>
            <w:r>
              <w:t>S’assurer que</w:t>
            </w:r>
            <w:r w:rsidRPr="00C53387">
              <w:t xml:space="preserve"> FRATRI</w:t>
            </w:r>
            <w:r>
              <w:t xml:space="preserve"> et Rev3 financement continuent de soutenir les projets innovants (subventions ou mix subventions/FP) </w:t>
            </w:r>
          </w:p>
        </w:tc>
        <w:tc>
          <w:tcPr>
            <w:tcW w:w="803" w:type="pct"/>
            <w:shd w:val="clear" w:color="auto" w:fill="FCE7BC" w:themeFill="accent3" w:themeFillTint="66"/>
          </w:tcPr>
          <w:p w14:paraId="17C95FD9" w14:textId="77777777" w:rsidR="002E7B48" w:rsidRPr="00E95ADA" w:rsidRDefault="002E7B48" w:rsidP="00A36BE9">
            <w:pPr>
              <w:pStyle w:val="Tabletext"/>
              <w:jc w:val="center"/>
            </w:pPr>
            <w:r w:rsidRPr="00E95ADA">
              <w:t>500 k€/projet (pipe à p</w:t>
            </w:r>
            <w:r>
              <w:t>réciser)</w:t>
            </w:r>
          </w:p>
        </w:tc>
        <w:tc>
          <w:tcPr>
            <w:tcW w:w="1031" w:type="pct"/>
            <w:shd w:val="clear" w:color="auto" w:fill="auto"/>
          </w:tcPr>
          <w:p w14:paraId="236EC859" w14:textId="34F4A69E" w:rsidR="002E7B48" w:rsidRPr="00A36BE9" w:rsidRDefault="00A36BE9" w:rsidP="00A36BE9">
            <w:pPr>
              <w:pStyle w:val="Tablebullet1"/>
            </w:pPr>
            <w:r>
              <w:t>NA</w:t>
            </w:r>
          </w:p>
        </w:tc>
      </w:tr>
      <w:tr w:rsidR="00C031D3" w14:paraId="33856D21" w14:textId="77777777" w:rsidTr="00920A00">
        <w:trPr>
          <w:cnfStyle w:val="000000100000" w:firstRow="0" w:lastRow="0" w:firstColumn="0" w:lastColumn="0" w:oddVBand="0" w:evenVBand="0" w:oddHBand="1" w:evenHBand="0" w:firstRowFirstColumn="0" w:firstRowLastColumn="0" w:lastRowFirstColumn="0" w:lastRowLastColumn="0"/>
          <w:trHeight w:val="1100"/>
        </w:trPr>
        <w:tc>
          <w:tcPr>
            <w:tcW w:w="386" w:type="pct"/>
            <w:vMerge/>
          </w:tcPr>
          <w:p w14:paraId="26DBE9E1" w14:textId="77777777" w:rsidR="002E7B48" w:rsidRPr="00E95ADA" w:rsidRDefault="002E7B48" w:rsidP="00A36BE9">
            <w:pPr>
              <w:pStyle w:val="Tabletext"/>
            </w:pPr>
          </w:p>
        </w:tc>
        <w:tc>
          <w:tcPr>
            <w:tcW w:w="478" w:type="pct"/>
            <w:gridSpan w:val="2"/>
          </w:tcPr>
          <w:p w14:paraId="5DA81F7F" w14:textId="77777777" w:rsidR="002E7B48" w:rsidRDefault="002E7B48" w:rsidP="00A36BE9">
            <w:pPr>
              <w:pStyle w:val="Tabletext"/>
            </w:pPr>
            <w:r>
              <w:t>Mobilité</w:t>
            </w:r>
          </w:p>
        </w:tc>
        <w:tc>
          <w:tcPr>
            <w:tcW w:w="505" w:type="pct"/>
            <w:shd w:val="clear" w:color="auto" w:fill="auto"/>
          </w:tcPr>
          <w:p w14:paraId="15CD4546" w14:textId="77777777" w:rsidR="002E7B48" w:rsidRDefault="002E7B48" w:rsidP="00A36BE9">
            <w:pPr>
              <w:pStyle w:val="Tabletext"/>
              <w:jc w:val="center"/>
            </w:pPr>
            <w:r>
              <w:t>NA</w:t>
            </w:r>
          </w:p>
        </w:tc>
        <w:tc>
          <w:tcPr>
            <w:tcW w:w="385" w:type="pct"/>
            <w:shd w:val="clear" w:color="auto" w:fill="FCE7BC" w:themeFill="accent3" w:themeFillTint="66"/>
          </w:tcPr>
          <w:p w14:paraId="7EE744C0" w14:textId="77777777" w:rsidR="002E7B48" w:rsidRDefault="002E7B48" w:rsidP="00A36BE9">
            <w:pPr>
              <w:pStyle w:val="Tabletext"/>
              <w:jc w:val="center"/>
            </w:pPr>
            <w:r>
              <w:t xml:space="preserve">Faible </w:t>
            </w:r>
          </w:p>
        </w:tc>
        <w:tc>
          <w:tcPr>
            <w:tcW w:w="1412" w:type="pct"/>
            <w:shd w:val="clear" w:color="auto" w:fill="FCE7BC" w:themeFill="accent3" w:themeFillTint="66"/>
          </w:tcPr>
          <w:p w14:paraId="09456E0B" w14:textId="724C389E" w:rsidR="002E7B48" w:rsidRPr="00707441" w:rsidRDefault="00130E91" w:rsidP="00A36BE9">
            <w:pPr>
              <w:pStyle w:val="Tabletext"/>
              <w:jc w:val="center"/>
            </w:pPr>
            <w:r w:rsidRPr="00707441">
              <w:t>Dispositif</w:t>
            </w:r>
            <w:r w:rsidR="002E7B48" w:rsidRPr="00707441">
              <w:t xml:space="preserve"> de soutien à l’acquisition de véhicules hydrogène, lourds ou utilitaires pour les collectivités ou les entreprises via des subventions ou des prêts bonifiés à long terme</w:t>
            </w:r>
          </w:p>
        </w:tc>
        <w:tc>
          <w:tcPr>
            <w:tcW w:w="803" w:type="pct"/>
            <w:shd w:val="clear" w:color="auto" w:fill="FCE7BC" w:themeFill="accent3" w:themeFillTint="66"/>
          </w:tcPr>
          <w:p w14:paraId="065B7231" w14:textId="77777777" w:rsidR="002E7B48" w:rsidRDefault="00D17E23" w:rsidP="00A36BE9">
            <w:pPr>
              <w:pStyle w:val="Tabletext"/>
              <w:jc w:val="center"/>
            </w:pPr>
            <w:r>
              <w:t>Subventions/ Avances remboursables</w:t>
            </w:r>
          </w:p>
          <w:p w14:paraId="479B4BE0" w14:textId="7B12736D" w:rsidR="00D17E23" w:rsidRPr="00707441" w:rsidRDefault="00D17E23" w:rsidP="00A36BE9">
            <w:pPr>
              <w:pStyle w:val="Tabletext"/>
              <w:jc w:val="center"/>
            </w:pPr>
            <w:r>
              <w:t>Prêts à taux bonifiés</w:t>
            </w:r>
          </w:p>
        </w:tc>
        <w:tc>
          <w:tcPr>
            <w:tcW w:w="1031" w:type="pct"/>
            <w:shd w:val="clear" w:color="auto" w:fill="auto"/>
          </w:tcPr>
          <w:p w14:paraId="2BBAACD7" w14:textId="6EB06659" w:rsidR="002E7B48" w:rsidRPr="00A36BE9" w:rsidRDefault="00A36BE9" w:rsidP="00A36BE9">
            <w:pPr>
              <w:pStyle w:val="Tablebullet1"/>
            </w:pPr>
            <w:r>
              <w:t>NA</w:t>
            </w:r>
          </w:p>
        </w:tc>
      </w:tr>
      <w:tr w:rsidR="00C031D3" w14:paraId="7CFE0E2B" w14:textId="77777777" w:rsidTr="00920A00">
        <w:trPr>
          <w:cnfStyle w:val="000000010000" w:firstRow="0" w:lastRow="0" w:firstColumn="0" w:lastColumn="0" w:oddVBand="0" w:evenVBand="0" w:oddHBand="0" w:evenHBand="1" w:firstRowFirstColumn="0" w:firstRowLastColumn="0" w:lastRowFirstColumn="0" w:lastRowLastColumn="0"/>
          <w:trHeight w:val="756"/>
        </w:trPr>
        <w:tc>
          <w:tcPr>
            <w:tcW w:w="386" w:type="pct"/>
          </w:tcPr>
          <w:p w14:paraId="20B8473C" w14:textId="77777777" w:rsidR="002E7B48" w:rsidRPr="00AE7136" w:rsidRDefault="002E7B48" w:rsidP="00A36BE9">
            <w:pPr>
              <w:pStyle w:val="Tabletext"/>
              <w:rPr>
                <w:b/>
              </w:rPr>
            </w:pPr>
            <w:r w:rsidRPr="00AE7136">
              <w:rPr>
                <w:b/>
              </w:rPr>
              <w:t>BioGnV</w:t>
            </w:r>
          </w:p>
        </w:tc>
        <w:tc>
          <w:tcPr>
            <w:tcW w:w="478" w:type="pct"/>
            <w:gridSpan w:val="2"/>
          </w:tcPr>
          <w:p w14:paraId="58917DC5" w14:textId="1EF30DB7" w:rsidR="002E7B48" w:rsidRDefault="00130E91" w:rsidP="00A36BE9">
            <w:pPr>
              <w:pStyle w:val="Tabletext"/>
            </w:pPr>
            <w:r>
              <w:t>Stations Multi</w:t>
            </w:r>
            <w:r w:rsidR="002E7B48">
              <w:t xml:space="preserve">-énergies vertes </w:t>
            </w:r>
          </w:p>
        </w:tc>
        <w:tc>
          <w:tcPr>
            <w:tcW w:w="505" w:type="pct"/>
            <w:shd w:val="clear" w:color="auto" w:fill="auto"/>
          </w:tcPr>
          <w:p w14:paraId="6092D883" w14:textId="77777777" w:rsidR="002E7B48" w:rsidRDefault="002E7B48" w:rsidP="00A36BE9">
            <w:pPr>
              <w:pStyle w:val="Tabletext"/>
              <w:jc w:val="center"/>
            </w:pPr>
            <w:r w:rsidRPr="009A122E">
              <w:t>30 M€</w:t>
            </w:r>
          </w:p>
        </w:tc>
        <w:tc>
          <w:tcPr>
            <w:tcW w:w="385" w:type="pct"/>
            <w:shd w:val="clear" w:color="auto" w:fill="FCE7BC" w:themeFill="accent3" w:themeFillTint="66"/>
          </w:tcPr>
          <w:p w14:paraId="7C8913A5" w14:textId="77777777" w:rsidR="002E7B48" w:rsidRDefault="002E7B48" w:rsidP="00A36BE9">
            <w:pPr>
              <w:pStyle w:val="Tabletext"/>
              <w:jc w:val="center"/>
            </w:pPr>
            <w:r>
              <w:t>Faible</w:t>
            </w:r>
          </w:p>
        </w:tc>
        <w:tc>
          <w:tcPr>
            <w:tcW w:w="1412" w:type="pct"/>
            <w:shd w:val="clear" w:color="auto" w:fill="FCE7BC" w:themeFill="accent3" w:themeFillTint="66"/>
          </w:tcPr>
          <w:p w14:paraId="31C39D06" w14:textId="30CA712E" w:rsidR="002E7B48" w:rsidRPr="006803FA" w:rsidRDefault="00130E91" w:rsidP="00A36BE9">
            <w:pPr>
              <w:pStyle w:val="Tabletext"/>
              <w:jc w:val="center"/>
            </w:pPr>
            <w:r w:rsidRPr="006803FA">
              <w:t>Besoin</w:t>
            </w:r>
            <w:r w:rsidR="002E7B48" w:rsidRPr="006803FA">
              <w:t xml:space="preserve"> d’infrastructures d’avitaillement surtout dans les zones grises</w:t>
            </w:r>
          </w:p>
        </w:tc>
        <w:tc>
          <w:tcPr>
            <w:tcW w:w="803" w:type="pct"/>
            <w:shd w:val="clear" w:color="auto" w:fill="FCE7BC" w:themeFill="accent3" w:themeFillTint="66"/>
          </w:tcPr>
          <w:p w14:paraId="386BC13A" w14:textId="77777777" w:rsidR="002E7B48" w:rsidRPr="006803FA" w:rsidRDefault="002E7B48" w:rsidP="00A36BE9">
            <w:pPr>
              <w:pStyle w:val="Tabletext"/>
              <w:jc w:val="center"/>
            </w:pPr>
            <w:r>
              <w:t>150</w:t>
            </w:r>
            <w:r w:rsidRPr="00E95ADA">
              <w:t xml:space="preserve"> k€/projet</w:t>
            </w:r>
            <w:r>
              <w:t xml:space="preserve"> soit 3 M</w:t>
            </w:r>
            <w:r>
              <w:rPr>
                <w:rFonts w:ascii="Century Gothic" w:hAnsi="Century Gothic"/>
              </w:rPr>
              <w:t>€</w:t>
            </w:r>
            <w:r>
              <w:t xml:space="preserve"> pour 20 stations</w:t>
            </w:r>
          </w:p>
        </w:tc>
        <w:tc>
          <w:tcPr>
            <w:tcW w:w="1031" w:type="pct"/>
            <w:shd w:val="clear" w:color="auto" w:fill="auto"/>
          </w:tcPr>
          <w:p w14:paraId="18E0A3F1" w14:textId="1992758A" w:rsidR="002E7B48" w:rsidRPr="00A36BE9" w:rsidRDefault="00A36BE9" w:rsidP="00A36BE9">
            <w:pPr>
              <w:pStyle w:val="Tablebullet1"/>
            </w:pPr>
            <w:r>
              <w:t>NA</w:t>
            </w:r>
          </w:p>
        </w:tc>
      </w:tr>
      <w:tr w:rsidR="00C031D3" w14:paraId="335F0315" w14:textId="77777777" w:rsidTr="00920A00">
        <w:trPr>
          <w:cnfStyle w:val="000000100000" w:firstRow="0" w:lastRow="0" w:firstColumn="0" w:lastColumn="0" w:oddVBand="0" w:evenVBand="0" w:oddHBand="1" w:evenHBand="0" w:firstRowFirstColumn="0" w:firstRowLastColumn="0" w:lastRowFirstColumn="0" w:lastRowLastColumn="0"/>
          <w:trHeight w:val="1100"/>
        </w:trPr>
        <w:tc>
          <w:tcPr>
            <w:tcW w:w="864" w:type="pct"/>
            <w:gridSpan w:val="3"/>
          </w:tcPr>
          <w:p w14:paraId="39727B9C" w14:textId="77777777" w:rsidR="002E7B48" w:rsidRPr="00AE7136" w:rsidRDefault="002E7B48" w:rsidP="00A36BE9">
            <w:pPr>
              <w:pStyle w:val="Tabletext"/>
              <w:rPr>
                <w:b/>
              </w:rPr>
            </w:pPr>
            <w:r w:rsidRPr="00AE7136">
              <w:rPr>
                <w:b/>
              </w:rPr>
              <w:t>Réseaux intelligents</w:t>
            </w:r>
          </w:p>
        </w:tc>
        <w:tc>
          <w:tcPr>
            <w:tcW w:w="505" w:type="pct"/>
            <w:shd w:val="clear" w:color="auto" w:fill="auto"/>
          </w:tcPr>
          <w:p w14:paraId="77FCF067" w14:textId="77777777" w:rsidR="002E7B48" w:rsidRPr="009A122E" w:rsidRDefault="002E7B48" w:rsidP="00A36BE9">
            <w:pPr>
              <w:pStyle w:val="Tabletext"/>
              <w:jc w:val="center"/>
            </w:pPr>
            <w:r>
              <w:t>NA</w:t>
            </w:r>
          </w:p>
        </w:tc>
        <w:tc>
          <w:tcPr>
            <w:tcW w:w="385" w:type="pct"/>
            <w:shd w:val="clear" w:color="auto" w:fill="92D050"/>
          </w:tcPr>
          <w:p w14:paraId="3D9F8C5D" w14:textId="77777777" w:rsidR="002E7B48" w:rsidRDefault="002E7B48" w:rsidP="00A36BE9">
            <w:pPr>
              <w:pStyle w:val="Tabletext"/>
              <w:jc w:val="center"/>
            </w:pPr>
            <w:r>
              <w:t xml:space="preserve">Bonne </w:t>
            </w:r>
          </w:p>
        </w:tc>
        <w:tc>
          <w:tcPr>
            <w:tcW w:w="1412" w:type="pct"/>
            <w:shd w:val="clear" w:color="auto" w:fill="92D050"/>
          </w:tcPr>
          <w:p w14:paraId="2CD8A9D2" w14:textId="77777777" w:rsidR="002E7B48" w:rsidRPr="006803FA" w:rsidRDefault="002E7B48" w:rsidP="00A36BE9">
            <w:pPr>
              <w:pStyle w:val="Tabletext"/>
              <w:jc w:val="center"/>
            </w:pPr>
            <w:r>
              <w:t>Pas de défaillance</w:t>
            </w:r>
          </w:p>
        </w:tc>
        <w:tc>
          <w:tcPr>
            <w:tcW w:w="803" w:type="pct"/>
            <w:shd w:val="clear" w:color="auto" w:fill="92D050"/>
          </w:tcPr>
          <w:p w14:paraId="0EF7B58F" w14:textId="77777777" w:rsidR="002E7B48" w:rsidRDefault="002E7B48" w:rsidP="00A36BE9">
            <w:pPr>
              <w:pStyle w:val="Tabletext"/>
              <w:jc w:val="center"/>
            </w:pPr>
            <w:r>
              <w:t>Pas d’IF</w:t>
            </w:r>
          </w:p>
        </w:tc>
        <w:tc>
          <w:tcPr>
            <w:tcW w:w="1031" w:type="pct"/>
            <w:shd w:val="clear" w:color="auto" w:fill="auto"/>
          </w:tcPr>
          <w:p w14:paraId="4FFCE160" w14:textId="690F45F6" w:rsidR="002E7B48" w:rsidRPr="00A36BE9" w:rsidRDefault="00A36BE9" w:rsidP="00A36BE9">
            <w:pPr>
              <w:pStyle w:val="Tablebullet1"/>
            </w:pPr>
            <w:r>
              <w:t>NA</w:t>
            </w:r>
          </w:p>
        </w:tc>
      </w:tr>
    </w:tbl>
    <w:p w14:paraId="74B27931" w14:textId="77777777" w:rsidR="00A36BE9" w:rsidRDefault="00A36BE9" w:rsidP="00A36BE9">
      <w:pPr>
        <w:sectPr w:rsidR="00A36BE9" w:rsidSect="00A36BE9">
          <w:footnotePr>
            <w:numRestart w:val="eachPage"/>
          </w:footnotePr>
          <w:type w:val="continuous"/>
          <w:pgSz w:w="16839" w:h="11907" w:orient="landscape" w:code="9"/>
          <w:pgMar w:top="1701" w:right="1701" w:bottom="1134" w:left="1701" w:header="709" w:footer="851" w:gutter="0"/>
          <w:cols w:space="708"/>
          <w:docGrid w:linePitch="360"/>
        </w:sectPr>
      </w:pPr>
    </w:p>
    <w:p w14:paraId="6AD6C10A" w14:textId="131EA5E9" w:rsidR="0059779F" w:rsidRDefault="0059779F" w:rsidP="0059779F">
      <w:pPr>
        <w:pStyle w:val="Heading4"/>
      </w:pPr>
      <w:r>
        <w:t>E</w:t>
      </w:r>
      <w:r w:rsidRPr="00512D2A">
        <w:t>olien</w:t>
      </w:r>
    </w:p>
    <w:p w14:paraId="4BB88A7A" w14:textId="4380BA23" w:rsidR="0059779F" w:rsidRDefault="0059779F" w:rsidP="0059779F">
      <w:pPr>
        <w:pStyle w:val="BodyText"/>
      </w:pPr>
      <w:r>
        <w:t xml:space="preserve">Selon les données consolidées de consommation et de production de </w:t>
      </w:r>
      <w:r w:rsidRPr="003C4EF9">
        <w:t>eCO2mix_RTE</w:t>
      </w:r>
      <w:r>
        <w:t xml:space="preserve"> de janvier 2020 à avril 2021, l’éolienne est la 2</w:t>
      </w:r>
      <w:r w:rsidRPr="003C4EF9">
        <w:rPr>
          <w:vertAlign w:val="superscript"/>
        </w:rPr>
        <w:t>ème</w:t>
      </w:r>
      <w:r>
        <w:t xml:space="preserve"> source d’énergie, en complément du nucléaire, permettant de répondre à la demande d’énergie. Sur la consommation moyenne de pointe (nous avons choisi 19h00 comme heure de pointe), le nucléaire a une capacité productive de 3,8 MW et l’éolien 1,4 MW. Comme l’indique la </w:t>
      </w:r>
      <w:r>
        <w:fldChar w:fldCharType="begin"/>
      </w:r>
      <w:r>
        <w:instrText xml:space="preserve"> REF _Ref74646863 \h </w:instrText>
      </w:r>
      <w:r>
        <w:fldChar w:fldCharType="separate"/>
      </w:r>
      <w:r w:rsidR="009F0282">
        <w:t xml:space="preserve">Figure </w:t>
      </w:r>
      <w:r w:rsidR="009F0282">
        <w:rPr>
          <w:noProof/>
        </w:rPr>
        <w:t>7</w:t>
      </w:r>
      <w:r>
        <w:fldChar w:fldCharType="end"/>
      </w:r>
      <w:r>
        <w:t>, ces 2 énergies couvrent 87</w:t>
      </w:r>
      <w:r w:rsidR="00061C97">
        <w:t> </w:t>
      </w:r>
      <w:r>
        <w:t>% des besoins dont 24</w:t>
      </w:r>
      <w:r w:rsidR="00061C97">
        <w:t> </w:t>
      </w:r>
      <w:r>
        <w:t xml:space="preserve">% pour l’éolien. </w:t>
      </w:r>
    </w:p>
    <w:p w14:paraId="01A54F41" w14:textId="6F47C476" w:rsidR="0059779F" w:rsidRDefault="0059779F" w:rsidP="0059779F">
      <w:pPr>
        <w:pStyle w:val="BodyText"/>
      </w:pPr>
      <w:r w:rsidRPr="00D46C48">
        <w:t>L’éolien est déjà bien développ</w:t>
      </w:r>
      <w:r>
        <w:t>é</w:t>
      </w:r>
      <w:r w:rsidRPr="00D46C48">
        <w:t xml:space="preserve"> sur le territoire. Si au niveau national les ambitions de développement de l’éolienne en mer sont fortes, au niveau régional le but est plutôt de le stabilis</w:t>
      </w:r>
      <w:r w:rsidR="007E0A83">
        <w:t>er</w:t>
      </w:r>
      <w:r w:rsidRPr="00D46C48">
        <w:t xml:space="preserve"> afin d’en limiter les impacts environnementaux.</w:t>
      </w:r>
      <w:r>
        <w:t xml:space="preserve"> </w:t>
      </w:r>
    </w:p>
    <w:p w14:paraId="0F4BCC29" w14:textId="77777777" w:rsidR="00384102" w:rsidRDefault="0059779F" w:rsidP="0059779F">
      <w:pPr>
        <w:pStyle w:val="BodyText"/>
      </w:pPr>
      <w:r>
        <w:t>Notons que</w:t>
      </w:r>
      <w:r w:rsidRPr="00C00B72">
        <w:t>, qu’il s’agisse de l’éolienne terrestre ou de l’éolienne en mer</w:t>
      </w:r>
      <w:r>
        <w:t>, la filière est mature</w:t>
      </w:r>
      <w:r w:rsidRPr="00C00B72">
        <w:t xml:space="preserve">. </w:t>
      </w:r>
      <w:r>
        <w:t xml:space="preserve">Les instruments financiers existent pour le développement et la réalisation des projets. Nous ne relevons ni de besoins, ni de défaillance en </w:t>
      </w:r>
      <w:r w:rsidR="00E471A7">
        <w:t>matière de</w:t>
      </w:r>
      <w:r>
        <w:t xml:space="preserve"> financement pour cette filière.</w:t>
      </w:r>
      <w:r w:rsidR="00BE7798">
        <w:t xml:space="preserve"> </w:t>
      </w:r>
    </w:p>
    <w:p w14:paraId="3DDE176D" w14:textId="215796A0" w:rsidR="0059779F" w:rsidRPr="003C4EF9" w:rsidRDefault="00BE7798" w:rsidP="0059779F">
      <w:pPr>
        <w:pStyle w:val="BodyText"/>
      </w:pPr>
      <w:r>
        <w:t>Par ailleurs</w:t>
      </w:r>
      <w:r w:rsidR="00384102">
        <w:t xml:space="preserve"> si en cours de programmation</w:t>
      </w:r>
      <w:r w:rsidR="003A3B19">
        <w:t xml:space="preserve"> les conditions de rentabilité </w:t>
      </w:r>
      <w:r w:rsidR="0032353F">
        <w:t>et les tarifs d’achat pourraient venir à évoluer</w:t>
      </w:r>
      <w:r>
        <w:t>, l</w:t>
      </w:r>
      <w:r w:rsidR="009B16E8">
        <w:t>’éolie</w:t>
      </w:r>
      <w:r w:rsidR="00B02906">
        <w:t>n, en particulier terrestre, pose des problématiques d’acceptabilité sociale dans une région ayant atteint une masse critique</w:t>
      </w:r>
      <w:r w:rsidR="00384102">
        <w:t>, empêchant le développement d’instruments financiers de soutien public à la filière</w:t>
      </w:r>
      <w:r w:rsidR="000534E3">
        <w:t>.</w:t>
      </w:r>
    </w:p>
    <w:p w14:paraId="0C358DE3" w14:textId="6D9AD2EC" w:rsidR="0059779F" w:rsidRDefault="0059779F" w:rsidP="0059779F">
      <w:pPr>
        <w:pStyle w:val="Caption"/>
        <w:keepLines/>
      </w:pPr>
      <w:bookmarkStart w:id="101" w:name="_Ref74646863"/>
      <w:bookmarkStart w:id="102" w:name="_Toc88842120"/>
      <w:r>
        <w:t xml:space="preserve">Figure </w:t>
      </w:r>
      <w:r>
        <w:fldChar w:fldCharType="begin"/>
      </w:r>
      <w:r>
        <w:instrText xml:space="preserve"> SEQ Figure \* ARABIC </w:instrText>
      </w:r>
      <w:r>
        <w:fldChar w:fldCharType="separate"/>
      </w:r>
      <w:r w:rsidR="009F0282">
        <w:rPr>
          <w:noProof/>
        </w:rPr>
        <w:t>7</w:t>
      </w:r>
      <w:r>
        <w:fldChar w:fldCharType="end"/>
      </w:r>
      <w:bookmarkEnd w:id="101"/>
      <w:r>
        <w:t xml:space="preserve"> données de consommation totale et de production (nucléaire, éolienne) en MW</w:t>
      </w:r>
      <w:bookmarkEnd w:id="102"/>
    </w:p>
    <w:p w14:paraId="7D9101DF" w14:textId="77777777" w:rsidR="0059779F" w:rsidRDefault="0059779F" w:rsidP="0059779F">
      <w:pPr>
        <w:pStyle w:val="BodyText"/>
        <w:keepNext/>
        <w:keepLines/>
      </w:pPr>
      <w:r>
        <w:rPr>
          <w:noProof/>
          <w:lang w:eastAsia="fr-FR"/>
        </w:rPr>
        <w:drawing>
          <wp:inline distT="0" distB="0" distL="0" distR="0" wp14:anchorId="20AF5310" wp14:editId="14D98B9F">
            <wp:extent cx="5518207" cy="2838004"/>
            <wp:effectExtent l="0" t="0" r="635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1">
                      <a:extLst>
                        <a:ext uri="{28A0092B-C50C-407E-A947-70E740481C1C}">
                          <a14:useLocalDpi xmlns:a14="http://schemas.microsoft.com/office/drawing/2010/main" val="0"/>
                        </a:ext>
                      </a:extLst>
                    </a:blip>
                    <a:stretch>
                      <a:fillRect/>
                    </a:stretch>
                  </pic:blipFill>
                  <pic:spPr>
                    <a:xfrm>
                      <a:off x="0" y="0"/>
                      <a:ext cx="5518207" cy="2838004"/>
                    </a:xfrm>
                    <a:prstGeom prst="rect">
                      <a:avLst/>
                    </a:prstGeom>
                  </pic:spPr>
                </pic:pic>
              </a:graphicData>
            </a:graphic>
          </wp:inline>
        </w:drawing>
      </w:r>
    </w:p>
    <w:p w14:paraId="3F01C1FF" w14:textId="77777777" w:rsidR="0059779F" w:rsidRPr="007F5A40" w:rsidRDefault="0059779F" w:rsidP="0059779F">
      <w:pPr>
        <w:pStyle w:val="Source"/>
        <w:keepNext/>
        <w:keepLines/>
      </w:pPr>
      <w:r>
        <w:t xml:space="preserve">Source : </w:t>
      </w:r>
      <w:r w:rsidRPr="007F5A40">
        <w:t>eCO2mix_RTE</w:t>
      </w:r>
      <w:r>
        <w:t>, traitements Technopolis</w:t>
      </w:r>
    </w:p>
    <w:p w14:paraId="0BB035D9" w14:textId="77777777" w:rsidR="004F09C6" w:rsidRPr="004F09C6" w:rsidRDefault="004F09C6" w:rsidP="004F09C6">
      <w:pPr>
        <w:pStyle w:val="BodyText"/>
      </w:pPr>
    </w:p>
    <w:p w14:paraId="417C2263" w14:textId="77777777" w:rsidR="0059779F" w:rsidRDefault="0059779F" w:rsidP="0059779F">
      <w:pPr>
        <w:pStyle w:val="Heading4"/>
      </w:pPr>
      <w:r>
        <w:t>Solaire (PV et thermique)</w:t>
      </w:r>
    </w:p>
    <w:p w14:paraId="52400622" w14:textId="77777777" w:rsidR="0059779F" w:rsidRDefault="0059779F" w:rsidP="004F09C6">
      <w:pPr>
        <w:pStyle w:val="BodyText"/>
        <w:keepNext/>
        <w:keepLines/>
      </w:pPr>
      <w:r>
        <w:t xml:space="preserve">Avec les données historiques, on remarque que la production solaire est quasi absente une bonne partie de l’année. Les plus fortes productions couvraient à peine 3% de la demande. </w:t>
      </w:r>
    </w:p>
    <w:p w14:paraId="7D381BD7" w14:textId="31212B6B" w:rsidR="0059779F" w:rsidRDefault="0059779F" w:rsidP="004F09C6">
      <w:pPr>
        <w:pStyle w:val="Caption"/>
        <w:keepLines/>
      </w:pPr>
      <w:bookmarkStart w:id="103" w:name="_Toc88842121"/>
      <w:r>
        <w:t xml:space="preserve">Figure </w:t>
      </w:r>
      <w:r>
        <w:fldChar w:fldCharType="begin"/>
      </w:r>
      <w:r>
        <w:instrText xml:space="preserve"> SEQ Figure \* ARABIC </w:instrText>
      </w:r>
      <w:r>
        <w:fldChar w:fldCharType="separate"/>
      </w:r>
      <w:r w:rsidR="009F0282">
        <w:rPr>
          <w:noProof/>
        </w:rPr>
        <w:t>8</w:t>
      </w:r>
      <w:r>
        <w:fldChar w:fldCharType="end"/>
      </w:r>
      <w:r>
        <w:t xml:space="preserve"> données de production totale de solaire en MW</w:t>
      </w:r>
      <w:bookmarkEnd w:id="103"/>
    </w:p>
    <w:p w14:paraId="6C9110F9" w14:textId="77777777" w:rsidR="0059779F" w:rsidRDefault="0059779F" w:rsidP="004F09C6">
      <w:pPr>
        <w:pStyle w:val="BodyText"/>
        <w:keepNext/>
        <w:keepLines/>
      </w:pPr>
      <w:r>
        <w:rPr>
          <w:noProof/>
          <w:lang w:eastAsia="fr-FR"/>
        </w:rPr>
        <w:drawing>
          <wp:inline distT="0" distB="0" distL="0" distR="0" wp14:anchorId="37E51E44" wp14:editId="3183B1F5">
            <wp:extent cx="5565226" cy="320863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32">
                      <a:extLst>
                        <a:ext uri="{28A0092B-C50C-407E-A947-70E740481C1C}">
                          <a14:useLocalDpi xmlns:a14="http://schemas.microsoft.com/office/drawing/2010/main" val="0"/>
                        </a:ext>
                      </a:extLst>
                    </a:blip>
                    <a:stretch>
                      <a:fillRect/>
                    </a:stretch>
                  </pic:blipFill>
                  <pic:spPr>
                    <a:xfrm>
                      <a:off x="0" y="0"/>
                      <a:ext cx="5565226" cy="3208636"/>
                    </a:xfrm>
                    <a:prstGeom prst="rect">
                      <a:avLst/>
                    </a:prstGeom>
                  </pic:spPr>
                </pic:pic>
              </a:graphicData>
            </a:graphic>
          </wp:inline>
        </w:drawing>
      </w:r>
    </w:p>
    <w:p w14:paraId="144502B1" w14:textId="77777777" w:rsidR="0059779F" w:rsidRPr="007F5A40" w:rsidRDefault="0059779F" w:rsidP="004F09C6">
      <w:pPr>
        <w:pStyle w:val="Source"/>
        <w:keepNext/>
        <w:keepLines/>
      </w:pPr>
      <w:r>
        <w:t xml:space="preserve">Source : </w:t>
      </w:r>
      <w:r w:rsidRPr="007F5A40">
        <w:t>eCO2mix_RTE</w:t>
      </w:r>
      <w:r>
        <w:t xml:space="preserve"> traitements Technopolis</w:t>
      </w:r>
    </w:p>
    <w:p w14:paraId="264C622C" w14:textId="0F168186" w:rsidR="0059779F" w:rsidRDefault="0059779F" w:rsidP="0059779F">
      <w:pPr>
        <w:pStyle w:val="BodyText"/>
      </w:pPr>
      <w:r w:rsidRPr="00796699">
        <w:rPr>
          <w:bCs/>
        </w:rPr>
        <w:t xml:space="preserve">Si </w:t>
      </w:r>
      <w:r>
        <w:t>les</w:t>
      </w:r>
      <w:r w:rsidRPr="000B70EF">
        <w:t xml:space="preserve"> technologie</w:t>
      </w:r>
      <w:r>
        <w:t>s</w:t>
      </w:r>
      <w:r w:rsidRPr="000B70EF">
        <w:t xml:space="preserve"> </w:t>
      </w:r>
      <w:r>
        <w:t xml:space="preserve">(PV et thermique) sont matures et que dans d’autres régions </w:t>
      </w:r>
      <w:r w:rsidRPr="000B70EF">
        <w:t xml:space="preserve">les projets parviennent </w:t>
      </w:r>
      <w:r>
        <w:t xml:space="preserve">suffisamment </w:t>
      </w:r>
      <w:r w:rsidRPr="000B70EF">
        <w:t>à se faire financer</w:t>
      </w:r>
      <w:r>
        <w:t xml:space="preserve">, la situation est relativement différente en Hauts-de-France. En effet le </w:t>
      </w:r>
      <w:r w:rsidRPr="00796699">
        <w:rPr>
          <w:b/>
          <w:bCs/>
        </w:rPr>
        <w:t>productible solaire (soleil) est faible</w:t>
      </w:r>
      <w:r>
        <w:t xml:space="preserve">, posant ainsi des enjeux de rentabilité aussi bien pour les centrales raccordées au réseau, que le modèle basé sur l’autoconsommation (même si ce dernier semble </w:t>
      </w:r>
      <w:r w:rsidR="00A83DE5">
        <w:t>davantage</w:t>
      </w:r>
      <w:r>
        <w:t xml:space="preserve"> à l’équilibre). Néanmoins, par épisodes, on remarque une forte production, donc un potentiel existant mais qui peine à se développer. </w:t>
      </w:r>
    </w:p>
    <w:p w14:paraId="5B5EFFAF" w14:textId="6495A3ED" w:rsidR="0059779F" w:rsidRDefault="0059779F" w:rsidP="00E72DF0">
      <w:pPr>
        <w:pStyle w:val="BodyText"/>
      </w:pPr>
      <w:r w:rsidRPr="000B70EF">
        <w:t xml:space="preserve">Les projets </w:t>
      </w:r>
      <w:r>
        <w:t xml:space="preserve">de grandes centrales solaires (souvent portés par des acteurs privés) </w:t>
      </w:r>
      <w:r w:rsidRPr="000B70EF">
        <w:t xml:space="preserve">sont soumis aux appels à projets de la CRE </w:t>
      </w:r>
      <w:r w:rsidR="00BF4131">
        <w:t xml:space="preserve">(tarif d’achat) </w:t>
      </w:r>
      <w:r>
        <w:t xml:space="preserve">et ne sont pas compétitifs face à d’autres régions. </w:t>
      </w:r>
      <w:r w:rsidRPr="000B70EF">
        <w:t xml:space="preserve"> </w:t>
      </w:r>
    </w:p>
    <w:p w14:paraId="6683C446" w14:textId="5051F598" w:rsidR="0059779F" w:rsidRDefault="0059779F" w:rsidP="00E72DF0">
      <w:pPr>
        <w:pStyle w:val="BodyText"/>
      </w:pPr>
      <w:r>
        <w:t xml:space="preserve">Rappelons que les ambitions à l’horizon 2026 et 2031, sont très fortes sur ces 2 filières. </w:t>
      </w:r>
      <w:r w:rsidR="00341902">
        <w:t xml:space="preserve">En effet la région souhaite </w:t>
      </w:r>
      <w:r w:rsidR="00332214">
        <w:t>i)</w:t>
      </w:r>
      <w:r w:rsidR="0081263A" w:rsidRPr="0081263A">
        <w:t xml:space="preserve"> développer le solaire photovoltaïque, en priorité sur les toitures, les espaces artificialisés, les délaissés urbains et à l’exclusion des sols à usage agricole et des espaces naturels</w:t>
      </w:r>
      <w:r w:rsidR="0081263A">
        <w:t> ; ii)</w:t>
      </w:r>
      <w:r w:rsidR="006C31C4" w:rsidRPr="006C31C4">
        <w:t xml:space="preserve"> développer la </w:t>
      </w:r>
      <w:r w:rsidR="005917F0" w:rsidRPr="006C31C4">
        <w:t>micro-production</w:t>
      </w:r>
      <w:r w:rsidR="006C31C4" w:rsidRPr="006C31C4">
        <w:t xml:space="preserve"> locale et l’autoconsommation</w:t>
      </w:r>
      <w:r w:rsidR="006C31C4">
        <w:t xml:space="preserve">. </w:t>
      </w:r>
      <w:r>
        <w:t>Il y a donc un enjeu de massification et d’accélération du développement de ces énergies pour atteindre les objectifs fixés (passer de 0,18 TWh estimé en 2020</w:t>
      </w:r>
      <w:r>
        <w:rPr>
          <w:rStyle w:val="FootnoteReference"/>
        </w:rPr>
        <w:footnoteReference w:id="48"/>
      </w:r>
      <w:r>
        <w:t xml:space="preserve"> à plus de 1,3 TWh en 2026 et 2,8 TWh en 2031). </w:t>
      </w:r>
    </w:p>
    <w:p w14:paraId="680D9A41" w14:textId="305C288A" w:rsidR="0059779F" w:rsidRDefault="0059779F" w:rsidP="00E72DF0">
      <w:pPr>
        <w:pStyle w:val="BodyText"/>
      </w:pPr>
      <w:r>
        <w:t xml:space="preserve">Vu les conditions météorologiques de la région, cette accélération pourrait passer par la diffusion et l’accompagnement de nouveaux usages tels que l’autoconsommation (collectif), optimisation des systèmes énergétiques, stockage, mutualisation et partage de l’énergie produite, etc. </w:t>
      </w:r>
    </w:p>
    <w:p w14:paraId="6CE38DDF" w14:textId="18D891A0" w:rsidR="0059779F" w:rsidRDefault="0059779F" w:rsidP="00E72DF0">
      <w:pPr>
        <w:pStyle w:val="BodyText"/>
      </w:pPr>
      <w:r>
        <w:t xml:space="preserve">Selon les acteurs rencontrés, plusieurs projets portés par les collectivités locales n’arrivent pas à émerger en raison du manque de connaissance en ingénierie. Le besoin est donc </w:t>
      </w:r>
      <w:r w:rsidR="006A40EA">
        <w:t>non financier et</w:t>
      </w:r>
      <w:r>
        <w:t xml:space="preserve"> en </w:t>
      </w:r>
      <w:r w:rsidRPr="00855FB9">
        <w:rPr>
          <w:b/>
          <w:bCs/>
        </w:rPr>
        <w:t xml:space="preserve">accompagnement sur les phases de d’émergence et développement </w:t>
      </w:r>
      <w:r w:rsidRPr="00A83DE5">
        <w:t>(</w:t>
      </w:r>
      <w:r>
        <w:t xml:space="preserve">études de préfaisabilité et de faisabilité) afin de s’assurer d’une part de la faisabilité technique et financière des projets, et d’autre part, de la prise en compte de l’ensemble des caractéristiques du projet. </w:t>
      </w:r>
    </w:p>
    <w:p w14:paraId="70C6912E" w14:textId="5A3BD766" w:rsidR="0059779F" w:rsidRDefault="0059779F" w:rsidP="00E72DF0">
      <w:pPr>
        <w:pStyle w:val="BodyText"/>
      </w:pPr>
      <w:r>
        <w:t>Les instruments de financement des différentes phases des projets solaires existent</w:t>
      </w:r>
      <w:r w:rsidR="002606AB">
        <w:t xml:space="preserve">. </w:t>
      </w:r>
      <w:r w:rsidR="000A66E7">
        <w:t xml:space="preserve">Sur l’autoconsommation, des subventions allant de 20 k€ à 120 k€ sont accordées aux porteurs de projets grâce aux projets régionaux. </w:t>
      </w:r>
      <w:r w:rsidR="00A914A3">
        <w:t>Au regard de l’analyse</w:t>
      </w:r>
      <w:r>
        <w:t xml:space="preserve">, des défaillances de financements n’apparaissent pas à cette étape. </w:t>
      </w:r>
    </w:p>
    <w:p w14:paraId="0CBC8494" w14:textId="50B98427" w:rsidR="0059779F" w:rsidRDefault="0059779F" w:rsidP="00E72DF0">
      <w:pPr>
        <w:pStyle w:val="BodyText"/>
      </w:pPr>
      <w:r>
        <w:t>En revanche, la question de la viabilisation des nombreuses friches est également prégnante mais elle n’est pas traitée dans cette section</w:t>
      </w:r>
      <w:r w:rsidR="008B495E">
        <w:t xml:space="preserve">, notamment les projets en </w:t>
      </w:r>
      <w:r w:rsidR="001F093A">
        <w:t>injection sur le réseau</w:t>
      </w:r>
      <w:r>
        <w:t xml:space="preserve">. </w:t>
      </w:r>
    </w:p>
    <w:p w14:paraId="3736E6C7" w14:textId="77777777" w:rsidR="0059779F" w:rsidRDefault="0059779F" w:rsidP="0059779F">
      <w:pPr>
        <w:pStyle w:val="Heading4"/>
      </w:pPr>
      <w:r>
        <w:t>Bioénergies</w:t>
      </w:r>
    </w:p>
    <w:p w14:paraId="50401EEF" w14:textId="77777777" w:rsidR="0059779F" w:rsidRDefault="0059779F" w:rsidP="0059779F">
      <w:pPr>
        <w:pStyle w:val="BodyText"/>
      </w:pPr>
      <w:r w:rsidRPr="00855FB9">
        <w:t>La filière Bioénergies comprend les biogaz, les biocombustibles solides (bois énergie et autres biocombustibles solides) et les déchets (ménagers et papetiers)</w:t>
      </w:r>
      <w:r>
        <w:t xml:space="preserve">. </w:t>
      </w:r>
    </w:p>
    <w:p w14:paraId="46EF8AF8" w14:textId="77777777" w:rsidR="0059779F" w:rsidRDefault="0059779F" w:rsidP="0059779F">
      <w:pPr>
        <w:pStyle w:val="Heading5"/>
      </w:pPr>
      <w:r>
        <w:t>Biogaz par méthanisation</w:t>
      </w:r>
    </w:p>
    <w:p w14:paraId="6EB32542" w14:textId="019FCE46" w:rsidR="0059779F" w:rsidRDefault="0059779F" w:rsidP="0059779F">
      <w:pPr>
        <w:pStyle w:val="BodyText"/>
      </w:pPr>
      <w:r w:rsidRPr="00D846D6">
        <w:t xml:space="preserve">La filière biogaz </w:t>
      </w:r>
      <w:r>
        <w:t xml:space="preserve">joue un rôle important dans les </w:t>
      </w:r>
      <w:r w:rsidRPr="00D846D6">
        <w:t xml:space="preserve">objectifs </w:t>
      </w:r>
      <w:r>
        <w:t xml:space="preserve">nationaux </w:t>
      </w:r>
      <w:r w:rsidRPr="00D846D6">
        <w:t>de la transition énergétique</w:t>
      </w:r>
      <w:r>
        <w:t>. Fin 2020, la France comptait 1075 unités de production de biogaz dont 20% en valorisation sous forme de biométhane injecté dans les réseaux de gaz naturel. Ces unités ont permis de produire</w:t>
      </w:r>
      <w:r w:rsidR="00DD58C3">
        <w:t xml:space="preserve"> plus de </w:t>
      </w:r>
      <w:r>
        <w:t xml:space="preserve">2 </w:t>
      </w:r>
      <w:r w:rsidR="00DD58C3">
        <w:t>T</w:t>
      </w:r>
      <w:r>
        <w:t>Wh. Au 31/12/2020, la région Hauts-de-France est arrivée en 2</w:t>
      </w:r>
      <w:r w:rsidRPr="00BA460F">
        <w:rPr>
          <w:vertAlign w:val="superscript"/>
        </w:rPr>
        <w:t>ème</w:t>
      </w:r>
      <w:r>
        <w:t xml:space="preserve"> position des capacités maximales installées par tranche de débit avec </w:t>
      </w:r>
      <w:r w:rsidRPr="00BA460F">
        <w:t>607 GWh/an</w:t>
      </w:r>
      <w:r>
        <w:t xml:space="preserve"> et 34 sites d’injection. </w:t>
      </w:r>
    </w:p>
    <w:p w14:paraId="69A934A8" w14:textId="77777777" w:rsidR="0059779F" w:rsidRDefault="0059779F" w:rsidP="0059779F">
      <w:pPr>
        <w:pStyle w:val="BodyText"/>
      </w:pPr>
      <w:r w:rsidRPr="006D4506">
        <w:t xml:space="preserve">La méthanisation est </w:t>
      </w:r>
      <w:r>
        <w:t xml:space="preserve">une des filières prioritaires du mix énergétique régional avec une ambition de production </w:t>
      </w:r>
      <w:r w:rsidRPr="006D4506">
        <w:rPr>
          <w:b/>
          <w:bCs/>
        </w:rPr>
        <w:t>x6</w:t>
      </w:r>
      <w:r>
        <w:t xml:space="preserve"> et </w:t>
      </w:r>
      <w:r w:rsidRPr="006D4506">
        <w:rPr>
          <w:b/>
          <w:bCs/>
        </w:rPr>
        <w:t>x12</w:t>
      </w:r>
      <w:r>
        <w:t>, respectivement en 2026 et 2031 par rapport à 2017. A l’horizon 2026, il est prévu d’atteindre, 4,3 TWh. Notons que la</w:t>
      </w:r>
      <w:r w:rsidRPr="00B15EF1">
        <w:t xml:space="preserve"> nouvelle PPE souhaite porter la part du gaz renouvelable dans la consommation totale de gaz en France à 7% d’ici 2030</w:t>
      </w:r>
      <w:r>
        <w:t xml:space="preserve"> contre 10 % précédemment prévu par la </w:t>
      </w:r>
      <w:r w:rsidRPr="00B15EF1">
        <w:t>LTEC</w:t>
      </w:r>
      <w:r>
        <w:t xml:space="preserve">V sur le </w:t>
      </w:r>
      <w:r w:rsidRPr="00B15EF1">
        <w:t xml:space="preserve">même horizon. </w:t>
      </w:r>
      <w:r>
        <w:t xml:space="preserve">Aussi, </w:t>
      </w:r>
      <w:r w:rsidRPr="00B15EF1">
        <w:t>les objectifs d’injection et de production de biométhane dans les réseaux ont été revus à la baisse</w:t>
      </w:r>
      <w:r>
        <w:t xml:space="preserve">. </w:t>
      </w:r>
    </w:p>
    <w:p w14:paraId="1B560F96" w14:textId="74A1D47D" w:rsidR="0059779F" w:rsidRDefault="0059779F" w:rsidP="0059779F">
      <w:pPr>
        <w:pStyle w:val="BodyText"/>
      </w:pPr>
      <w:r>
        <w:t>Sachant d’une part que sur les 1</w:t>
      </w:r>
      <w:r w:rsidR="00EB708C">
        <w:t xml:space="preserve"> </w:t>
      </w:r>
      <w:r>
        <w:t>164 projets inscrits dans le registre de ré</w:t>
      </w:r>
      <w:r w:rsidRPr="00AA0136">
        <w:t>servation de capacités d’injection</w:t>
      </w:r>
      <w:r>
        <w:t xml:space="preserve"> au niveau national, </w:t>
      </w:r>
      <w:r w:rsidRPr="00AA0136">
        <w:t>142 projets</w:t>
      </w:r>
      <w:r>
        <w:t xml:space="preserve"> proviennent des Hauts-de-France pour une capacité maximale de 3,8 TWh et que d’autre part ces projets mettent </w:t>
      </w:r>
      <w:r w:rsidRPr="00AA0136">
        <w:t>2 à 5 ans</w:t>
      </w:r>
      <w:r>
        <w:t xml:space="preserve"> à se concrétiser, on peut envisager que les objectifs régionaux seront atteints</w:t>
      </w:r>
      <w:r>
        <w:rPr>
          <w:rStyle w:val="FootnoteReference"/>
        </w:rPr>
        <w:footnoteReference w:id="49"/>
      </w:r>
      <w:r>
        <w:t xml:space="preserve">. </w:t>
      </w:r>
    </w:p>
    <w:p w14:paraId="4FA0BF50" w14:textId="61CE225E" w:rsidR="0059779F" w:rsidRDefault="0059779F" w:rsidP="0059779F">
      <w:pPr>
        <w:pStyle w:val="Caption"/>
      </w:pPr>
      <w:bookmarkStart w:id="104" w:name="_Toc88842122"/>
      <w:r>
        <w:t xml:space="preserve">Figure </w:t>
      </w:r>
      <w:r>
        <w:fldChar w:fldCharType="begin"/>
      </w:r>
      <w:r>
        <w:instrText xml:space="preserve"> SEQ Figure \* ARABIC </w:instrText>
      </w:r>
      <w:r>
        <w:fldChar w:fldCharType="separate"/>
      </w:r>
      <w:r w:rsidR="009F0282">
        <w:rPr>
          <w:noProof/>
        </w:rPr>
        <w:t>9</w:t>
      </w:r>
      <w:r>
        <w:fldChar w:fldCharType="end"/>
      </w:r>
      <w:r>
        <w:t xml:space="preserve">  </w:t>
      </w:r>
      <w:r w:rsidRPr="00954039">
        <w:t>Production totale de biogaz en TWh</w:t>
      </w:r>
      <w:r>
        <w:t xml:space="preserve"> (2010 – 2017) et objectifs horizons 2026,2031</w:t>
      </w:r>
      <w:bookmarkEnd w:id="104"/>
    </w:p>
    <w:p w14:paraId="64D84763" w14:textId="77777777" w:rsidR="0059779F" w:rsidRDefault="0059779F" w:rsidP="0059779F">
      <w:pPr>
        <w:pStyle w:val="BodyText"/>
        <w:rPr>
          <w:highlight w:val="green"/>
        </w:rPr>
      </w:pPr>
      <w:r>
        <w:rPr>
          <w:noProof/>
          <w:lang w:eastAsia="fr-FR"/>
        </w:rPr>
        <w:drawing>
          <wp:inline distT="0" distB="0" distL="0" distR="0" wp14:anchorId="493ACAD0" wp14:editId="498FEC25">
            <wp:extent cx="4684143" cy="2113471"/>
            <wp:effectExtent l="0" t="0" r="2540" b="1270"/>
            <wp:docPr id="17" name="Graphique 17">
              <a:extLst xmlns:a="http://schemas.openxmlformats.org/drawingml/2006/main">
                <a:ext uri="{FF2B5EF4-FFF2-40B4-BE49-F238E27FC236}">
                  <a16:creationId xmlns:a16="http://schemas.microsoft.com/office/drawing/2014/main" id="{53C8EA25-6339-4014-9D90-FEDE18309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378D4F" w14:textId="77777777" w:rsidR="0059779F" w:rsidRPr="006D4506" w:rsidRDefault="0059779F" w:rsidP="0059779F">
      <w:pPr>
        <w:pStyle w:val="Source"/>
      </w:pPr>
      <w:r w:rsidRPr="006D4506">
        <w:t xml:space="preserve">Source données Observatoire Climat Hauts-de-France, traitements Technopolis </w:t>
      </w:r>
    </w:p>
    <w:p w14:paraId="66350290" w14:textId="509FB901" w:rsidR="0059779F" w:rsidRDefault="0059779F" w:rsidP="0059779F">
      <w:pPr>
        <w:pStyle w:val="BodyText"/>
      </w:pPr>
      <w:r>
        <w:t xml:space="preserve">Toutefois, l’analyse selon laquelle les objectifs régionaux pourraient être atteints à l’horizon 2026 se repose sur l’hypothèse de </w:t>
      </w:r>
      <w:r w:rsidRPr="00726BDA">
        <w:rPr>
          <w:b/>
        </w:rPr>
        <w:t>maintien du rythme actuel de développement des projets.</w:t>
      </w:r>
      <w:r>
        <w:t xml:space="preserve"> Or, nous sommes dans un contexte changeant. Depuis plusieurs années, la filière a été fortement soutenue au niveau national (</w:t>
      </w:r>
      <w:r w:rsidRPr="002F11E8">
        <w:t>fonds déchets</w:t>
      </w:r>
      <w:r>
        <w:t xml:space="preserve">, </w:t>
      </w:r>
      <w:r w:rsidRPr="002F11E8">
        <w:t>fonds chaleur</w:t>
      </w:r>
      <w:r>
        <w:t xml:space="preserve">, </w:t>
      </w:r>
      <w:r w:rsidRPr="002F11E8">
        <w:t>obligation</w:t>
      </w:r>
      <w:r>
        <w:t>s</w:t>
      </w:r>
      <w:r w:rsidRPr="002F11E8">
        <w:t xml:space="preserve"> d’achat</w:t>
      </w:r>
      <w:r>
        <w:t xml:space="preserve">s, AAP, etc.) et constitue aujourd’hui la filière de production de gaz renouvelable la plus mature. L’injection du biométhane dans le réseau de distribution rend les producteurs éligibles à une obligation d’achat dont le prix est fixé à l’avance et d’environ 100€/MWh. Ce niveau d’obligation d’achat permet de couvrir les coûts liés à la production du biométhane qui sont environ </w:t>
      </w:r>
      <w:r w:rsidRPr="009A397F">
        <w:rPr>
          <w:b/>
          <w:bCs/>
        </w:rPr>
        <w:t>4</w:t>
      </w:r>
      <w:r w:rsidR="009A397F" w:rsidRPr="009A397F">
        <w:rPr>
          <w:b/>
          <w:bCs/>
        </w:rPr>
        <w:t>x</w:t>
      </w:r>
      <w:r>
        <w:t xml:space="preserve"> supérieurs à ceux de la production de gaz naturel (environ 23€/MWh). Mais la nouvelle PPE prévoit une réduction des tarifs d’achat de biométhane et la mise en place d’un système d’appel d’offres afin d’obliger les producteurs de biométhane à réduire leurs coûts de production. La PPE ambitionne ainsi réduire le coût de production du biométhane à une moyenne de 75€/MWh PCS en 2023 et à 60€/MWh en 2030. </w:t>
      </w:r>
    </w:p>
    <w:p w14:paraId="1AB0399D" w14:textId="77777777" w:rsidR="0059779F" w:rsidRDefault="0059779F" w:rsidP="0059779F">
      <w:pPr>
        <w:pStyle w:val="BodyText"/>
      </w:pPr>
      <w:r>
        <w:t xml:space="preserve">Selon le </w:t>
      </w:r>
      <w:r w:rsidRPr="003B63C7">
        <w:t>panorama du gaz renouvelable en 2020</w:t>
      </w:r>
      <w:r>
        <w:t xml:space="preserve"> publié par </w:t>
      </w:r>
      <w:r w:rsidRPr="003B63C7">
        <w:t>GRDF, GRTgaz, le SPEGNN, le SER et TEREGA</w:t>
      </w:r>
      <w:r>
        <w:t>, la méthanisation fera l’objet d’une « rigidification globale des mécanismes de soutien à la production, que ce soit sur les mix d’intrants possibles ou sur les modalités d’évolution de la production, limitant les marges de manœuvre des producteurs qui seraient confrontés à des aléas, notamment climatiques, sanitaires, ou techniques. ». Il s’agit notamment de :</w:t>
      </w:r>
    </w:p>
    <w:p w14:paraId="759EF3B4" w14:textId="4C6C3B75" w:rsidR="0059779F" w:rsidRDefault="0059779F" w:rsidP="0059779F">
      <w:pPr>
        <w:pStyle w:val="Bullet1"/>
      </w:pPr>
      <w:r>
        <w:t xml:space="preserve">La réduction immédiate du nouveau tarif d’achat qui peut aller jusqu’à </w:t>
      </w:r>
      <w:r w:rsidRPr="003B63C7">
        <w:rPr>
          <w:b/>
          <w:bCs/>
        </w:rPr>
        <w:t>15</w:t>
      </w:r>
      <w:r w:rsidR="006D7927">
        <w:rPr>
          <w:b/>
          <w:bCs/>
        </w:rPr>
        <w:t> </w:t>
      </w:r>
      <w:r w:rsidRPr="003B63C7">
        <w:rPr>
          <w:b/>
          <w:bCs/>
        </w:rPr>
        <w:t>%,</w:t>
      </w:r>
      <w:r>
        <w:t xml:space="preserve"> accompagnée d’une trajectoire de réduction du tarif d’achat de 2</w:t>
      </w:r>
      <w:r w:rsidR="006D7927">
        <w:t> </w:t>
      </w:r>
      <w:r>
        <w:t xml:space="preserve">% par an ; </w:t>
      </w:r>
    </w:p>
    <w:p w14:paraId="6DF83F04" w14:textId="77777777" w:rsidR="0059779F" w:rsidRDefault="0059779F" w:rsidP="0059779F">
      <w:pPr>
        <w:pStyle w:val="Bullet1"/>
      </w:pPr>
      <w:r>
        <w:t>Le mécanisme de réduction dynamique du tarif d’achat en fonction des signatures de contrats d’obligation d’achat ;</w:t>
      </w:r>
    </w:p>
    <w:p w14:paraId="67967BC1" w14:textId="0E0007D6" w:rsidR="0059779F" w:rsidRDefault="0059779F" w:rsidP="00E72DF0">
      <w:pPr>
        <w:pStyle w:val="BodyText"/>
      </w:pPr>
      <w:r>
        <w:t>Selon le même rapport, cette évolution crée un risque de rupture de la dynamique de la filière à court terme. En effet, si la filière est mature, les acteurs financiers exigent 20</w:t>
      </w:r>
      <w:r w:rsidR="000E450E">
        <w:t> </w:t>
      </w:r>
      <w:r>
        <w:t xml:space="preserve">% en fonds propres pour le financement des projets. L’arrêt des subventions, pourrait réduire l’appétence des acteurs financiers pour la filière et les amener à exiger des apports en fonds propres plus élevés (jusqu’à 30%). </w:t>
      </w:r>
    </w:p>
    <w:p w14:paraId="13168C55" w14:textId="1621F0F0" w:rsidR="0059779F" w:rsidRDefault="0059779F" w:rsidP="0059779F">
      <w:pPr>
        <w:pStyle w:val="BodyText"/>
      </w:pPr>
      <w:r>
        <w:t xml:space="preserve">Le </w:t>
      </w:r>
      <w:r w:rsidRPr="008A50B4">
        <w:t>Fonds Eiffel Gaz Vert</w:t>
      </w:r>
      <w:r>
        <w:t xml:space="preserve"> peut être une réponse adaptée à ce besoin, mais un positionnement régional sur les projets de territoires est aussi recommandable. Nous anticipons des besoins en fonds propres/quasi fonds propres pour des projets de méthanisation de grande taille. Ces projets ont un coût d’investissement en moyenne de 7 M€ avec un besoin en fonds propres </w:t>
      </w:r>
      <w:r w:rsidR="00F847BB">
        <w:t xml:space="preserve">complémentaire </w:t>
      </w:r>
      <w:r>
        <w:t>d’environ 10 % soit 700 k€. A ce stade nous estimons le nombre de projets à</w:t>
      </w:r>
      <w:r w:rsidR="007A5FE5">
        <w:t> </w:t>
      </w:r>
      <w:r>
        <w:t>33</w:t>
      </w:r>
      <w:r>
        <w:rPr>
          <w:rStyle w:val="FootnoteReference"/>
        </w:rPr>
        <w:footnoteReference w:id="50"/>
      </w:r>
      <w:r>
        <w:t xml:space="preserve"> mais ce chiffre devra être affiné. </w:t>
      </w:r>
    </w:p>
    <w:p w14:paraId="63125DF6" w14:textId="3C095441" w:rsidR="0059779F" w:rsidRDefault="0059779F" w:rsidP="0059779F">
      <w:pPr>
        <w:pStyle w:val="BodyText"/>
        <w:rPr>
          <w:b/>
        </w:rPr>
      </w:pPr>
      <w:r w:rsidRPr="002804F4">
        <w:rPr>
          <w:b/>
        </w:rPr>
        <w:t xml:space="preserve">La SEM Energies Hauts-de-France est l’un des outils phares de la région et intervient déjà sur cette filière, </w:t>
      </w:r>
      <w:r w:rsidR="00E97E46">
        <w:rPr>
          <w:b/>
        </w:rPr>
        <w:t>le</w:t>
      </w:r>
      <w:r w:rsidR="00E97E46" w:rsidRPr="002804F4">
        <w:rPr>
          <w:b/>
        </w:rPr>
        <w:t xml:space="preserve"> </w:t>
      </w:r>
      <w:r w:rsidRPr="002804F4">
        <w:rPr>
          <w:b/>
        </w:rPr>
        <w:t xml:space="preserve">cadre d’intervention </w:t>
      </w:r>
      <w:r w:rsidR="00E97E46">
        <w:rPr>
          <w:b/>
        </w:rPr>
        <w:t xml:space="preserve">sur lequel elle intervient </w:t>
      </w:r>
      <w:r w:rsidRPr="002804F4">
        <w:rPr>
          <w:b/>
        </w:rPr>
        <w:t xml:space="preserve">peut être élargi. </w:t>
      </w:r>
    </w:p>
    <w:p w14:paraId="1B19E3A2" w14:textId="7F21F2F2" w:rsidR="0059779F" w:rsidRDefault="00AE6E23" w:rsidP="0059779F">
      <w:pPr>
        <w:pStyle w:val="Heading5"/>
      </w:pPr>
      <w:r>
        <w:t>Biogaz par</w:t>
      </w:r>
      <w:r w:rsidR="0059779F" w:rsidRPr="002143CB">
        <w:t xml:space="preserve"> nouveaux procédés</w:t>
      </w:r>
    </w:p>
    <w:p w14:paraId="4B3E7107" w14:textId="77777777" w:rsidR="0059779F" w:rsidRDefault="0059779F" w:rsidP="0059779F">
      <w:pPr>
        <w:pStyle w:val="BodyText"/>
      </w:pPr>
      <w:r>
        <w:t>Nous avons indiqué dans la section précédente que la filière biogaz par méthanisation était mature. De nouveaux procédés de production de biométhane se développent également et laissent entrevoir de nouvelles filières émergentes qui se structurent. Nous pouvons citer entre autres :</w:t>
      </w:r>
    </w:p>
    <w:p w14:paraId="3582F5B5" w14:textId="77777777" w:rsidR="0059779F" w:rsidRDefault="0059779F" w:rsidP="00204F06">
      <w:pPr>
        <w:pStyle w:val="BodyText"/>
        <w:numPr>
          <w:ilvl w:val="0"/>
          <w:numId w:val="24"/>
        </w:numPr>
      </w:pPr>
      <w:r>
        <w:t xml:space="preserve">la </w:t>
      </w:r>
      <w:proofErr w:type="spellStart"/>
      <w:r w:rsidRPr="002143CB">
        <w:t>pyrogazéification</w:t>
      </w:r>
      <w:proofErr w:type="spellEnd"/>
      <w:r w:rsidRPr="002143CB">
        <w:t xml:space="preserve"> </w:t>
      </w:r>
      <w:r>
        <w:t>(la gazéification de la biomasse sèche et des combustibles solides de récupération) qui permettent</w:t>
      </w:r>
      <w:r w:rsidRPr="00327307">
        <w:t xml:space="preserve"> </w:t>
      </w:r>
      <w:r>
        <w:t>d’</w:t>
      </w:r>
      <w:r w:rsidRPr="00327307">
        <w:t>optimiser la valorisation énergétique de nombreuses biomasses et déchets non valorisables sous forme de matière ou difficiles à traiter</w:t>
      </w:r>
      <w:r>
        <w:t xml:space="preserve">  ; </w:t>
      </w:r>
    </w:p>
    <w:p w14:paraId="7C18E443" w14:textId="77777777" w:rsidR="0059779F" w:rsidRDefault="0059779F" w:rsidP="00204F06">
      <w:pPr>
        <w:pStyle w:val="BodyText"/>
        <w:numPr>
          <w:ilvl w:val="0"/>
          <w:numId w:val="24"/>
        </w:numPr>
      </w:pPr>
      <w:r>
        <w:t xml:space="preserve">le Power-to-Gas qui </w:t>
      </w:r>
      <w:r w:rsidRPr="00B15EF1">
        <w:t>consiste à transformer les excédents d’électricité en hydrogène par électrolyse de l’eau</w:t>
      </w:r>
      <w:r>
        <w:t xml:space="preserve"> ; </w:t>
      </w:r>
    </w:p>
    <w:p w14:paraId="61F9D16E" w14:textId="77777777" w:rsidR="0059779F" w:rsidRDefault="0059779F" w:rsidP="00204F06">
      <w:pPr>
        <w:pStyle w:val="BodyText"/>
        <w:numPr>
          <w:ilvl w:val="0"/>
          <w:numId w:val="24"/>
        </w:numPr>
      </w:pPr>
      <w:r>
        <w:t xml:space="preserve">la méthanation dont la méthanation catalytique, technologie exothermique la plus mature, elle permet de transformer l’hydrogène en méthane; et la méthanation biologique, plus récente </w:t>
      </w:r>
    </w:p>
    <w:p w14:paraId="47E442CD" w14:textId="02909F4B" w:rsidR="0059779F" w:rsidRDefault="0059779F" w:rsidP="00204F06">
      <w:pPr>
        <w:pStyle w:val="BodyText"/>
        <w:numPr>
          <w:ilvl w:val="0"/>
          <w:numId w:val="24"/>
        </w:numPr>
      </w:pPr>
      <w:r>
        <w:t xml:space="preserve">la </w:t>
      </w:r>
      <w:r w:rsidRPr="002143CB">
        <w:t>valorisation des digestats</w:t>
      </w:r>
      <w:r w:rsidR="00BA1843">
        <w:t>, etc.</w:t>
      </w:r>
    </w:p>
    <w:p w14:paraId="255158D5" w14:textId="77777777" w:rsidR="0059779F" w:rsidRDefault="0059779F" w:rsidP="00E72DF0">
      <w:pPr>
        <w:pStyle w:val="BodyText"/>
      </w:pPr>
      <w:r w:rsidRPr="00B15EF1">
        <w:t xml:space="preserve">Ces différents nouveaux procédés sont encore à l’étape de développement.  </w:t>
      </w:r>
      <w:r>
        <w:t>Le</w:t>
      </w:r>
      <w:r w:rsidRPr="0037619E">
        <w:t>s dispositifs d’AAP mis en place par l’ADEME, permettent de soutenir l’innovation technologique de la filière</w:t>
      </w:r>
      <w:r>
        <w:t xml:space="preserve">. </w:t>
      </w:r>
    </w:p>
    <w:p w14:paraId="3CC9B19B" w14:textId="214B6956" w:rsidR="0059779F" w:rsidRDefault="0059779F" w:rsidP="00E72DF0">
      <w:pPr>
        <w:pStyle w:val="BodyText"/>
      </w:pPr>
      <w:r>
        <w:t xml:space="preserve">La région Hauts-de-France étant caractérisée par une présente abondante d’industrie, elle offre un environnement favorable au développement de ces nouveaux procédés. Les dispositifs nationaux existants, peuvent donc être complétés par la région à travers un véhicule capital-risque de financement des innovations spécifiques en énergies renouvelables ou s’assurer que </w:t>
      </w:r>
      <w:r w:rsidRPr="0037619E">
        <w:t>Rev3 financement</w:t>
      </w:r>
      <w:r>
        <w:t xml:space="preserve"> </w:t>
      </w:r>
      <w:r w:rsidR="00023D56">
        <w:t xml:space="preserve">ou le FRATRI </w:t>
      </w:r>
      <w:r>
        <w:t>permet</w:t>
      </w:r>
      <w:r w:rsidR="00023D56">
        <w:t>tent</w:t>
      </w:r>
      <w:r>
        <w:t xml:space="preserve"> de couvrir la demande. </w:t>
      </w:r>
    </w:p>
    <w:p w14:paraId="40D69410" w14:textId="77777777" w:rsidR="00F51336" w:rsidRDefault="00F51336" w:rsidP="00DB23C5">
      <w:pPr>
        <w:pStyle w:val="Heading5"/>
      </w:pPr>
      <w:r w:rsidRPr="00785A67">
        <w:t>B</w:t>
      </w:r>
      <w:r>
        <w:t>ois énergie</w:t>
      </w:r>
    </w:p>
    <w:p w14:paraId="02FAEF46" w14:textId="6297C5BD" w:rsidR="00F51336" w:rsidRDefault="00F51336" w:rsidP="00F51336">
      <w:pPr>
        <w:pStyle w:val="BodyText"/>
      </w:pPr>
      <w:r w:rsidRPr="009B25B6">
        <w:t xml:space="preserve">Le bois est la </w:t>
      </w:r>
      <w:r>
        <w:t>1</w:t>
      </w:r>
      <w:r w:rsidRPr="009B25B6">
        <w:rPr>
          <w:vertAlign w:val="superscript"/>
        </w:rPr>
        <w:t>ère</w:t>
      </w:r>
      <w:r>
        <w:t xml:space="preserve"> </w:t>
      </w:r>
      <w:r w:rsidRPr="009B25B6">
        <w:t xml:space="preserve">énergie renouvelable en </w:t>
      </w:r>
      <w:r>
        <w:t>France. Energie renouvelable abondante et disponible localement, elle offre l’avantage d’être neutre en termes d’émissions de CO</w:t>
      </w:r>
      <w:r w:rsidRPr="00FC54B7">
        <w:rPr>
          <w:vertAlign w:val="subscript"/>
        </w:rPr>
        <w:t>2</w:t>
      </w:r>
      <w:r>
        <w:t xml:space="preserve">. De plus le coût du combustible est stable et </w:t>
      </w:r>
      <w:r w:rsidRPr="00B44D34">
        <w:rPr>
          <w:b/>
          <w:bCs/>
        </w:rPr>
        <w:t xml:space="preserve">compétitif face aux énergies fossiles.  </w:t>
      </w:r>
      <w:r>
        <w:t>En France, le bois énergie est à l’origine de la production de 42,3</w:t>
      </w:r>
      <w:r w:rsidR="000C5D62">
        <w:t> </w:t>
      </w:r>
      <w:r>
        <w:t>% des énergies renouvelables quasi exclusivement pour la production de chaleur. Il s’agit de 1</w:t>
      </w:r>
      <w:r w:rsidRPr="00B83010">
        <w:rPr>
          <w:vertAlign w:val="superscript"/>
        </w:rPr>
        <w:t>ère</w:t>
      </w:r>
      <w:r>
        <w:t xml:space="preserve"> filière productrice de chaleur renouvelable en France avec une part d’environ 70 %</w:t>
      </w:r>
      <w:r>
        <w:rPr>
          <w:rStyle w:val="FootnoteReference"/>
        </w:rPr>
        <w:footnoteReference w:id="51"/>
      </w:r>
      <w:r>
        <w:t xml:space="preserve">. La puissance thermique est estimée à 7 900 MW et 596 MW de puissance électrique installées. </w:t>
      </w:r>
    </w:p>
    <w:p w14:paraId="6FBA1284" w14:textId="155598E5" w:rsidR="00F51336" w:rsidRDefault="00F51336" w:rsidP="00F51336">
      <w:pPr>
        <w:pStyle w:val="BodyText"/>
      </w:pPr>
      <w:r>
        <w:t xml:space="preserve">Le bois </w:t>
      </w:r>
      <w:r w:rsidR="000E7096">
        <w:t xml:space="preserve">est </w:t>
      </w:r>
      <w:r>
        <w:t xml:space="preserve">utilisé à hauteur de 30% en tant que combustible sous forme de plaquettes forestières, granulés et bûches et ou dans différentes installations domestiques, tertiaires, industrielles ou collectives, alimentant ou non des réseaux de chaleur. Ce combustible a diverses origines : forestière (forêt et sylviculture), bocagère ou agroforestière (haies, bosquets, vergers, etc.), paysagère (entretien des parcs et jardins, etc.), industrielle (sous-produits issus de la transformation du bois), déchet (bois fin de vie et bois déchet). </w:t>
      </w:r>
    </w:p>
    <w:p w14:paraId="506533BC" w14:textId="77777777" w:rsidR="00F51336" w:rsidRPr="00B83010" w:rsidRDefault="00F51336" w:rsidP="00F51336">
      <w:pPr>
        <w:pStyle w:val="BodyText"/>
        <w:rPr>
          <w:b/>
          <w:bCs/>
        </w:rPr>
      </w:pPr>
      <w:r>
        <w:t xml:space="preserve">La surface de forêt en France a doublé en 200 ans et aujourd’hui s’établit à 16,9 </w:t>
      </w:r>
      <w:proofErr w:type="spellStart"/>
      <w:r>
        <w:t>Mha</w:t>
      </w:r>
      <w:proofErr w:type="spellEnd"/>
      <w:r>
        <w:t xml:space="preserve"> soit environ 31% du territoire (4</w:t>
      </w:r>
      <w:r w:rsidRPr="00FC54B7">
        <w:rPr>
          <w:vertAlign w:val="superscript"/>
        </w:rPr>
        <w:t>ème</w:t>
      </w:r>
      <w:r>
        <w:t xml:space="preserve"> pays européen de couvert forestier) et continue de s’accroître par expansion naturelle à un rythme moyen de 85 000 ha/an par an depuis 1985.  </w:t>
      </w:r>
    </w:p>
    <w:p w14:paraId="557EA5B6" w14:textId="56B82CD4" w:rsidR="00F51336" w:rsidRDefault="00F51336" w:rsidP="00F51336">
      <w:pPr>
        <w:pStyle w:val="BodyText"/>
        <w:rPr>
          <w:highlight w:val="green"/>
        </w:rPr>
      </w:pPr>
      <w:r>
        <w:t xml:space="preserve">En </w:t>
      </w:r>
      <w:r w:rsidR="00EB7709">
        <w:t>H</w:t>
      </w:r>
      <w:r>
        <w:t>auts-de-France, l</w:t>
      </w:r>
      <w:r w:rsidRPr="009B25B6">
        <w:t xml:space="preserve">a forêt couvre 13 % de la surface </w:t>
      </w:r>
      <w:r>
        <w:t>du territoire. La région est donc moins couverte en surface forestière et l’exploitation de la ressource doit être durable. C</w:t>
      </w:r>
      <w:r w:rsidRPr="009B25B6">
        <w:t>omposée d’essences variées de feuillus (chênes, hêtres, frênes, peupliers</w:t>
      </w:r>
      <w:r>
        <w:t xml:space="preserve">, etc.) </w:t>
      </w:r>
      <w:r w:rsidRPr="009B25B6">
        <w:t xml:space="preserve">elle </w:t>
      </w:r>
      <w:r w:rsidR="005C2870">
        <w:t>fournit</w:t>
      </w:r>
      <w:r>
        <w:t xml:space="preserve"> à la région 46</w:t>
      </w:r>
      <w:r w:rsidR="00050419">
        <w:t> </w:t>
      </w:r>
      <w:r>
        <w:t xml:space="preserve">% des matières premières en bois-énergie. Si en 10 ans, la quantité de </w:t>
      </w:r>
      <w:r w:rsidRPr="009B25B6">
        <w:t>bois énergie a triplé</w:t>
      </w:r>
      <w:r>
        <w:rPr>
          <w:rStyle w:val="FootnoteReference"/>
        </w:rPr>
        <w:footnoteReference w:id="52"/>
      </w:r>
      <w:r>
        <w:t xml:space="preserve">, ¾ du couvert appartient aux acteurs privés qui ne disposent pas toujours d’une démarche de gestion durable. On compte 130 000 propriétaires privés en Hauts-de-France. </w:t>
      </w:r>
      <w:r w:rsidRPr="00924463">
        <w:t>La forêt privée est sous-exploitée et en situation de «</w:t>
      </w:r>
      <w:r>
        <w:t> </w:t>
      </w:r>
      <w:r w:rsidRPr="00924463">
        <w:t>surcapitalisation » de la biomasse</w:t>
      </w:r>
      <w:r>
        <w:t>. Selon les données</w:t>
      </w:r>
      <w:r>
        <w:rPr>
          <w:rStyle w:val="FootnoteReference"/>
        </w:rPr>
        <w:footnoteReference w:id="53"/>
      </w:r>
      <w:r>
        <w:t>, le taux de prélèvement en forêt actuel est de 60% avec environ 1 Mt (1,3 Mm</w:t>
      </w:r>
      <w:r w:rsidRPr="00DC2F52">
        <w:rPr>
          <w:vertAlign w:val="superscript"/>
        </w:rPr>
        <w:t>3</w:t>
      </w:r>
      <w:r>
        <w:t>/an) de bois vert pour l’usage de bois-énergie, ce prélèvement correspond à la demande actuelle. Or l</w:t>
      </w:r>
      <w:r w:rsidRPr="00DC2F52">
        <w:t>e Plan National de la Forêt et du Bois (PNFB)</w:t>
      </w:r>
      <w:r>
        <w:t xml:space="preserve"> souhaite que la région contribue à une mobilisation supplémentaire 250 000 m</w:t>
      </w:r>
      <w:r w:rsidRPr="00DC2F52">
        <w:rPr>
          <w:vertAlign w:val="superscript"/>
        </w:rPr>
        <w:t>3</w:t>
      </w:r>
      <w:r>
        <w:t xml:space="preserve"> de bois d’industrie et énergie. Un effort qui reviendrait à passer de 60% (niveau de prélèvement actuel) à 75%. Ce volume complémentaire de prélèvement se trouve dans les forêts privées qui ne disposent pas toujours de document de gestion. </w:t>
      </w:r>
    </w:p>
    <w:p w14:paraId="76A81EF7" w14:textId="17D1B60F" w:rsidR="00F51336" w:rsidRDefault="00526F9B" w:rsidP="00F51336">
      <w:pPr>
        <w:pStyle w:val="BodyText"/>
      </w:pPr>
      <w:r>
        <w:t>Sur le</w:t>
      </w:r>
      <w:r w:rsidR="005B78C7">
        <w:t xml:space="preserve"> plan national, la grande partie de la chaleur produite aujourd’hui est encore de source non renouvelable. Avant le relèvement des objectifs de réduction des GES à au moins 55%, les ambitions à l’horizon 2030 pour une réduction des GES de 32%, étaient de 38%. Au niveau régional, l</w:t>
      </w:r>
      <w:r w:rsidR="00F51336">
        <w:t xml:space="preserve">e bois énergie est </w:t>
      </w:r>
      <w:r w:rsidR="005B78C7">
        <w:t xml:space="preserve">donc </w:t>
      </w:r>
      <w:r w:rsidR="00F51336">
        <w:t xml:space="preserve">une filière stratégique en hauts-de-France avec une politique volontariste traduite dans les documents stratégiques. La filière régionale forêt bois, en partenariat avec la Région, a produit un Master Plan pour la filière Forêt Bois dont une des priorités porte sur le développement de la filière bois énergie. Le développement de la filière est donc au cœur des actions de la Région à travers les instruments financiers existants qui sont complétés par l’ADEME pour l’accompagnement de l’ensemble des acteurs la filière. L’ADEME a investi environ </w:t>
      </w:r>
      <w:r w:rsidR="00F51336" w:rsidRPr="00951709">
        <w:t>3 M€</w:t>
      </w:r>
      <w:r w:rsidR="00F51336">
        <w:rPr>
          <w:b/>
          <w:bCs/>
        </w:rPr>
        <w:t xml:space="preserve"> </w:t>
      </w:r>
      <w:r w:rsidR="00F51336" w:rsidRPr="00B32010">
        <w:t xml:space="preserve">dans </w:t>
      </w:r>
      <w:r w:rsidR="00F51336">
        <w:t xml:space="preserve">pour la structuration et l’équipement des acteurs de la filière. Ces investissements ont permis d’améliorer la performance de la chaine de mobilisation du bois et d’approvisionnement des chaufferies. </w:t>
      </w:r>
    </w:p>
    <w:p w14:paraId="118917DF" w14:textId="044E5840" w:rsidR="00F51336" w:rsidRDefault="00F51336" w:rsidP="00F51336">
      <w:pPr>
        <w:pStyle w:val="BodyText"/>
      </w:pPr>
      <w:r>
        <w:t>Hormis les conditions économiques peu favorables (hiver doux, prix du gaz)) qui n</w:t>
      </w:r>
      <w:r w:rsidR="005C2870">
        <w:t xml:space="preserve">’offrent une bonne </w:t>
      </w:r>
      <w:r>
        <w:t xml:space="preserve">conjoncture économique </w:t>
      </w:r>
      <w:r w:rsidR="005C2870">
        <w:t>à la</w:t>
      </w:r>
      <w:r>
        <w:t xml:space="preserve"> filière (faible consommation des chaufferies, peu de nouvelles installations de chaufferies), la </w:t>
      </w:r>
      <w:r w:rsidRPr="00C0576D">
        <w:rPr>
          <w:b/>
        </w:rPr>
        <w:t>question de la mobilisation de la ressource privée est l’un des principaux freins</w:t>
      </w:r>
      <w:r>
        <w:t xml:space="preserve">. Les actions </w:t>
      </w:r>
      <w:r w:rsidRPr="00C0576D">
        <w:rPr>
          <w:b/>
        </w:rPr>
        <w:t>d’animation</w:t>
      </w:r>
      <w:r>
        <w:t xml:space="preserve"> et de </w:t>
      </w:r>
      <w:r w:rsidRPr="00C0576D">
        <w:rPr>
          <w:b/>
        </w:rPr>
        <w:t>communication</w:t>
      </w:r>
      <w:r>
        <w:t xml:space="preserve"> doivent s’intensifier pour plus mobiliser les propriétaires dont les forêts ne sont pas gérées. L’AMI « Dynamic Bois » à travers les 4 projets accompagnés en Hauts-de-France, a montré son importance pour faire émerger des projets territoriaux et collaboratifs qui permettent de mettre en œuvre des actions innovantes et structurantes de mobilisation de bois pour les chaufferies du Fonds Chaleur et pour les autres filières utilisatrices, tout en améliorant la qualité des peuplements forestiers. Cette expérience pourrait servir d’exemple pour poursuivre l’animation de la filière. </w:t>
      </w:r>
    </w:p>
    <w:p w14:paraId="2D7BD082" w14:textId="77777777" w:rsidR="00DD2255" w:rsidRDefault="00DD2255" w:rsidP="00DE1DBA">
      <w:pPr>
        <w:pStyle w:val="Heading4"/>
      </w:pPr>
      <w:r>
        <w:t>Réseau de chaleur et de froid</w:t>
      </w:r>
    </w:p>
    <w:p w14:paraId="01FAD303" w14:textId="77777777" w:rsidR="00DD2255" w:rsidRDefault="00DD2255" w:rsidP="00DD2255">
      <w:pPr>
        <w:pStyle w:val="BodyText"/>
      </w:pPr>
      <w:r>
        <w:t xml:space="preserve">Les réseaux de chaleur et de froid permettent de mobiliser massivement les sources renouvelables locales : (géothermie profonde, biomasse de grande puissance, chaleur de récupération et chaleur fatale, chaleur de solaire thermique, etc.). </w:t>
      </w:r>
    </w:p>
    <w:p w14:paraId="0E7DCE05" w14:textId="77777777" w:rsidR="00DD2255" w:rsidRDefault="00DD2255" w:rsidP="00DD2255">
      <w:pPr>
        <w:pStyle w:val="BodyText"/>
      </w:pPr>
      <w:r w:rsidRPr="000D1800">
        <w:t xml:space="preserve">La construction, l’extension et la densification de </w:t>
      </w:r>
      <w:r>
        <w:t xml:space="preserve">ces </w:t>
      </w:r>
      <w:r w:rsidRPr="000D1800">
        <w:t>réseaux</w:t>
      </w:r>
      <w:r>
        <w:t xml:space="preserve"> « vertueux »</w:t>
      </w:r>
      <w:r>
        <w:rPr>
          <w:rStyle w:val="FootnoteReference"/>
        </w:rPr>
        <w:footnoteReference w:id="54"/>
      </w:r>
      <w:r w:rsidRPr="000D1800">
        <w:t xml:space="preserve"> </w:t>
      </w:r>
      <w:r>
        <w:t>favorisent la valorisation des ressources locales variées. En 2017, 56 % de la chaleur produite est d’origine renouvelable ou récupérable</w:t>
      </w:r>
      <w:r>
        <w:rPr>
          <w:rStyle w:val="FootnoteReference"/>
        </w:rPr>
        <w:footnoteReference w:id="55"/>
      </w:r>
      <w:r>
        <w:t xml:space="preserve"> et les réseaux de chaleur (de froid) ont permis de livrer 25 TWh (1 TWh) d’énergie calorifique. </w:t>
      </w:r>
    </w:p>
    <w:p w14:paraId="0B554494" w14:textId="77777777" w:rsidR="00DD2255" w:rsidRDefault="00DD2255" w:rsidP="00DD2255">
      <w:pPr>
        <w:pStyle w:val="BodyText"/>
      </w:pPr>
      <w:r w:rsidRPr="00052C56">
        <w:t xml:space="preserve">En France, </w:t>
      </w:r>
      <w:r>
        <w:t>les infrastructures de chauffage et de froid collectifs appartiennent majoritairement aux collectivités publiques qui en délèguent la gestion et l’exploitation aux acteurs privés</w:t>
      </w:r>
      <w:r>
        <w:rPr>
          <w:rStyle w:val="FootnoteReference"/>
        </w:rPr>
        <w:footnoteReference w:id="56"/>
      </w:r>
      <w:r>
        <w:t>. Selon l’ADEME</w:t>
      </w:r>
      <w:r>
        <w:rPr>
          <w:rStyle w:val="FootnoteReference"/>
        </w:rPr>
        <w:footnoteReference w:id="57"/>
      </w:r>
      <w:r>
        <w:t xml:space="preserve">, les recettes issues </w:t>
      </w:r>
      <w:r w:rsidRPr="00052C56">
        <w:t>de ventes de chaleur ou de froid</w:t>
      </w:r>
      <w:r>
        <w:t xml:space="preserve"> couvrent 85 % des charges (60% pour l'achat d’énergie et de combustibles et 25% pour les charges de maintenance). </w:t>
      </w:r>
    </w:p>
    <w:p w14:paraId="61349311" w14:textId="62C4B2EF" w:rsidR="00DD2255" w:rsidRDefault="00DD2255" w:rsidP="00DD2255">
      <w:pPr>
        <w:pStyle w:val="BodyText"/>
      </w:pPr>
      <w:r>
        <w:t>Le taux de raccordement aux réseaux de chaleur en Hauts-de-France (comme la moyenne française) est de l’ordre de 6 % (1</w:t>
      </w:r>
      <w:r w:rsidR="00A623E9">
        <w:t>,5</w:t>
      </w:r>
      <w:r>
        <w:t xml:space="preserve"> </w:t>
      </w:r>
      <w:r w:rsidR="00784DF3">
        <w:t>T</w:t>
      </w:r>
      <w:r>
        <w:t>Wh).  Les orientations stratégiques prévoient d’atteindre 2</w:t>
      </w:r>
      <w:r w:rsidR="00784DF3">
        <w:t>,</w:t>
      </w:r>
      <w:r>
        <w:t xml:space="preserve">5 </w:t>
      </w:r>
      <w:r w:rsidR="00784DF3">
        <w:t>T</w:t>
      </w:r>
      <w:r>
        <w:t>Wh et 2</w:t>
      </w:r>
      <w:r w:rsidR="00784DF3">
        <w:t>,</w:t>
      </w:r>
      <w:r>
        <w:t>8</w:t>
      </w:r>
      <w:r w:rsidR="00784DF3">
        <w:t xml:space="preserve"> T</w:t>
      </w:r>
      <w:r>
        <w:t xml:space="preserve">Wh en 2026 et 2031. Les ambitions derrière ces objectifs sont de i) convertir l’ensemble des chaufferies de réseaux de chaleur urbain existantes aux </w:t>
      </w:r>
      <w:proofErr w:type="spellStart"/>
      <w:r>
        <w:t>EnR&amp;R</w:t>
      </w:r>
      <w:proofErr w:type="spellEnd"/>
      <w:r>
        <w:t xml:space="preserve"> (incinération des déchets, Combustibles Solides de Récupération, bois-énergie, biogaz, solaire thermique, énergie fatale, géothermie) ; ii) développer les réseaux de chaleur et de froid en connectant 100 000 équivalents logements supplémentaires à des réseaux de chaleur utilisant des énergies renouvelables (bois, valorisation énergétique des déchets, énergie fatale).</w:t>
      </w:r>
    </w:p>
    <w:p w14:paraId="0B9481BA" w14:textId="2481D125" w:rsidR="00DD2255" w:rsidRDefault="00DD2255" w:rsidP="00DD2255">
      <w:pPr>
        <w:pStyle w:val="BodyText"/>
      </w:pPr>
      <w:r>
        <w:t xml:space="preserve">Les coûts d’investissement (CAPEX) moyens des projets de création de réseaux de chaleur résidentiel tertiaire varient entre 3 et 16 €/MWh et les charges d’exploitation et maintenance (OPEX) liées à la distribution primaire sont varient entre 7 et 11 €/MWh, ce qui conduit à </w:t>
      </w:r>
      <w:r w:rsidR="00AD5EE3">
        <w:t xml:space="preserve">un </w:t>
      </w:r>
      <w:r>
        <w:t xml:space="preserve">coût moyen </w:t>
      </w:r>
      <w:r w:rsidR="00AD5EE3">
        <w:t>annualisé et actualisé (LCOH) de la distribution primaire de chaleur à destination compris entre 10 et 27</w:t>
      </w:r>
      <w:r>
        <w:t xml:space="preserve"> €/MWh </w:t>
      </w:r>
      <w:r w:rsidR="00AD5EE3">
        <w:t>avec une médiane à 19 €/MWh</w:t>
      </w:r>
      <w:r w:rsidR="00B654DE">
        <w:t xml:space="preserve"> et un </w:t>
      </w:r>
      <w:r>
        <w:t>coût complet moyen 76</w:t>
      </w:r>
      <w:r w:rsidR="00B654DE">
        <w:t> </w:t>
      </w:r>
      <w:r>
        <w:t>€/MWh (</w:t>
      </w:r>
      <w:r w:rsidR="00BD715C">
        <w:t xml:space="preserve">production inclue et </w:t>
      </w:r>
      <w:r>
        <w:t>hors subventions)</w:t>
      </w:r>
      <w:r>
        <w:rPr>
          <w:rStyle w:val="FootnoteReference"/>
        </w:rPr>
        <w:footnoteReference w:id="58"/>
      </w:r>
      <w:r>
        <w:t xml:space="preserve">. </w:t>
      </w:r>
    </w:p>
    <w:p w14:paraId="5B417FEE" w14:textId="654E1172" w:rsidR="00DD2255" w:rsidRDefault="00DD2255" w:rsidP="00DD2255">
      <w:pPr>
        <w:pStyle w:val="BodyText"/>
        <w:rPr>
          <w:b/>
          <w:bCs/>
        </w:rPr>
      </w:pPr>
      <w:r>
        <w:t xml:space="preserve">Sur la base de ces données nous estimons donc que pour atteindre les objectifs prévus dans les documents stratégiques, il faudrait prévoir à l’horizon 2026 et 2031, respectivement </w:t>
      </w:r>
      <w:r w:rsidRPr="00AD7445">
        <w:rPr>
          <w:b/>
          <w:bCs/>
        </w:rPr>
        <w:t>73 M€</w:t>
      </w:r>
      <w:r>
        <w:t xml:space="preserve"> et </w:t>
      </w:r>
      <w:r w:rsidRPr="00AD7445">
        <w:rPr>
          <w:b/>
          <w:bCs/>
        </w:rPr>
        <w:t>100 M€</w:t>
      </w:r>
      <w:r>
        <w:rPr>
          <w:b/>
          <w:bCs/>
        </w:rPr>
        <w:t xml:space="preserve"> </w:t>
      </w:r>
      <w:r w:rsidRPr="00AD7445">
        <w:t>d’investissements.</w:t>
      </w:r>
      <w:r>
        <w:rPr>
          <w:b/>
          <w:bCs/>
        </w:rPr>
        <w:t xml:space="preserve"> </w:t>
      </w:r>
    </w:p>
    <w:p w14:paraId="068E54C6" w14:textId="2003F5B7" w:rsidR="00D75F95" w:rsidRDefault="00DD2255" w:rsidP="00D75F95">
      <w:pPr>
        <w:pStyle w:val="BodyText"/>
      </w:pPr>
      <w:r w:rsidRPr="00AD7445">
        <w:t xml:space="preserve">Il est à préciser que </w:t>
      </w:r>
      <w:r>
        <w:t xml:space="preserve">depuis 2009, le développement des réseaux de chaleur « vertueux » s’appuie essentiellement sur les subventions accordées par le Fonds le Chaleur. Ces subventions couvrent les charges liées à la </w:t>
      </w:r>
      <w:r w:rsidRPr="00AD7445">
        <w:t>production et la distribution</w:t>
      </w:r>
      <w:r>
        <w:t xml:space="preserve">. Par ailleurs qu’une réduction de la TVA s’applique également aux abonnements. Ces mécanismes ont pour but de favoriser la compétitivité des réseaux de chaleur « vertueux » face aux autres modes de chauffage, gaz notamment. La question de la compétitivité à long terme est le principal frein au développement des réseaux « vertueux ». </w:t>
      </w:r>
      <w:r w:rsidR="006C4976">
        <w:t xml:space="preserve">Par ailleurs, </w:t>
      </w:r>
      <w:r w:rsidR="00D75F95">
        <w:t xml:space="preserve">un besoin en garantie sur la chaleur fatale </w:t>
      </w:r>
      <w:r w:rsidR="002B1D9E">
        <w:t xml:space="preserve">a été évoqué par des acteurs de l’écosystème régional. </w:t>
      </w:r>
      <w:r w:rsidR="003D5627">
        <w:t xml:space="preserve">Rappelons qu’en 2017, une étude </w:t>
      </w:r>
      <w:r w:rsidR="00214490" w:rsidRPr="00214490">
        <w:t>sur la mise en place d’un fonds de garantie des risques industriels pour la valorisation des énergies fatales</w:t>
      </w:r>
      <w:r w:rsidR="00214490">
        <w:t xml:space="preserve"> </w:t>
      </w:r>
      <w:r w:rsidR="003D5627">
        <w:t xml:space="preserve">avait déjà conclu </w:t>
      </w:r>
      <w:r w:rsidR="00D4796B">
        <w:t xml:space="preserve">à une </w:t>
      </w:r>
      <w:r w:rsidR="00214490">
        <w:t xml:space="preserve">non-faisabilité au niveau régional. </w:t>
      </w:r>
      <w:r w:rsidR="002B1D9E">
        <w:t xml:space="preserve">Ce besoin est </w:t>
      </w:r>
      <w:r w:rsidR="0004778B">
        <w:t>à</w:t>
      </w:r>
      <w:r w:rsidR="002B1D9E">
        <w:t xml:space="preserve"> </w:t>
      </w:r>
      <w:r w:rsidR="00BE7E14">
        <w:t xml:space="preserve">préciser/confirmer. </w:t>
      </w:r>
    </w:p>
    <w:p w14:paraId="0EBDC44B" w14:textId="729C965B" w:rsidR="00085BAC" w:rsidRDefault="00085BAC" w:rsidP="00A6778E">
      <w:pPr>
        <w:pStyle w:val="Caption"/>
        <w:keepLines/>
        <w:widowControl w:val="0"/>
      </w:pPr>
      <w:r>
        <w:t xml:space="preserve">Encadré </w:t>
      </w:r>
      <w:r>
        <w:fldChar w:fldCharType="begin"/>
      </w:r>
      <w:r>
        <w:instrText xml:space="preserve"> SEQ Encadré \* ARABIC </w:instrText>
      </w:r>
      <w:r>
        <w:fldChar w:fldCharType="separate"/>
      </w:r>
      <w:r w:rsidR="009F0282">
        <w:rPr>
          <w:noProof/>
        </w:rPr>
        <w:t>31</w:t>
      </w:r>
      <w:r>
        <w:fldChar w:fldCharType="end"/>
      </w:r>
      <w:r>
        <w:t xml:space="preserve"> </w:t>
      </w:r>
      <w:r w:rsidRPr="002C3088">
        <w:t>Focus sur l’énergie fatale, une filière porteuse en Hauts-de-France</w:t>
      </w:r>
    </w:p>
    <w:tbl>
      <w:tblPr>
        <w:tblStyle w:val="TableGrid"/>
        <w:tblW w:w="9209" w:type="dxa"/>
        <w:tblLook w:val="04A0" w:firstRow="1" w:lastRow="0" w:firstColumn="1" w:lastColumn="0" w:noHBand="0" w:noVBand="1"/>
      </w:tblPr>
      <w:tblGrid>
        <w:gridCol w:w="9209"/>
      </w:tblGrid>
      <w:tr w:rsidR="00085BAC" w14:paraId="007C1637" w14:textId="77777777" w:rsidTr="00924D09">
        <w:tc>
          <w:tcPr>
            <w:tcW w:w="9209"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21202506" w14:textId="77777777" w:rsidR="00085BAC" w:rsidRPr="00AB2DAE" w:rsidRDefault="00085BAC" w:rsidP="00A6778E">
            <w:pPr>
              <w:pStyle w:val="BodyText"/>
              <w:keepNext/>
              <w:keepLines/>
              <w:widowControl w:val="0"/>
              <w:rPr>
                <w:sz w:val="16"/>
              </w:rPr>
            </w:pPr>
            <w:r w:rsidRPr="00AB2DAE">
              <w:rPr>
                <w:sz w:val="16"/>
              </w:rPr>
              <w:t>Certains processus de production industrielle consomment beaucoup de chaleur (sidérurgie, cimenterie, raffinerie, papèterie, etc.). On considère que seul 35 à 40 % de l’énergie consommée est utilisée pour le procédé de fabrication et que plus de 60 % de l’énergie est “perdue”. Mais une partie de cette chaleur non utilisée peut être récupérée et servir d’autres desseins, on parle de récupération de la chaleur fatale.</w:t>
            </w:r>
          </w:p>
          <w:p w14:paraId="69391E5C" w14:textId="77777777" w:rsidR="00085BAC" w:rsidRPr="00AB2DAE" w:rsidRDefault="00085BAC" w:rsidP="00A6778E">
            <w:pPr>
              <w:pStyle w:val="BodyText"/>
              <w:keepNext/>
              <w:keepLines/>
              <w:widowControl w:val="0"/>
              <w:rPr>
                <w:sz w:val="16"/>
              </w:rPr>
            </w:pPr>
            <w:r w:rsidRPr="00AB2DAE">
              <w:rPr>
                <w:sz w:val="16"/>
              </w:rPr>
              <w:t>Cette récupération de chaleur peut servir en interne, c’est-à-dire à l’usage propre de l’entreprise et rester dans un circuit fermé, ou avoir une valorisation externe et servir à d’autres industriels ou à un territoire, via un réseau permettant la distribution de la chaleur aux usagers. Si les températures de la chaleur récupérée le permettent, elle peut aussi, éventuellement, servir à fabriquer de l’électricité.</w:t>
            </w:r>
          </w:p>
          <w:p w14:paraId="4F4E9EB1" w14:textId="1813755E" w:rsidR="00085BAC" w:rsidRPr="00DD48F6" w:rsidRDefault="00085BAC" w:rsidP="00A6778E">
            <w:pPr>
              <w:pStyle w:val="BodyText"/>
              <w:keepNext/>
              <w:keepLines/>
              <w:widowControl w:val="0"/>
              <w:rPr>
                <w:sz w:val="16"/>
              </w:rPr>
            </w:pPr>
            <w:r w:rsidRPr="00AB2DAE">
              <w:rPr>
                <w:sz w:val="16"/>
              </w:rPr>
              <w:t>La région des Hauts-de-France est particulièrement concernée par cette énergie de récupération du fait d’une activité industrielle encore très présente sur certains secteurs et d’un potentiel de récupération de ces gisements de chaleur fatale important</w:t>
            </w:r>
            <w:r w:rsidRPr="00DD48F6">
              <w:rPr>
                <w:sz w:val="16"/>
              </w:rPr>
              <w:t>. Deux projets sont en cours de développement : la déchetterie d’Halluin qui livrera son énergie à la Métropole de Lille, le prolongement des réseaux de chaleur issue des fourneaux d’Arcelor Mittal à 3 000 logements de Grande-Synthe.</w:t>
            </w:r>
            <w:r w:rsidR="00BA7FF3">
              <w:rPr>
                <w:sz w:val="16"/>
              </w:rPr>
              <w:t xml:space="preserve"> </w:t>
            </w:r>
            <w:r w:rsidR="00BA7FF3" w:rsidRPr="00DD48F6">
              <w:rPr>
                <w:sz w:val="16"/>
              </w:rPr>
              <w:t>Au niveau national les projets peuvent être financé par le fonds Chaleurs Renouvelables de l’ADEME.</w:t>
            </w:r>
          </w:p>
          <w:p w14:paraId="11509CC7" w14:textId="77777777" w:rsidR="0029439C" w:rsidRPr="0029439C" w:rsidRDefault="0029439C" w:rsidP="0029439C">
            <w:pPr>
              <w:pStyle w:val="BodyText"/>
              <w:keepNext/>
              <w:keepLines/>
              <w:widowControl w:val="0"/>
              <w:rPr>
                <w:sz w:val="16"/>
              </w:rPr>
            </w:pPr>
            <w:r w:rsidRPr="0029439C">
              <w:rPr>
                <w:sz w:val="16"/>
              </w:rPr>
              <w:t xml:space="preserve">En 2017 une étude a été conduite par le groupement </w:t>
            </w:r>
            <w:proofErr w:type="spellStart"/>
            <w:r w:rsidRPr="0029439C">
              <w:rPr>
                <w:sz w:val="16"/>
              </w:rPr>
              <w:t>Ferest</w:t>
            </w:r>
            <w:proofErr w:type="spellEnd"/>
            <w:r w:rsidRPr="0029439C">
              <w:rPr>
                <w:sz w:val="16"/>
              </w:rPr>
              <w:t xml:space="preserve"> </w:t>
            </w:r>
            <w:proofErr w:type="spellStart"/>
            <w:r w:rsidRPr="0029439C">
              <w:rPr>
                <w:sz w:val="16"/>
              </w:rPr>
              <w:t>Ing</w:t>
            </w:r>
            <w:proofErr w:type="spellEnd"/>
            <w:r w:rsidRPr="0029439C">
              <w:rPr>
                <w:sz w:val="16"/>
              </w:rPr>
              <w:t xml:space="preserve">. – Finance Consult – </w:t>
            </w:r>
            <w:proofErr w:type="spellStart"/>
            <w:r w:rsidRPr="0029439C">
              <w:rPr>
                <w:sz w:val="16"/>
              </w:rPr>
              <w:t>Lucitech</w:t>
            </w:r>
            <w:proofErr w:type="spellEnd"/>
            <w:r w:rsidRPr="0029439C">
              <w:rPr>
                <w:sz w:val="16"/>
              </w:rPr>
              <w:t xml:space="preserve"> – Technopolis - </w:t>
            </w:r>
            <w:proofErr w:type="spellStart"/>
            <w:r w:rsidRPr="0029439C">
              <w:rPr>
                <w:sz w:val="16"/>
              </w:rPr>
              <w:t>Cvs</w:t>
            </w:r>
            <w:proofErr w:type="spellEnd"/>
            <w:r w:rsidRPr="0029439C">
              <w:rPr>
                <w:sz w:val="16"/>
              </w:rPr>
              <w:t xml:space="preserve"> sur la mise en place d’un fonds de garantie des risques industriels pour la valorisation des énergies fatales. </w:t>
            </w:r>
          </w:p>
          <w:p w14:paraId="162ABC07" w14:textId="3B689802" w:rsidR="00085BAC" w:rsidRPr="0029439C" w:rsidRDefault="0029439C" w:rsidP="00A6778E">
            <w:pPr>
              <w:pStyle w:val="BodyText"/>
              <w:keepNext/>
              <w:keepLines/>
              <w:widowControl w:val="0"/>
              <w:rPr>
                <w:sz w:val="16"/>
              </w:rPr>
            </w:pPr>
            <w:r w:rsidRPr="0029439C">
              <w:rPr>
                <w:sz w:val="16"/>
              </w:rPr>
              <w:t xml:space="preserve">Selon cette étude le gisement national de chaleur fatale pouvant être valorisé est de l’ordre de 14,9 TWh pour un investissement de l’ordre de 784 M€.HT. Mais l’étude avait conclu que </w:t>
            </w:r>
            <w:r w:rsidRPr="00A77000">
              <w:rPr>
                <w:b/>
                <w:sz w:val="16"/>
              </w:rPr>
              <w:t>la masse critique de projets cotisants au Fonds de Garantie ne sera atteinte qu’à l’échelon national et non régional</w:t>
            </w:r>
            <w:r w:rsidRPr="0029439C">
              <w:rPr>
                <w:sz w:val="16"/>
              </w:rPr>
              <w:t xml:space="preserve">. De plus, elle a montré que le fonds de Garantie devrait être élargi à l’ensemble des projets </w:t>
            </w:r>
            <w:proofErr w:type="spellStart"/>
            <w:r w:rsidRPr="0029439C">
              <w:rPr>
                <w:sz w:val="16"/>
              </w:rPr>
              <w:t>EnR</w:t>
            </w:r>
            <w:proofErr w:type="spellEnd"/>
            <w:r w:rsidRPr="0029439C">
              <w:rPr>
                <w:sz w:val="16"/>
              </w:rPr>
              <w:t>.</w:t>
            </w:r>
          </w:p>
        </w:tc>
      </w:tr>
    </w:tbl>
    <w:p w14:paraId="504C008B" w14:textId="77777777" w:rsidR="00085BAC" w:rsidRDefault="00085BAC" w:rsidP="00D75F95">
      <w:pPr>
        <w:pStyle w:val="BodyText"/>
      </w:pPr>
    </w:p>
    <w:p w14:paraId="6EB0ED1A" w14:textId="77777777" w:rsidR="00FB0CA4" w:rsidRDefault="00FB0CA4" w:rsidP="00DE1DBA">
      <w:pPr>
        <w:pStyle w:val="Heading4"/>
      </w:pPr>
      <w:r>
        <w:t>Géothermie</w:t>
      </w:r>
    </w:p>
    <w:p w14:paraId="1484E5C6" w14:textId="77777777" w:rsidR="00FB0CA4" w:rsidRDefault="00FB0CA4" w:rsidP="00FB0CA4">
      <w:pPr>
        <w:pStyle w:val="BodyText"/>
      </w:pPr>
      <w:r>
        <w:t>L’énergie issue de la géothermie présente l’avantage d’être disponible abondamment. On distingue :</w:t>
      </w:r>
    </w:p>
    <w:p w14:paraId="496FA2FD" w14:textId="77777777" w:rsidR="00FB0CA4" w:rsidRDefault="00FB0CA4" w:rsidP="00FB0CA4">
      <w:pPr>
        <w:pStyle w:val="Bullet1"/>
      </w:pPr>
      <w:r>
        <w:t>la géothermie très basse énergie qui concerne l’énergie du sous-sol peu profond (de 200 à 400 m selon les pays). L’énergie est prélevée grâce aux pompes à chaleur aux fins de chauffage et de refroidissement de bâtiments et la production d’eau chaude sanitaire.</w:t>
      </w:r>
    </w:p>
    <w:p w14:paraId="5ACC9761" w14:textId="0F3CE577" w:rsidR="00FB0CA4" w:rsidRPr="00FB0CA4" w:rsidRDefault="003576F0" w:rsidP="00FB0CA4">
      <w:pPr>
        <w:pStyle w:val="Bullet1"/>
      </w:pPr>
      <w:r>
        <w:t>l</w:t>
      </w:r>
      <w:r w:rsidR="00FB0CA4">
        <w:t>a géothermie profonde qui concerne les formations géologiques renfermant des aquifères dont l’eau s’est réchauffée en profondeur au contact des roches (</w:t>
      </w:r>
      <w:r w:rsidR="00FB0CA4" w:rsidRPr="00694B7F">
        <w:t xml:space="preserve">500 et 2 500 m de </w:t>
      </w:r>
      <w:r w:rsidR="00FB0CA4" w:rsidRPr="00FB0CA4">
        <w:t>profondeur). Les ressources sont utilisées pour la production de chaleur et d’électricité.</w:t>
      </w:r>
    </w:p>
    <w:p w14:paraId="75D84B69" w14:textId="45B77643" w:rsidR="00FB0CA4" w:rsidRPr="00FB0CA4" w:rsidRDefault="003576F0" w:rsidP="00FB0CA4">
      <w:pPr>
        <w:pStyle w:val="Bullet1"/>
      </w:pPr>
      <w:r>
        <w:t>u</w:t>
      </w:r>
      <w:r w:rsidR="00FB0CA4" w:rsidRPr="00FB0CA4">
        <w:t>ne forme récente de géothermie (</w:t>
      </w:r>
      <w:proofErr w:type="spellStart"/>
      <w:r w:rsidR="00FB0CA4" w:rsidRPr="00FB0CA4">
        <w:t>Enhanced</w:t>
      </w:r>
      <w:proofErr w:type="spellEnd"/>
      <w:r w:rsidR="00FB0CA4" w:rsidRPr="00FB0CA4">
        <w:t xml:space="preserve"> </w:t>
      </w:r>
      <w:proofErr w:type="spellStart"/>
      <w:r w:rsidR="00FB0CA4" w:rsidRPr="00FB0CA4">
        <w:t>Geothermal</w:t>
      </w:r>
      <w:proofErr w:type="spellEnd"/>
      <w:r w:rsidR="00FB0CA4" w:rsidRPr="00FB0CA4">
        <w:t xml:space="preserve"> System) utilise la technologie des centrales binaires. La technologie est encore en phase de développement (la France est pionnière) et les perspectives de développement sont importantes. </w:t>
      </w:r>
    </w:p>
    <w:p w14:paraId="6453AF1D" w14:textId="404454BA" w:rsidR="00FB0CA4" w:rsidRDefault="00FB0CA4" w:rsidP="00FB0CA4">
      <w:pPr>
        <w:pStyle w:val="BodyText"/>
        <w:rPr>
          <w:b/>
          <w:bCs/>
        </w:rPr>
      </w:pPr>
      <w:r>
        <w:t>En région, les objectifs de production d’énergie de source géothermique portent sur la g</w:t>
      </w:r>
      <w:r w:rsidRPr="001A6630">
        <w:t>éothermie basse température</w:t>
      </w:r>
      <w:r>
        <w:t xml:space="preserve"> : </w:t>
      </w:r>
      <w:r w:rsidRPr="001A6630">
        <w:t>528</w:t>
      </w:r>
      <w:r>
        <w:t xml:space="preserve"> GWh en 2026 et </w:t>
      </w:r>
      <w:r w:rsidRPr="001A6630">
        <w:t>1029</w:t>
      </w:r>
      <w:r>
        <w:t xml:space="preserve"> GWh en 2031. Selon les données</w:t>
      </w:r>
      <w:r>
        <w:rPr>
          <w:rStyle w:val="FootnoteReference"/>
        </w:rPr>
        <w:footnoteReference w:id="59"/>
      </w:r>
      <w:r>
        <w:t xml:space="preserve"> de 2019, la production de chaleur géothermique inférieure à 40 GWh.  En supposant une production sans intermittence avec une production stable pendant 8000 heures/an et un dimensionnement à 50% </w:t>
      </w:r>
      <w:r w:rsidRPr="00E13C73">
        <w:t>de la puissance maximale</w:t>
      </w:r>
      <w:r>
        <w:t xml:space="preserve">, on estime qu’il faudrait respectivement </w:t>
      </w:r>
      <w:r w:rsidRPr="00E13C73">
        <w:t>31</w:t>
      </w:r>
      <w:r w:rsidR="00BC50D3">
        <w:t> </w:t>
      </w:r>
      <w:r>
        <w:t>MW</w:t>
      </w:r>
      <w:r w:rsidRPr="00E13C73">
        <w:tab/>
      </w:r>
      <w:r>
        <w:t xml:space="preserve">et </w:t>
      </w:r>
      <w:r w:rsidRPr="00E13C73">
        <w:t xml:space="preserve">62 </w:t>
      </w:r>
      <w:r>
        <w:t>MW de nouvelles capacités installées respectivement en 2026 et 2031</w:t>
      </w:r>
      <w:r>
        <w:rPr>
          <w:rStyle w:val="FootnoteReference"/>
        </w:rPr>
        <w:footnoteReference w:id="60"/>
      </w:r>
      <w:r>
        <w:t xml:space="preserve">. En se basant sur l’exemple du projet </w:t>
      </w:r>
      <w:r w:rsidRPr="00E13C73">
        <w:t>PLACO SEFALOG</w:t>
      </w:r>
      <w:r>
        <w:t xml:space="preserve"> réalisé dans le contexte français</w:t>
      </w:r>
      <w:r>
        <w:rPr>
          <w:rStyle w:val="FootnoteReference"/>
        </w:rPr>
        <w:footnoteReference w:id="61"/>
      </w:r>
      <w:r>
        <w:t>, nous formulons l’hypothèse que 1</w:t>
      </w:r>
      <w:r w:rsidR="00A279C9">
        <w:t> </w:t>
      </w:r>
      <w:r>
        <w:t>MW demande un c</w:t>
      </w:r>
      <w:r w:rsidRPr="00E13C73">
        <w:t>oût total du système géothermique</w:t>
      </w:r>
      <w:r>
        <w:t xml:space="preserve"> de 1,75 M€. Les investissements nécessaires seraient donc de l’ordre </w:t>
      </w:r>
      <w:r w:rsidRPr="00A03E02">
        <w:rPr>
          <w:b/>
          <w:bCs/>
        </w:rPr>
        <w:t>55 M€</w:t>
      </w:r>
      <w:r>
        <w:rPr>
          <w:b/>
          <w:bCs/>
        </w:rPr>
        <w:t xml:space="preserve"> à l’horizon 2026 et </w:t>
      </w:r>
      <w:r w:rsidRPr="00A03E02">
        <w:rPr>
          <w:b/>
          <w:bCs/>
        </w:rPr>
        <w:t>109</w:t>
      </w:r>
      <w:r w:rsidR="008F4F70">
        <w:rPr>
          <w:b/>
          <w:bCs/>
        </w:rPr>
        <w:t> </w:t>
      </w:r>
      <w:r>
        <w:rPr>
          <w:b/>
          <w:bCs/>
        </w:rPr>
        <w:t xml:space="preserve">M€ (2031). </w:t>
      </w:r>
    </w:p>
    <w:p w14:paraId="6E3A2253" w14:textId="0AE41128" w:rsidR="00F935FF" w:rsidRDefault="00FB0CA4" w:rsidP="00F935FF">
      <w:pPr>
        <w:pStyle w:val="BodyText"/>
      </w:pPr>
      <w:r w:rsidRPr="00B72E40">
        <w:t xml:space="preserve">Compte tenu du coût des investissements sous-sol, </w:t>
      </w:r>
      <w:r>
        <w:t xml:space="preserve">l’ADEME apporte des subventions pour couvrir une partie des investissements. Le fonds </w:t>
      </w:r>
      <w:r w:rsidRPr="00A03E02">
        <w:t>GEODEEP</w:t>
      </w:r>
      <w:r>
        <w:t xml:space="preserve"> intervient uniquement sur les projets de géothermie profonde pour sécuriser </w:t>
      </w:r>
      <w:r w:rsidRPr="00A03E02">
        <w:t>le risque financier pris par les industriels</w:t>
      </w:r>
      <w:r>
        <w:t xml:space="preserve"> mais n’intervient pas sur la g</w:t>
      </w:r>
      <w:r w:rsidRPr="00A03E02">
        <w:t>éothermie basse température</w:t>
      </w:r>
      <w:r>
        <w:t xml:space="preserve">. </w:t>
      </w:r>
      <w:r w:rsidR="005B7653">
        <w:t xml:space="preserve">Le </w:t>
      </w:r>
      <w:r w:rsidR="000A49F7">
        <w:t>fonds</w:t>
      </w:r>
      <w:r w:rsidR="005B7653">
        <w:t xml:space="preserve"> de garantie AQUAPAC est une assurance qui couvre les risques hydrogéologiques liés à la possibilité d’exploitation énergétique d’une ressource aquifère située à moins de 200 m de profondeur, puis au maintien de ses capacités dans le temps. Cette assurance s’applique en faveur des</w:t>
      </w:r>
      <w:r w:rsidR="008B08E5">
        <w:t xml:space="preserve"> </w:t>
      </w:r>
      <w:r w:rsidR="005B7653">
        <w:t>installations utilisant des pompes à chaleur d’une puissance</w:t>
      </w:r>
      <w:r w:rsidR="008B08E5">
        <w:t xml:space="preserve"> </w:t>
      </w:r>
      <w:r w:rsidR="005B7653">
        <w:t>thermique supérieure à 30 kW</w:t>
      </w:r>
      <w:r w:rsidR="008B08E5">
        <w:t>.</w:t>
      </w:r>
      <w:r w:rsidR="005B7653">
        <w:t xml:space="preserve"> </w:t>
      </w:r>
      <w:r>
        <w:t>Afin d’aider à l’intensification des investissements dans la géothermie, un instrument en garantie peut être envisagée</w:t>
      </w:r>
      <w:r w:rsidR="0026019B">
        <w:t>.</w:t>
      </w:r>
      <w:r w:rsidR="00E96D0D">
        <w:t xml:space="preserve"> La </w:t>
      </w:r>
      <w:r w:rsidR="00494EC7">
        <w:t xml:space="preserve">garantie devrait couvrir les risques d’échec </w:t>
      </w:r>
      <w:r w:rsidR="00C22DD0">
        <w:t xml:space="preserve">en phase de recherche et les risques </w:t>
      </w:r>
      <w:r w:rsidR="00494EC7">
        <w:t>diminution</w:t>
      </w:r>
      <w:r w:rsidR="00C22DD0">
        <w:t xml:space="preserve"> </w:t>
      </w:r>
      <w:r w:rsidR="00494EC7">
        <w:t>ou de détérioration de la ressource, en cours</w:t>
      </w:r>
      <w:r w:rsidR="00C22DD0">
        <w:t xml:space="preserve"> </w:t>
      </w:r>
      <w:r w:rsidR="00494EC7">
        <w:t>d’exploitation</w:t>
      </w:r>
      <w:r w:rsidR="00C22DD0">
        <w:t xml:space="preserve"> sur une période</w:t>
      </w:r>
      <w:r w:rsidR="00A73901">
        <w:t xml:space="preserve"> de 10 à 15 ans.</w:t>
      </w:r>
      <w:r w:rsidR="00F935FF" w:rsidRPr="00F935FF">
        <w:t xml:space="preserve"> </w:t>
      </w:r>
      <w:r w:rsidR="00F935FF">
        <w:t>Le montant total de l’indemnisation par la garantie</w:t>
      </w:r>
      <w:r w:rsidR="00827473">
        <w:t xml:space="preserve"> estimé est compris entre </w:t>
      </w:r>
      <w:r w:rsidR="00827473" w:rsidRPr="00827473">
        <w:rPr>
          <w:b/>
          <w:bCs/>
        </w:rPr>
        <w:t>100 k€ et 200 k€</w:t>
      </w:r>
      <w:r w:rsidR="00827473">
        <w:rPr>
          <w:b/>
          <w:bCs/>
        </w:rPr>
        <w:t>.</w:t>
      </w:r>
    </w:p>
    <w:p w14:paraId="4BB92F82" w14:textId="77777777" w:rsidR="00430A22" w:rsidRDefault="00430A22" w:rsidP="00DE1DBA">
      <w:pPr>
        <w:pStyle w:val="Heading4"/>
      </w:pPr>
      <w:r>
        <w:t xml:space="preserve">Hydroélectricité </w:t>
      </w:r>
    </w:p>
    <w:p w14:paraId="1A60775B" w14:textId="06FDC952" w:rsidR="00430A22" w:rsidRDefault="00430A22" w:rsidP="00E72DF0">
      <w:pPr>
        <w:pStyle w:val="BodyText"/>
      </w:pPr>
      <w:r w:rsidRPr="000C7FCD">
        <w:t>L'énergie hydraulique est</w:t>
      </w:r>
      <w:r>
        <w:t xml:space="preserve"> </w:t>
      </w:r>
      <w:r w:rsidR="00104635">
        <w:t xml:space="preserve">la </w:t>
      </w:r>
      <w:r>
        <w:t>2</w:t>
      </w:r>
      <w:r w:rsidRPr="000C7FCD">
        <w:rPr>
          <w:vertAlign w:val="superscript"/>
        </w:rPr>
        <w:t>ème</w:t>
      </w:r>
      <w:r>
        <w:t xml:space="preserve"> source de production </w:t>
      </w:r>
      <w:r w:rsidRPr="000C7FCD">
        <w:t xml:space="preserve">électrique </w:t>
      </w:r>
      <w:r>
        <w:t xml:space="preserve">en France, </w:t>
      </w:r>
      <w:r w:rsidRPr="000C7FCD">
        <w:t>derrière le nucléaire</w:t>
      </w:r>
      <w:r>
        <w:t xml:space="preserve">. </w:t>
      </w:r>
      <w:r w:rsidR="00B531B7">
        <w:t>Avec s</w:t>
      </w:r>
      <w:r>
        <w:t>a stockabilité et sa flexibilité (mobilisable à la demande), elle est la 1</w:t>
      </w:r>
      <w:r w:rsidRPr="000C7FCD">
        <w:rPr>
          <w:vertAlign w:val="superscript"/>
        </w:rPr>
        <w:t>ère</w:t>
      </w:r>
      <w:r>
        <w:t xml:space="preserve"> </w:t>
      </w:r>
      <w:r w:rsidRPr="000C7FCD">
        <w:t xml:space="preserve">source d'électricité renouvelable en </w:t>
      </w:r>
      <w:r>
        <w:t xml:space="preserve">France et représente une filière importance pour l’équilibre et la sécurisation du réseau. Il existe plusieurs types d’installations : au fil de l’eau, éclusées, </w:t>
      </w:r>
      <w:r w:rsidRPr="000C7FCD">
        <w:t>centrale de lac</w:t>
      </w:r>
      <w:r>
        <w:t xml:space="preserve">, </w:t>
      </w:r>
      <w:r w:rsidRPr="000C7FCD">
        <w:t>stations de transfert d’énergie par pompage</w:t>
      </w:r>
      <w:r>
        <w:t xml:space="preserve"> (</w:t>
      </w:r>
      <w:r w:rsidRPr="00B76385">
        <w:rPr>
          <w:b/>
        </w:rPr>
        <w:t>STEP</w:t>
      </w:r>
      <w:r>
        <w:t xml:space="preserve">). </w:t>
      </w:r>
    </w:p>
    <w:p w14:paraId="5E2F754C" w14:textId="0ACA58E0" w:rsidR="00430A22" w:rsidRDefault="00430A22" w:rsidP="00430A22">
      <w:pPr>
        <w:pStyle w:val="BodyText"/>
      </w:pPr>
      <w:r>
        <w:t xml:space="preserve">Le parc hydraulique français est d’environ </w:t>
      </w:r>
      <w:r w:rsidRPr="000C7FCD">
        <w:t xml:space="preserve">25 GW </w:t>
      </w:r>
      <w:r>
        <w:t xml:space="preserve">soit environ </w:t>
      </w:r>
      <w:r w:rsidRPr="000C7FCD">
        <w:t>20 % de la puissance électrique totale installée en France.</w:t>
      </w:r>
      <w:r>
        <w:t xml:space="preserve"> Les installations sont concentrées dans 3 régions </w:t>
      </w:r>
      <w:r w:rsidRPr="000C7FCD">
        <w:t>Auvergne-Rhône-Alpes</w:t>
      </w:r>
      <w:r>
        <w:t>, O</w:t>
      </w:r>
      <w:r w:rsidRPr="000C7FCD">
        <w:t>ccitanie</w:t>
      </w:r>
      <w:r>
        <w:t xml:space="preserve">, Région Sud </w:t>
      </w:r>
      <w:r w:rsidRPr="000C7FCD">
        <w:t>Provence-Alpes Côte d’Azur</w:t>
      </w:r>
      <w:r>
        <w:t>. L</w:t>
      </w:r>
      <w:r w:rsidRPr="000C7FCD">
        <w:t>a Programmation Pluriannuelle de l’Énergie (PPE)</w:t>
      </w:r>
      <w:r>
        <w:t xml:space="preserve"> prévoit une augmentation </w:t>
      </w:r>
      <w:r w:rsidRPr="000C7FCD">
        <w:t>la capacité de production hydroélectrique de 500 à 750 MW et la production de 2 à 3 TWh d’ici 2023</w:t>
      </w:r>
      <w:r>
        <w:t xml:space="preserve"> avec l’enjeu </w:t>
      </w:r>
      <w:r w:rsidRPr="000C7FCD">
        <w:t>d’assurer la modernisation et la compatibilité du parc aux exigences de sécurité et d’environnement d’une part, et de permettre l’exploitation du gisement résiduel d’autre part</w:t>
      </w:r>
      <w:r>
        <w:t>. L</w:t>
      </w:r>
      <w:r w:rsidRPr="000C7FCD">
        <w:t xml:space="preserve">’objectif est également d’engager des projets de stockage sous forme de transfert d’électricité par pompage. </w:t>
      </w:r>
    </w:p>
    <w:p w14:paraId="689E0AE4" w14:textId="77777777" w:rsidR="00F848B9" w:rsidRDefault="00430A22" w:rsidP="00430A22">
      <w:pPr>
        <w:pStyle w:val="BodyText"/>
      </w:pPr>
      <w:r>
        <w:t xml:space="preserve">En Hauts-de-France, la production hydraulique est quasi absente, ce qui est à la base de l’écart de production d’EnR par rapport à la moyenne française. Le parc régional est seulement de 4 MW </w:t>
      </w:r>
      <w:r w:rsidR="00F848B9">
        <w:t xml:space="preserve">de puissance raccordée </w:t>
      </w:r>
      <w:r>
        <w:t xml:space="preserve">(contre </w:t>
      </w:r>
      <w:r w:rsidRPr="000C7FCD">
        <w:t>11 794 MW</w:t>
      </w:r>
      <w:r>
        <w:t xml:space="preserve"> en </w:t>
      </w:r>
      <w:r w:rsidRPr="000C7FCD">
        <w:t>Auvergne-Rhône-Alpes</w:t>
      </w:r>
      <w:r>
        <w:t xml:space="preserve">, </w:t>
      </w:r>
      <w:r w:rsidRPr="000C7FCD">
        <w:t>5</w:t>
      </w:r>
      <w:r w:rsidR="00F848B9">
        <w:t> </w:t>
      </w:r>
      <w:r w:rsidRPr="000C7FCD">
        <w:t>411 MW</w:t>
      </w:r>
      <w:r>
        <w:t xml:space="preserve"> en </w:t>
      </w:r>
      <w:r w:rsidRPr="000C7FCD">
        <w:t>Occitanie</w:t>
      </w:r>
      <w:r>
        <w:t xml:space="preserve"> et </w:t>
      </w:r>
      <w:r w:rsidRPr="000C7FCD">
        <w:t>3 273 MW</w:t>
      </w:r>
      <w:r>
        <w:t xml:space="preserve"> en R</w:t>
      </w:r>
      <w:r w:rsidRPr="000C7FCD">
        <w:t xml:space="preserve">égion </w:t>
      </w:r>
      <w:r>
        <w:t xml:space="preserve">Sud </w:t>
      </w:r>
      <w:r w:rsidRPr="000C7FCD">
        <w:t>Provence-Alpes Côte d’Azur</w:t>
      </w:r>
      <w:r>
        <w:t xml:space="preserve">). </w:t>
      </w:r>
    </w:p>
    <w:p w14:paraId="5DB3D1DA" w14:textId="1E7E26AA" w:rsidR="00430A22" w:rsidRDefault="00430A22" w:rsidP="00430A22">
      <w:pPr>
        <w:pStyle w:val="BodyText"/>
      </w:pPr>
      <w:r>
        <w:t>La Région</w:t>
      </w:r>
      <w:r w:rsidRPr="000C7FCD">
        <w:t xml:space="preserve"> Hauts-de-</w:t>
      </w:r>
      <w:r>
        <w:t>France a également pour objectif d’augmenter sa production d’hydroélectricité (de 11 GWh en 2017 à 40 GWh et 60 GWh respectivement en 2026 et 2031). On estime que cela reviendrait à l’ajout de 102 MW (horizon 2026) et 172 MW (horizon 2031)</w:t>
      </w:r>
      <w:r>
        <w:rPr>
          <w:rStyle w:val="FootnoteReference"/>
        </w:rPr>
        <w:footnoteReference w:id="62"/>
      </w:r>
      <w:r>
        <w:t xml:space="preserve">. </w:t>
      </w:r>
    </w:p>
    <w:p w14:paraId="568691F4" w14:textId="77777777" w:rsidR="00430A22" w:rsidRDefault="00430A22" w:rsidP="00430A22">
      <w:pPr>
        <w:pStyle w:val="BodyText"/>
      </w:pPr>
      <w:r>
        <w:t xml:space="preserve">Les </w:t>
      </w:r>
      <w:r w:rsidRPr="000C7FCD">
        <w:t>installations hydroélectriques</w:t>
      </w:r>
      <w:r>
        <w:t xml:space="preserve"> sont soumises à l’autorisation de l’Etat (</w:t>
      </w:r>
      <w:r w:rsidRPr="000C7FCD">
        <w:t>Installations de moins de 4,5 MW</w:t>
      </w:r>
      <w:r>
        <w:t xml:space="preserve">) et au régime </w:t>
      </w:r>
      <w:r w:rsidRPr="000C7FCD">
        <w:t>concession</w:t>
      </w:r>
      <w:r>
        <w:t xml:space="preserve"> (i</w:t>
      </w:r>
      <w:r w:rsidRPr="000C7FCD">
        <w:t xml:space="preserve">nstallations de </w:t>
      </w:r>
      <w:r>
        <w:t xml:space="preserve">plus </w:t>
      </w:r>
      <w:r w:rsidRPr="000C7FCD">
        <w:t>de 4,5 MW</w:t>
      </w:r>
      <w:r>
        <w:t xml:space="preserve">). Les installations de moins de </w:t>
      </w:r>
      <w:r w:rsidRPr="000C7FCD">
        <w:t>4,5 MW</w:t>
      </w:r>
      <w:r>
        <w:t xml:space="preserve"> appartiennent en général à des particuliers, </w:t>
      </w:r>
      <w:r w:rsidRPr="000C7FCD">
        <w:t>petites entreprises ou des collectivités</w:t>
      </w:r>
      <w:r>
        <w:t xml:space="preserve">. </w:t>
      </w:r>
    </w:p>
    <w:p w14:paraId="039A1DDA" w14:textId="674556E5" w:rsidR="00430A22" w:rsidRDefault="00430A22" w:rsidP="00430A22">
      <w:pPr>
        <w:pStyle w:val="BodyText"/>
      </w:pPr>
      <w:r>
        <w:t>La filière industrielle française de l’hydroélectricité semble mature et regroupe de grands groupes et PME. Néanmoins</w:t>
      </w:r>
      <w:r w:rsidR="00184F9C">
        <w:t>,</w:t>
      </w:r>
      <w:r>
        <w:t xml:space="preserve"> dans certains cas </w:t>
      </w:r>
      <w:r w:rsidRPr="000C7FCD">
        <w:t xml:space="preserve">une installation hydroélectrique peut ne pas être rentable. </w:t>
      </w:r>
      <w:r>
        <w:t>L’Etat apporte des soutiens pour</w:t>
      </w:r>
      <w:r w:rsidRPr="000C7FCD">
        <w:t xml:space="preserve"> la petite hydroélectricité (</w:t>
      </w:r>
      <w:r>
        <w:t>&lt;</w:t>
      </w:r>
      <w:r w:rsidRPr="000C7FCD">
        <w:t xml:space="preserve"> 10 MW).</w:t>
      </w:r>
      <w:r>
        <w:t xml:space="preserve"> Ces soutiens sont de 2 formes : le guichet ouvert, pour les installations de moins de 1 MW (obligation d’achat ou complément de rémunération) et les AAP de la CRE. Au regard des éléments de diagnostic, nous ne faisons pas le constat de défaillances en IF. Les acteurs interrogés relèvent toutefois des difficultés d’accès au foncier qui limitent l’exploitation du potentiel régional de cette énergie. </w:t>
      </w:r>
    </w:p>
    <w:p w14:paraId="64A811B5" w14:textId="5329CD4C" w:rsidR="00F463CF" w:rsidRDefault="00F463CF" w:rsidP="00DE1DBA">
      <w:pPr>
        <w:pStyle w:val="Heading4"/>
      </w:pPr>
      <w:r>
        <w:t>Energies marines renouvelables (hors éolien en mer)</w:t>
      </w:r>
    </w:p>
    <w:p w14:paraId="1EBC3582" w14:textId="57C84643" w:rsidR="00F463CF" w:rsidRDefault="00F463CF" w:rsidP="00475210">
      <w:pPr>
        <w:pStyle w:val="BodyText"/>
      </w:pPr>
      <w:r>
        <w:t>La France, par sa géographie et ses ressources maritimes, dispose d’un fort potentiel d</w:t>
      </w:r>
      <w:r w:rsidR="00386891">
        <w:t>’</w:t>
      </w:r>
      <w:r>
        <w:t>énergies marines renouvelables (EMR). Les EmR comprennent l’ensemble des technologies permettant de produire de l’électricité à partir de différentes forces ou ressources marines :</w:t>
      </w:r>
    </w:p>
    <w:p w14:paraId="355D6D28" w14:textId="416E63ED" w:rsidR="00F463CF" w:rsidRDefault="00F463CF" w:rsidP="001956BE">
      <w:pPr>
        <w:pStyle w:val="Bullet1"/>
      </w:pPr>
      <w:r>
        <w:t xml:space="preserve">l'énergie hydrolienne qui est produite par l’énergie des courants de marée qui sont concentrés dans certains endroits près des côtes. Plusieurs prototypes sont en développement et les premières fermes pilotes pourraient être mises en service dans les prochaines années. Le potentiel en France est estimé à 3 à 5 GW. </w:t>
      </w:r>
    </w:p>
    <w:p w14:paraId="5C316275" w14:textId="15302062" w:rsidR="00F463CF" w:rsidRDefault="00F463CF" w:rsidP="001956BE">
      <w:pPr>
        <w:pStyle w:val="Bullet1"/>
      </w:pPr>
      <w:r>
        <w:t xml:space="preserve">l’énergie marémotrice qui consiste à profiter du flux et du reflux de la marée pour alternativement remplir ou vider un bassin de retenue en actionnant des turbines incorporées dans le barrage, qui entraînent un générateur d’électricité. </w:t>
      </w:r>
    </w:p>
    <w:p w14:paraId="6D9B14EB" w14:textId="127F2103" w:rsidR="00F463CF" w:rsidRDefault="00F463CF" w:rsidP="001956BE">
      <w:pPr>
        <w:pStyle w:val="Bullet1"/>
      </w:pPr>
      <w:r>
        <w:t xml:space="preserve">l’énergie houlomotrice produite par le mouvement des vagues (forme concentrée de l’énergie du vent). </w:t>
      </w:r>
    </w:p>
    <w:p w14:paraId="6E0D8822" w14:textId="0705DA0B" w:rsidR="00435B16" w:rsidRDefault="00F463CF" w:rsidP="0095345D">
      <w:pPr>
        <w:pStyle w:val="Bullet1"/>
      </w:pPr>
      <w:r>
        <w:t xml:space="preserve">l’énergie thermique des mers basée sur les gradients de températures entre les eaux de surface chaudes et les eaux froides en profondeur. </w:t>
      </w:r>
      <w:r w:rsidR="005360EC">
        <w:t>Même si le territoire dispose de potentiel e</w:t>
      </w:r>
      <w:r w:rsidR="00D2790B">
        <w:t>xploitable, il n’existe pas d’opérateur local reconnu</w:t>
      </w:r>
      <w:r w:rsidR="00B1486E">
        <w:t xml:space="preserve">. </w:t>
      </w:r>
    </w:p>
    <w:p w14:paraId="18B15242" w14:textId="5F123A69" w:rsidR="00F463CF" w:rsidRDefault="00F463CF" w:rsidP="00475210">
      <w:pPr>
        <w:pStyle w:val="BodyText"/>
      </w:pPr>
      <w:r>
        <w:t xml:space="preserve">Les technologies renouvelables en mer sont </w:t>
      </w:r>
      <w:r w:rsidR="001956BE">
        <w:t xml:space="preserve">encore au </w:t>
      </w:r>
      <w:r>
        <w:t>stade de la recherche et de l’expérimentation. La maturité technologique de l’hydrolien est proche</w:t>
      </w:r>
      <w:r w:rsidR="001956BE">
        <w:t xml:space="preserve"> et l</w:t>
      </w:r>
      <w:r>
        <w:t>e processus de maturation doit s’accélérer. Le houlomoteur et l’énergie thermique des mers présentent aussi d’importantes opportunités de développement. Afin de surmonter les défis techniques associés à la résistance de tels systèmes à toutes les conditions de mer, les expériences, essais, tests et innovations</w:t>
      </w:r>
      <w:r w:rsidR="001956BE">
        <w:t>, l</w:t>
      </w:r>
      <w:r>
        <w:t xml:space="preserve">es projets bénéficient du financement de projet de recherche, de démonstration de briques technologiques, ou de fermes pré-commerciales. Les financements sont octroyés à travers les AAP entrant dans le cadre du PIA. Plusieurs projets sont soutenus par l'ADEME et l’ANR. </w:t>
      </w:r>
    </w:p>
    <w:p w14:paraId="65AD6BA4" w14:textId="77777777" w:rsidR="00F463CF" w:rsidRDefault="00F463CF" w:rsidP="00475210">
      <w:pPr>
        <w:pStyle w:val="BodyText"/>
      </w:pPr>
      <w:r>
        <w:t xml:space="preserve">Les enjeux de la filière sont de : i) atteindre la maturation technologique des technologies par la réalisation de fermes pilotes, de démonstrateurs et le développement de briques technologiques ; ii) maintenir le bon positionnement des technologies françaises sur le marché international croissant ; iii) accroître la connaissance de la ressource. </w:t>
      </w:r>
    </w:p>
    <w:p w14:paraId="79ED824E" w14:textId="6F0FB7EE" w:rsidR="00F463CF" w:rsidRPr="00F463CF" w:rsidRDefault="00F463CF" w:rsidP="00475210">
      <w:pPr>
        <w:pStyle w:val="BodyText"/>
      </w:pPr>
      <w:r>
        <w:t xml:space="preserve">En Hauts-France, les énergies marines renouvelables ne sont pas </w:t>
      </w:r>
      <w:r w:rsidR="001956BE">
        <w:t>inscrites</w:t>
      </w:r>
      <w:r>
        <w:t xml:space="preserve"> dans les objectifs régionaux. Néanmoins, la région présente un </w:t>
      </w:r>
      <w:r w:rsidRPr="006C2B8D">
        <w:rPr>
          <w:b/>
        </w:rPr>
        <w:t>réel potentiel de développement de ces technologies</w:t>
      </w:r>
      <w:r>
        <w:t xml:space="preserve">. Plusieurs </w:t>
      </w:r>
      <w:r w:rsidRPr="006C2B8D">
        <w:rPr>
          <w:b/>
        </w:rPr>
        <w:t>start-ups régionales</w:t>
      </w:r>
      <w:r>
        <w:t xml:space="preserve"> travaillent notamment sur l’énergie houlomotrice et l’énergie thermique des mers. </w:t>
      </w:r>
      <w:r w:rsidR="00D9647A">
        <w:t>C</w:t>
      </w:r>
      <w:r>
        <w:t>es entreprises sont déjà accompagnées par la région.  L’accompagnement de ces entreprises doit être maintenu à travers le renforcement des soutiens à l’innovation sur des briques technologiques.</w:t>
      </w:r>
    </w:p>
    <w:p w14:paraId="7F878F0C" w14:textId="61CCA72D" w:rsidR="006D6760" w:rsidRDefault="006D6760" w:rsidP="00DE1DBA">
      <w:pPr>
        <w:pStyle w:val="Heading4"/>
      </w:pPr>
      <w:r>
        <w:t xml:space="preserve">Hydrogène, BioGNV &amp; mobilité décarbonée </w:t>
      </w:r>
    </w:p>
    <w:p w14:paraId="0E87C1E3" w14:textId="77777777" w:rsidR="006D6760" w:rsidRDefault="006D6760" w:rsidP="00DE1DBA">
      <w:pPr>
        <w:pStyle w:val="Heading5"/>
      </w:pPr>
      <w:r>
        <w:t xml:space="preserve">Hydrogène </w:t>
      </w:r>
    </w:p>
    <w:p w14:paraId="0925E521" w14:textId="77777777" w:rsidR="006D6760" w:rsidRDefault="006D6760" w:rsidP="00475210">
      <w:pPr>
        <w:pStyle w:val="BodyText"/>
      </w:pPr>
      <w:r w:rsidRPr="000C7FCD">
        <w:t>L</w:t>
      </w:r>
      <w:r>
        <w:t>’hydrogène est un vecteur énergétique qui présente de nombreux avantages. Il peut être produit à partir de sources d’énergies primaires variées, stocké et utilisé dans plusieurs secteurs. Mais son rendement énergétique est faible. Par exemple,</w:t>
      </w:r>
      <w:r w:rsidRPr="000C7FCD">
        <w:t xml:space="preserve"> l'énergie fournie </w:t>
      </w:r>
      <w:r>
        <w:t xml:space="preserve">après la reconversion de l’hydrogène en électricité </w:t>
      </w:r>
      <w:r w:rsidRPr="000C7FCD">
        <w:t>peut être inférieure à 30 % de l'électricité initiale</w:t>
      </w:r>
      <w:r>
        <w:t xml:space="preserve">. Cependant, le rendement peut être accru dans d’autres usages. Une pile à combustibles à hydrogène dans un véhicule a un rendement d'environ 60 %, alors qu'un moteur à combustion interne à essence a un rendement d'environ 20 %. </w:t>
      </w:r>
    </w:p>
    <w:p w14:paraId="0DD3D74B" w14:textId="77777777" w:rsidR="006D6760" w:rsidRDefault="006D6760" w:rsidP="006D6760">
      <w:pPr>
        <w:pStyle w:val="BodyText"/>
      </w:pPr>
      <w:r>
        <w:t>Il existe différentes technologies de production de l'hydrogène, les plus courantes étant le SMR</w:t>
      </w:r>
      <w:r>
        <w:rPr>
          <w:rStyle w:val="FootnoteReference"/>
        </w:rPr>
        <w:footnoteReference w:id="63"/>
      </w:r>
      <w:r>
        <w:t xml:space="preserve"> (avec ou sans stockage de carbone), l'électrolyse de l'eau et la gazéification du charbon. </w:t>
      </w:r>
    </w:p>
    <w:p w14:paraId="12F7037C" w14:textId="77777777" w:rsidR="006D6760" w:rsidRDefault="006D6760" w:rsidP="006D6760">
      <w:pPr>
        <w:pStyle w:val="Bullet1"/>
      </w:pPr>
      <w:r>
        <w:t>SMR-CCUS : les coûts de production de l'hydrogène à partir du gaz naturel avec CCUS dépendent du prix du gaz et les coûts d’investissements. En cas de stockage de CO</w:t>
      </w:r>
      <w:r w:rsidRPr="000C7FCD">
        <w:rPr>
          <w:vertAlign w:val="subscript"/>
        </w:rPr>
        <w:t>2</w:t>
      </w:r>
      <w:r>
        <w:t>, les coûts de CAPEX augmentent en moyenne 50 %, de 10 % pour le combustible et un facteur 2 pour les coûts d’OPEX en raison des coûts de transport et de stockage du CO</w:t>
      </w:r>
      <w:r w:rsidRPr="000C7FCD">
        <w:rPr>
          <w:vertAlign w:val="subscript"/>
        </w:rPr>
        <w:t>2</w:t>
      </w:r>
      <w:r>
        <w:t xml:space="preserve">. Dans les zones à fort potentiel les coûts moyens de production sont estimés à </w:t>
      </w:r>
      <w:r w:rsidRPr="000C7FCD">
        <w:t>1,17</w:t>
      </w:r>
      <w:r>
        <w:t xml:space="preserve"> - 1,26 €/kgH</w:t>
      </w:r>
      <w:r w:rsidRPr="000C7FCD">
        <w:rPr>
          <w:vertAlign w:val="subscript"/>
        </w:rPr>
        <w:t>2</w:t>
      </w:r>
      <w:r>
        <w:rPr>
          <w:vertAlign w:val="subscript"/>
        </w:rPr>
        <w:t xml:space="preserve">. </w:t>
      </w:r>
    </w:p>
    <w:p w14:paraId="294D581B" w14:textId="77777777" w:rsidR="006D6760" w:rsidRPr="000C7FCD" w:rsidRDefault="006D6760" w:rsidP="006D6760">
      <w:pPr>
        <w:pStyle w:val="Bullet1"/>
      </w:pPr>
      <w:r>
        <w:t>Électrolyse de l'eau : ce procédé devient progressivement attrayant au vu de la baisse des coûts de l'électricité renouvelable, en particulier de l'énergie solaire photovoltaïque et éolienne. On note 3 procédés d</w:t>
      </w:r>
      <w:r w:rsidRPr="000C7FCD">
        <w:t>'électrolyse</w:t>
      </w:r>
      <w:r>
        <w:t xml:space="preserve"> à savoir l’</w:t>
      </w:r>
      <w:r w:rsidRPr="000C7FCD">
        <w:t>électrolyse alcaline</w:t>
      </w:r>
      <w:r>
        <w:rPr>
          <w:rStyle w:val="FootnoteReference"/>
        </w:rPr>
        <w:footnoteReference w:id="64"/>
      </w:r>
      <w:r w:rsidRPr="000C7FCD">
        <w:t>, l'électrolyse à membrane échangeuse de protons (PEM) et les cellules d'électrolyse à oxyde solide (SOEC).</w:t>
      </w:r>
      <w:r>
        <w:t xml:space="preserve"> La majeure partie des coûts d’électrolyse de l'eau se reposent sur les CAPEX :  l</w:t>
      </w:r>
      <w:r w:rsidRPr="000C7FCD">
        <w:t xml:space="preserve">es besoins en CAPEX sont aujourd'hui de l'ordre de </w:t>
      </w:r>
      <w:r>
        <w:t>419</w:t>
      </w:r>
      <w:r w:rsidRPr="000C7FCD">
        <w:t xml:space="preserve"> à </w:t>
      </w:r>
      <w:r>
        <w:t>1 174</w:t>
      </w:r>
      <w:r w:rsidRPr="000C7FCD">
        <w:t xml:space="preserve"> </w:t>
      </w:r>
      <w:r>
        <w:t>€</w:t>
      </w:r>
      <w:r w:rsidRPr="000C7FCD">
        <w:t>/</w:t>
      </w:r>
      <w:proofErr w:type="spellStart"/>
      <w:r w:rsidRPr="000C7FCD">
        <w:t>kWe</w:t>
      </w:r>
      <w:proofErr w:type="spellEnd"/>
      <w:r w:rsidRPr="000C7FCD">
        <w:t xml:space="preserve"> pour les électrolyseurs alcalins et de </w:t>
      </w:r>
      <w:r>
        <w:t>921</w:t>
      </w:r>
      <w:r w:rsidRPr="000C7FCD">
        <w:t xml:space="preserve"> à </w:t>
      </w:r>
      <w:r>
        <w:t>1 508</w:t>
      </w:r>
      <w:r w:rsidRPr="000C7FCD">
        <w:t xml:space="preserve"> </w:t>
      </w:r>
      <w:r>
        <w:t>€</w:t>
      </w:r>
      <w:r w:rsidRPr="000C7FCD">
        <w:t>/</w:t>
      </w:r>
      <w:proofErr w:type="spellStart"/>
      <w:r w:rsidRPr="000C7FCD">
        <w:t>kWe</w:t>
      </w:r>
      <w:proofErr w:type="spellEnd"/>
      <w:r w:rsidRPr="000C7FCD">
        <w:t xml:space="preserve"> pour les électrolyseurs PEM, </w:t>
      </w:r>
      <w:r>
        <w:t xml:space="preserve">et </w:t>
      </w:r>
      <w:r w:rsidRPr="000C7FCD">
        <w:t>2</w:t>
      </w:r>
      <w:r>
        <w:t> </w:t>
      </w:r>
      <w:r w:rsidRPr="000C7FCD">
        <w:t>34</w:t>
      </w:r>
      <w:r>
        <w:t xml:space="preserve">7 </w:t>
      </w:r>
      <w:r w:rsidRPr="000C7FCD">
        <w:t>et 4693</w:t>
      </w:r>
      <w:r>
        <w:t xml:space="preserve"> €</w:t>
      </w:r>
      <w:r w:rsidRPr="000C7FCD">
        <w:t>/</w:t>
      </w:r>
      <w:proofErr w:type="spellStart"/>
      <w:r w:rsidRPr="000C7FCD">
        <w:t>kWe</w:t>
      </w:r>
      <w:proofErr w:type="spellEnd"/>
      <w:r w:rsidRPr="000C7FCD">
        <w:t xml:space="preserve"> </w:t>
      </w:r>
      <w:r>
        <w:t xml:space="preserve">pour </w:t>
      </w:r>
      <w:r w:rsidRPr="000C7FCD">
        <w:t>les électrolyseurs SOEC</w:t>
      </w:r>
      <w:r>
        <w:t xml:space="preserve">. </w:t>
      </w:r>
    </w:p>
    <w:p w14:paraId="1739D628" w14:textId="71447FAD" w:rsidR="006D6760" w:rsidRPr="000C7FCD" w:rsidRDefault="006D6760" w:rsidP="00475210">
      <w:pPr>
        <w:pStyle w:val="BodyText"/>
      </w:pPr>
      <w:r>
        <w:t xml:space="preserve">Les combustibles fossiles sont plus compétitifs par rapport </w:t>
      </w:r>
      <w:r w:rsidR="00E97741">
        <w:t xml:space="preserve">aux </w:t>
      </w:r>
      <w:r>
        <w:t xml:space="preserve">énergies bas carbone pour la production de l’hydrogène.  </w:t>
      </w:r>
      <w:r w:rsidRPr="000C7FCD">
        <w:t xml:space="preserve">La pile d'électrolyseurs </w:t>
      </w:r>
      <w:r>
        <w:t>compte pour</w:t>
      </w:r>
      <w:r w:rsidRPr="000C7FCD">
        <w:t xml:space="preserve"> 50</w:t>
      </w:r>
      <w:r>
        <w:t> </w:t>
      </w:r>
      <w:r w:rsidRPr="000C7FCD">
        <w:t>% et 60</w:t>
      </w:r>
      <w:r>
        <w:t> </w:t>
      </w:r>
      <w:r w:rsidRPr="000C7FCD">
        <w:t xml:space="preserve">% des coûts CAPEX des électrolyseurs alcalins et PEM. </w:t>
      </w:r>
      <w:r>
        <w:t>De nos jours encore, la quasi-totalité de la production d’hydrogène est de source fossile (moins</w:t>
      </w:r>
      <w:r w:rsidRPr="000C7FCD">
        <w:t xml:space="preserve"> de 0,7 % de la production actuelle d'hydrogène provient d'énergies renouvelables ou d'installations à combustibles fossiles équipées de CCUS</w:t>
      </w:r>
      <w:r>
        <w:rPr>
          <w:rStyle w:val="FootnoteReference"/>
        </w:rPr>
        <w:footnoteReference w:id="65"/>
      </w:r>
      <w:r>
        <w:t xml:space="preserve">), il en résulte que la </w:t>
      </w:r>
      <w:r w:rsidRPr="000C7FCD">
        <w:t>production d'hydrogène actuelle est responsable de 830 MtCO</w:t>
      </w:r>
      <w:r w:rsidRPr="000C7FCD">
        <w:rPr>
          <w:vertAlign w:val="subscript"/>
        </w:rPr>
        <w:t>2</w:t>
      </w:r>
      <w:r w:rsidRPr="000C7FCD">
        <w:t>/an.</w:t>
      </w:r>
    </w:p>
    <w:p w14:paraId="20D987E9" w14:textId="77777777" w:rsidR="006D6760" w:rsidRDefault="006D6760" w:rsidP="006D6760">
      <w:pPr>
        <w:pStyle w:val="BodyText"/>
        <w:rPr>
          <w:highlight w:val="green"/>
        </w:rPr>
      </w:pPr>
      <w:r>
        <w:t>Mais, s</w:t>
      </w:r>
      <w:r w:rsidRPr="000C7FCD">
        <w:t>elon l'analyse de l'AIE, le coût de la production d'hydrogène à partir d'électricité renouvelable pourrait baisser de 30 % d'ici à 2030 grâce à la baisse des coûts des énergies renouvelables et à l'augmentation de la production d'hydrogène. Les piles à combustible, les équipements de ravitaillement et les électrolyseurs produis</w:t>
      </w:r>
      <w:r>
        <w:t xml:space="preserve">ant </w:t>
      </w:r>
      <w:r w:rsidRPr="000C7FCD">
        <w:t>de l'hydrogène à partir d'électricité et d'eau</w:t>
      </w:r>
      <w:r>
        <w:t xml:space="preserve"> pourront également bénéficier de l’économie d’échelle pour faire baisser les coûts de fabrication. </w:t>
      </w:r>
    </w:p>
    <w:p w14:paraId="543FC524" w14:textId="77777777" w:rsidR="006D6760" w:rsidRDefault="006D6760" w:rsidP="006D6760">
      <w:pPr>
        <w:pStyle w:val="BodyText"/>
        <w:rPr>
          <w:highlight w:val="green"/>
        </w:rPr>
      </w:pPr>
      <w:r w:rsidRPr="000C7FCD">
        <w:t xml:space="preserve">Les prix de l'hydrogène </w:t>
      </w:r>
      <w:r>
        <w:t xml:space="preserve">dépendent </w:t>
      </w:r>
      <w:r w:rsidRPr="000C7FCD">
        <w:t xml:space="preserve">fortement </w:t>
      </w:r>
      <w:r>
        <w:t>de la demande (station d’avitaillement et consommation). Pour accélérer les investissements dans l’hydrogène, la s</w:t>
      </w:r>
      <w:r w:rsidRPr="000C7FCD">
        <w:t xml:space="preserve">tratégie nationale pour le développement de l’hydrogène décarboné </w:t>
      </w:r>
      <w:r>
        <w:t xml:space="preserve">et la PPE prévoient des mesures d’accélération des investissements. </w:t>
      </w:r>
    </w:p>
    <w:p w14:paraId="2D7AEB91" w14:textId="77777777" w:rsidR="006D6760" w:rsidRDefault="006D6760" w:rsidP="006D6760">
      <w:pPr>
        <w:pStyle w:val="BodyText"/>
      </w:pPr>
      <w:r>
        <w:t>La France compte une vingtaine de stations hydrogène pour environ 300 véhicules. L’objectif du Plan national est de disposer en 2023 (objectif PPE) de 5 000 véhicules légers, 200 véhicules lourds (bus camions, TER, etc.) et 100 stations.</w:t>
      </w:r>
    </w:p>
    <w:p w14:paraId="5FABEC52" w14:textId="77777777" w:rsidR="006D6760" w:rsidRDefault="006D6760" w:rsidP="006D6760">
      <w:pPr>
        <w:pStyle w:val="BodyText"/>
      </w:pPr>
      <w:r w:rsidRPr="000C7FCD">
        <w:t xml:space="preserve">En Hauts-de-France, </w:t>
      </w:r>
      <w:r w:rsidRPr="00043BF5">
        <w:rPr>
          <w:b/>
        </w:rPr>
        <w:t>le déploiement de la filière hydrogène vert est aussi un enjeu majeur</w:t>
      </w:r>
      <w:r>
        <w:t xml:space="preserve">. </w:t>
      </w:r>
      <w:r w:rsidRPr="000C7FCD">
        <w:t xml:space="preserve"> </w:t>
      </w:r>
      <w:r>
        <w:t>L’hydrogène a été identifié comme une des filières clés de la dynamique rev3 et en 2019, la Région a adopté sa feuille de route « vers le développement d’un hydrogène décarboné en Hauts-de-France » visant à développer une filière hydrogène intégrant une chaîne complète de production, de conditionnement, de distribution et de valorisation d’hydrogène 100% d’origine renouvelable dans des applications finales.</w:t>
      </w:r>
      <w:r w:rsidRPr="00DC46DA">
        <w:t xml:space="preserve"> </w:t>
      </w:r>
      <w:r>
        <w:t>La Région Hauts-de-France est pionnière en matière d’hydrogène avec la mise en service par exemple de 6 bus à hydrogène à Bruay-la-Buissière, l’expérimentation GRHYD, 1</w:t>
      </w:r>
      <w:r w:rsidRPr="00DC46DA">
        <w:rPr>
          <w:vertAlign w:val="superscript"/>
        </w:rPr>
        <w:t>er</w:t>
      </w:r>
      <w:r>
        <w:t xml:space="preserve"> démonstrateur power to </w:t>
      </w:r>
      <w:proofErr w:type="spellStart"/>
      <w:r>
        <w:t>gas</w:t>
      </w:r>
      <w:proofErr w:type="spellEnd"/>
      <w:r>
        <w:t xml:space="preserve"> en France. </w:t>
      </w:r>
    </w:p>
    <w:p w14:paraId="6195ED0A" w14:textId="77777777" w:rsidR="006D6760" w:rsidRDefault="006D6760" w:rsidP="006D6760">
      <w:pPr>
        <w:pStyle w:val="BodyText"/>
      </w:pPr>
      <w:r>
        <w:t>La Région affiche une ambition forte sur la filière et plusieurs projets de démonstration ont été un succès.</w:t>
      </w:r>
      <w:r w:rsidRPr="000678F0">
        <w:t xml:space="preserve"> </w:t>
      </w:r>
      <w:r>
        <w:t>Elle est également labélisée « territoires d’hydrogène ». Néanmoins malgré une présence très forte de l’industrie ferroviaire et automobile, il n’existe pas à ce jour de véhicule hydrogène, ni d’électrolyseurs ou de piles à combustible fabriqués en hauts-de-France.</w:t>
      </w:r>
    </w:p>
    <w:p w14:paraId="4FB37E03" w14:textId="77777777" w:rsidR="006D6760" w:rsidRDefault="006D6760" w:rsidP="006D6760">
      <w:pPr>
        <w:pStyle w:val="BodyText"/>
      </w:pPr>
      <w:r>
        <w:t xml:space="preserve">Ce plan d’action de la région est centré sur 4 axes d’interventions à savoir i) structurer la filière, son animation et l’ingénierie de financement ; ii) soutenir les projets de production, stockage, distribution d’hydrogène décarboné et de récupération, épuration d’hydrogène fatal non valorisé ; iii) être précurseur dans l’injection d’hydrogène dans les réseaux et iv) développer les usages. </w:t>
      </w:r>
    </w:p>
    <w:p w14:paraId="33F609B7" w14:textId="12CE843F" w:rsidR="006D6760" w:rsidRDefault="006D6760" w:rsidP="00475210">
      <w:pPr>
        <w:pStyle w:val="BodyText"/>
      </w:pPr>
      <w:r>
        <w:t xml:space="preserve">Pour atteindre ces objectifs, la Région a </w:t>
      </w:r>
      <w:r w:rsidRPr="002931D0">
        <w:rPr>
          <w:b/>
        </w:rPr>
        <w:t>besoin de mailler le territoire d’infrastructures de productio</w:t>
      </w:r>
      <w:r w:rsidRPr="00DC01AA">
        <w:rPr>
          <w:b/>
        </w:rPr>
        <w:t>n</w:t>
      </w:r>
      <w:r>
        <w:t>. Pour y arriver, la région doit réussir la mise en œuvre de ses projets. Par exemple, e</w:t>
      </w:r>
      <w:r w:rsidRPr="00B97C2A">
        <w:t xml:space="preserve">n 2015, une étude intitulée « la Route de l’hydrogène » </w:t>
      </w:r>
      <w:r>
        <w:t>avait proposé le d</w:t>
      </w:r>
      <w:r w:rsidRPr="00B97C2A">
        <w:t>éploiement de 4 stations de distribution d’hydrogène situées sur les territoires de la Métropole Européenne de Lille, la Communauté Urbaine de Dunkerque, la zone Arras-Douai et le Boulonnais</w:t>
      </w:r>
      <w:r>
        <w:t>. À ce stade, aucun porteur de projet ou opérateur n’est encore identifié. Sur le territoire, plusieurs projets sont en cours de développement (</w:t>
      </w:r>
      <w:r w:rsidRPr="000678F0">
        <w:t>H2</w:t>
      </w:r>
      <w:r>
        <w:t>V</w:t>
      </w:r>
      <w:r w:rsidRPr="000678F0">
        <w:t xml:space="preserve"> </w:t>
      </w:r>
      <w:proofErr w:type="spellStart"/>
      <w:r w:rsidRPr="000678F0">
        <w:t>Industry</w:t>
      </w:r>
      <w:proofErr w:type="spellEnd"/>
      <w:r>
        <w:t>,</w:t>
      </w:r>
      <w:r w:rsidRPr="000678F0">
        <w:t xml:space="preserve"> H²DF</w:t>
      </w:r>
      <w:r>
        <w:t xml:space="preserve">, </w:t>
      </w:r>
      <w:r w:rsidRPr="000678F0">
        <w:t>Douaisis Agglo</w:t>
      </w:r>
      <w:r>
        <w:t xml:space="preserve">, </w:t>
      </w:r>
      <w:r w:rsidRPr="000678F0">
        <w:t>H²DK</w:t>
      </w:r>
      <w:r>
        <w:t xml:space="preserve">, </w:t>
      </w:r>
      <w:r w:rsidRPr="000678F0">
        <w:t>T’Air Energy</w:t>
      </w:r>
      <w:r>
        <w:t xml:space="preserve">, </w:t>
      </w:r>
      <w:r w:rsidRPr="000678F0">
        <w:t>AKUO ENERGY</w:t>
      </w:r>
      <w:r>
        <w:t xml:space="preserve">) et devraient bientôt passer en phase d’investissement. </w:t>
      </w:r>
      <w:r w:rsidRPr="002931D0">
        <w:rPr>
          <w:b/>
        </w:rPr>
        <w:t>La phase d’investissement nécessitera d’importants capitaux</w:t>
      </w:r>
      <w:r>
        <w:t xml:space="preserve">. </w:t>
      </w:r>
      <w:r w:rsidRPr="00477501">
        <w:t xml:space="preserve">Les </w:t>
      </w:r>
      <w:r>
        <w:t xml:space="preserve">groupes industriels (Total, Air liquide, Engie, etc.) ont accès aux sources de financements européens et nationaux telles que CEF Transports </w:t>
      </w:r>
      <w:proofErr w:type="spellStart"/>
      <w:r>
        <w:t>Blending</w:t>
      </w:r>
      <w:proofErr w:type="spellEnd"/>
      <w:r>
        <w:t xml:space="preserve"> Facility, Invest EU, Horizon EUROPE, PIA 4, Stratégie nationale pour le développement de l’hydrogène décarboné, financement privé (</w:t>
      </w:r>
      <w:proofErr w:type="spellStart"/>
      <w:r>
        <w:t>FiveTHydrogen</w:t>
      </w:r>
      <w:proofErr w:type="spellEnd"/>
      <w:r>
        <w:t xml:space="preserve">) en complément de leurs fonds propres. Au niveau régional, les instruments sont également mobilisables notamment Rev3 financement, </w:t>
      </w:r>
      <w:r w:rsidRPr="00942457">
        <w:t>SEM Energies</w:t>
      </w:r>
      <w:r>
        <w:t xml:space="preserve">, FRATRI. Compte tenu de l’enjeu stratégique que constitue l’hydrogène pour la Région, il est important de s’assurer que les sources de financements régionaux orienteront effectivement les ressources vers les projets en infrastructure sur le territoire sous forme de fonds propres afin de faciliter la levée de capitaux privés. En </w:t>
      </w:r>
      <w:r w:rsidRPr="00E528B9">
        <w:t xml:space="preserve">considérant une capacité moyenne d’électrolyseurs de 3 MW pour un coût d’investissement de 10 M€, </w:t>
      </w:r>
      <w:r>
        <w:t>on estime un montant d’investissement de 60 M€</w:t>
      </w:r>
      <w:r>
        <w:rPr>
          <w:rStyle w:val="FootnoteReference"/>
        </w:rPr>
        <w:footnoteReference w:id="66"/>
      </w:r>
      <w:r>
        <w:t xml:space="preserve"> dans les prochaines années. Avec un apport de </w:t>
      </w:r>
      <w:r w:rsidR="00E42A27">
        <w:t>3</w:t>
      </w:r>
      <w:r>
        <w:t xml:space="preserve">0%, les fonds à mobiliser sur l’hydrogène, nous anticipons qu’il sera nécessaire de mobiliser </w:t>
      </w:r>
      <w:r w:rsidR="00E42A27">
        <w:rPr>
          <w:b/>
          <w:bCs/>
        </w:rPr>
        <w:t>18</w:t>
      </w:r>
      <w:r w:rsidRPr="00C37FCE">
        <w:rPr>
          <w:b/>
          <w:bCs/>
        </w:rPr>
        <w:t xml:space="preserve"> M€</w:t>
      </w:r>
      <w:r>
        <w:t xml:space="preserve"> pour financer des projets d’infrastructures (à travers des sociétés de projets)</w:t>
      </w:r>
      <w:r w:rsidRPr="007A2648">
        <w:t xml:space="preserve"> </w:t>
      </w:r>
      <w:r>
        <w:t xml:space="preserve">pour des </w:t>
      </w:r>
      <w:r w:rsidRPr="007A2648">
        <w:t>industriels et urbains</w:t>
      </w:r>
      <w:r>
        <w:t xml:space="preserve">. Ces fonds pourront être mobiliser via les instruments </w:t>
      </w:r>
      <w:r w:rsidRPr="00C37FCE">
        <w:t>Rev3 financement, SEM Energies</w:t>
      </w:r>
      <w:r>
        <w:t xml:space="preserve">. Cette approche permettra de susciter des partenariats publics-privés (sociétés de projet). </w:t>
      </w:r>
    </w:p>
    <w:p w14:paraId="00DF760B" w14:textId="24604E1F" w:rsidR="006D6760" w:rsidRDefault="006D6760" w:rsidP="00475210">
      <w:pPr>
        <w:pStyle w:val="BodyText"/>
      </w:pPr>
      <w:r>
        <w:t xml:space="preserve">Sur la question de l’innovation, la région a soutenu de nombreux projets, dans les domaines de la recherche, de la R&amp;D, ainsi que des démonstrateurs. Nous avons dit plus tôt que les innovations sont essentielles pour faire baisser les capex et assurer finalement une compétitivité de l’hydrogène vert face à l’hydrogène gris ou bleu. Certaines technologies innovantes sont encore </w:t>
      </w:r>
      <w:r w:rsidR="00653C81">
        <w:t xml:space="preserve">en </w:t>
      </w:r>
      <w:r>
        <w:t xml:space="preserve">phases de développement et doivent démontrer leurs faisabilités technico-économiques, ainsi que leurs externalités environnementales positives. La région doit donc continuer à soutenir ces projets de R&amp;D. </w:t>
      </w:r>
      <w:r w:rsidRPr="00653C81">
        <w:rPr>
          <w:b/>
        </w:rPr>
        <w:t>Des instruments régionaux existent déjà</w:t>
      </w:r>
      <w:r>
        <w:t xml:space="preserve"> (</w:t>
      </w:r>
      <w:r w:rsidRPr="00831106">
        <w:t>Rev3 financement, FRATRI</w:t>
      </w:r>
      <w:r>
        <w:t xml:space="preserve">). Le soutien doit se poursuivre et se renforcer. Il peut s’agir de subventions uniquement ou d’un mix de subventions (50 %) et de fonds propres (50%) en fonction des niveaux de TRI. Dans le cas d’un mix subventions-fonds propres, les tickets sont de l’ordre de 500 k€/projet. Le pipe exhaustif de projets est à préciser. </w:t>
      </w:r>
    </w:p>
    <w:p w14:paraId="17C03F31" w14:textId="77777777" w:rsidR="006D6760" w:rsidRDefault="006D6760" w:rsidP="00475210">
      <w:pPr>
        <w:pStyle w:val="BodyText"/>
      </w:pPr>
      <w:r>
        <w:t>Par ailleurs, comme précédemment souligné la demande est déterminante pour accélérer la rentabilité des technologies d’hydrogène. La question du développement de la flotte se pose avec acuité. Un ensemble de dispositifs existent (</w:t>
      </w:r>
      <w:r w:rsidRPr="00DC46DA">
        <w:t>bonus écologique</w:t>
      </w:r>
      <w:r>
        <w:t xml:space="preserve">, </w:t>
      </w:r>
      <w:r w:rsidRPr="00DC46DA">
        <w:t>prime à la conversion</w:t>
      </w:r>
      <w:r>
        <w:t>) mais ces dispositifs sont insuffisants pour stimuler la demande. Il est important que la Région mette en place un dispositif de soutien à l’acquisition de véhicules hydrogène, lourds ou utilitaires pour les collectivités ou les entreprises via des subventions ou des prêts bonifiés à long terme. Ces financements viendront en complément des aides existantes.</w:t>
      </w:r>
      <w:r w:rsidRPr="00C74EC9">
        <w:t xml:space="preserve"> </w:t>
      </w:r>
      <w:r>
        <w:t>Notons également que le d</w:t>
      </w:r>
      <w:r w:rsidRPr="00C74EC9">
        <w:t>écret n° 2020-1526 du 7 décembre 2020 relatif aux aides à l'acquisition ou à la location des véhicules peu polluants</w:t>
      </w:r>
      <w:r>
        <w:t xml:space="preserve"> a entraîné depuis le 1</w:t>
      </w:r>
      <w:r w:rsidRPr="00C74EC9">
        <w:rPr>
          <w:vertAlign w:val="superscript"/>
        </w:rPr>
        <w:t>er</w:t>
      </w:r>
      <w:r>
        <w:t xml:space="preserve"> janvier 2021, la baisse du bonus écologique. </w:t>
      </w:r>
    </w:p>
    <w:p w14:paraId="4545014F" w14:textId="77777777" w:rsidR="006D6760" w:rsidRDefault="006D6760" w:rsidP="0085622F">
      <w:pPr>
        <w:pStyle w:val="Heading5"/>
      </w:pPr>
      <w:r>
        <w:t>BioGNV</w:t>
      </w:r>
    </w:p>
    <w:p w14:paraId="0350161F" w14:textId="6CDDB828" w:rsidR="006D6760" w:rsidRDefault="006D6760" w:rsidP="006D6760">
      <w:pPr>
        <w:pStyle w:val="BodyText"/>
      </w:pPr>
      <w:r>
        <w:t>Le bioGNV (biométhane carburant) est issu du biogaz. Il est produit localement à partir du traitement d’un gaz renouvelable, le biogaz. Il se substitue donc aux importations de gaz naturel fossile et offre aux territoires une amélioration de leur autonomie énergétique, même si précédemment les études montraient que le développement de la filière</w:t>
      </w:r>
      <w:r w:rsidRPr="007B4010">
        <w:t xml:space="preserve"> </w:t>
      </w:r>
      <w:r>
        <w:t xml:space="preserve">bioGNV était étroitement lié à la filière </w:t>
      </w:r>
      <w:proofErr w:type="spellStart"/>
      <w:r>
        <w:t>GnV</w:t>
      </w:r>
      <w:proofErr w:type="spellEnd"/>
      <w:r>
        <w:t>. Depuis le 1</w:t>
      </w:r>
      <w:r w:rsidRPr="00195158">
        <w:rPr>
          <w:vertAlign w:val="superscript"/>
        </w:rPr>
        <w:t>er</w:t>
      </w:r>
      <w:r>
        <w:t xml:space="preserve"> janvier 2020, l’obligation de renouvellement qui s’applique aux flottes de bus et cars devraient accélérer les conversions des flottes. Cette obligation s’applique aux collectivités gérant directement ou indirectement un parc de plus de 20 véhicules. De plus, le développement des zones à faibles émissions mobilité instaurées par la loi, constitue une opportunité de croissance pour la filière. </w:t>
      </w:r>
    </w:p>
    <w:p w14:paraId="326D59F6" w14:textId="77777777" w:rsidR="006D6760" w:rsidRDefault="006D6760" w:rsidP="006D6760">
      <w:pPr>
        <w:pStyle w:val="BodyText"/>
      </w:pPr>
      <w:r w:rsidRPr="009A122E">
        <w:t xml:space="preserve">La technologie </w:t>
      </w:r>
      <w:r>
        <w:t xml:space="preserve">de production de BioGNV </w:t>
      </w:r>
      <w:r w:rsidRPr="009A122E">
        <w:t>est en phase avancée et l’arrivée à maturité est prometteuse.</w:t>
      </w:r>
      <w:r>
        <w:t xml:space="preserve"> Le réseau d’avitaillement de plus en plus dense, 2</w:t>
      </w:r>
      <w:r w:rsidRPr="00195158">
        <w:t>86 GWh de BioGNV ont été consommés en 2020</w:t>
      </w:r>
      <w:r>
        <w:t>.</w:t>
      </w:r>
    </w:p>
    <w:p w14:paraId="2820FCC6" w14:textId="77777777" w:rsidR="006D6760" w:rsidRDefault="006D6760" w:rsidP="006D6760">
      <w:pPr>
        <w:pStyle w:val="BodyText"/>
      </w:pPr>
      <w:r w:rsidRPr="009A122E">
        <w:t xml:space="preserve">Les infrastructures se financent par la subvention mais également par des banques qui accompagnent le déploiement des stations. La technologie est assez mature et devrait se passer de subventions dans les prochaines années. </w:t>
      </w:r>
    </w:p>
    <w:p w14:paraId="148E1093" w14:textId="5A497EC0" w:rsidR="006D6760" w:rsidRPr="009A122E" w:rsidRDefault="006D6760" w:rsidP="006D6760">
      <w:pPr>
        <w:pStyle w:val="BodyText"/>
      </w:pPr>
      <w:r>
        <w:t xml:space="preserve">En Hauts-de-France, il y a un </w:t>
      </w:r>
      <w:r w:rsidRPr="005F1AE8">
        <w:rPr>
          <w:b/>
        </w:rPr>
        <w:t>enjeu de maillage du territoire</w:t>
      </w:r>
      <w:r>
        <w:t xml:space="preserve">, en stations d’avitaillement (environ 20 nouvelles stations devront être installées dans les années à venir notamment en zones grises). En zones grises, les probabilités de rentabilité sont plus faibles, ce qui fait émerger un besoin en fonds propres pour faciliter la levée des capitaux privés. </w:t>
      </w:r>
      <w:r w:rsidR="005F1AE8" w:rsidRPr="005F1AE8">
        <w:rPr>
          <w:b/>
          <w:bCs/>
        </w:rPr>
        <w:t>C</w:t>
      </w:r>
      <w:r w:rsidRPr="005F1AE8">
        <w:rPr>
          <w:b/>
          <w:bCs/>
        </w:rPr>
        <w:t>es</w:t>
      </w:r>
      <w:r w:rsidRPr="005F1AE8">
        <w:rPr>
          <w:b/>
        </w:rPr>
        <w:t xml:space="preserve"> fonds propres peuvent être investis en société de projets en partenariat avec les transporteurs.</w:t>
      </w:r>
      <w:r>
        <w:t xml:space="preserve"> Le coût d’une station est en moyenne de </w:t>
      </w:r>
      <w:r w:rsidRPr="009A122E">
        <w:t>à 1,5 M€/projet</w:t>
      </w:r>
      <w:r>
        <w:t xml:space="preserve">, soit </w:t>
      </w:r>
      <w:r w:rsidRPr="009A122E">
        <w:t>30 M€</w:t>
      </w:r>
      <w:r>
        <w:t xml:space="preserve"> </w:t>
      </w:r>
      <w:r w:rsidRPr="009A122E">
        <w:t>pour 20 stations</w:t>
      </w:r>
      <w:r>
        <w:t xml:space="preserve">. En supposant un apport de </w:t>
      </w:r>
      <w:r w:rsidR="009D744E">
        <w:t>3</w:t>
      </w:r>
      <w:r>
        <w:t xml:space="preserve">0% en fonds propres par projet, les capitaux à mobiliser pour inciter au déploiement des stations BioGNV est donc de </w:t>
      </w:r>
      <w:r w:rsidR="009D744E">
        <w:rPr>
          <w:b/>
        </w:rPr>
        <w:t>9</w:t>
      </w:r>
      <w:r w:rsidRPr="005F1AE8">
        <w:rPr>
          <w:b/>
        </w:rPr>
        <w:t xml:space="preserve"> M€.</w:t>
      </w:r>
      <w:r>
        <w:t xml:space="preserve"> </w:t>
      </w:r>
    </w:p>
    <w:p w14:paraId="291E864F" w14:textId="213DBE5B" w:rsidR="006D6760" w:rsidRDefault="006D6760" w:rsidP="0085622F">
      <w:pPr>
        <w:pStyle w:val="Heading5"/>
      </w:pPr>
      <w:r>
        <w:t xml:space="preserve">Focus mobilité </w:t>
      </w:r>
    </w:p>
    <w:p w14:paraId="1313534D" w14:textId="77777777" w:rsidR="006D6760" w:rsidRDefault="006D6760" w:rsidP="006D6760">
      <w:pPr>
        <w:pStyle w:val="BodyText"/>
      </w:pPr>
      <w:r>
        <w:t>Les</w:t>
      </w:r>
      <w:r w:rsidRPr="007B4010">
        <w:t xml:space="preserve"> usages actuels </w:t>
      </w:r>
      <w:r>
        <w:t xml:space="preserve">de l’hydrogène sont </w:t>
      </w:r>
      <w:r w:rsidRPr="007B4010">
        <w:t>majoritairement orientés vers la mobilité</w:t>
      </w:r>
      <w:r>
        <w:t xml:space="preserve"> (en raison du rendement énergétique élevé qu’il offre dans le domaine des transports) et la filière BioGNV est aussi très importante dans la décarbonation des transports. </w:t>
      </w:r>
    </w:p>
    <w:p w14:paraId="676F7934" w14:textId="70BBFE21" w:rsidR="006D6760" w:rsidRPr="009A122E" w:rsidRDefault="006D6760" w:rsidP="006D6760">
      <w:pPr>
        <w:pStyle w:val="BodyText"/>
      </w:pPr>
      <w:r>
        <w:t xml:space="preserve">Au regard de nos analyses précédentes, nous avons vu qu’au-delà des infrastructures de productions d’hydrogène, il existe également un besoin d’infrastructures d’avitaillement surtout dans les zones grises. L’approche de stations multi-énergies vertes permettant de distribuer à la fois de l’énergie électrique (nucléaire, garantie sources vertes, ou PV produit localement par exemple), du BioGNV et de l’hydrogène est une piste intéressante. Le coût de ce type de station est en moyenne de </w:t>
      </w:r>
      <w:r w:rsidRPr="009A122E">
        <w:t>à 1,5 M€/projet</w:t>
      </w:r>
      <w:r>
        <w:t xml:space="preserve">, soit </w:t>
      </w:r>
      <w:r w:rsidRPr="009A122E">
        <w:t>30 M€</w:t>
      </w:r>
      <w:r>
        <w:t xml:space="preserve"> </w:t>
      </w:r>
      <w:r w:rsidRPr="009A122E">
        <w:t>pour 20 stations</w:t>
      </w:r>
      <w:r>
        <w:t xml:space="preserve">. En supposant un apport de </w:t>
      </w:r>
      <w:r w:rsidR="009D744E">
        <w:t>3</w:t>
      </w:r>
      <w:r>
        <w:t xml:space="preserve">0% en fonds propres par projet, les capitaux à mobiliser pour inciter au déploiement des stations est donc de </w:t>
      </w:r>
      <w:r w:rsidR="009D744E">
        <w:t>9</w:t>
      </w:r>
      <w:r>
        <w:t xml:space="preserve"> </w:t>
      </w:r>
      <w:r w:rsidRPr="009A122E">
        <w:t>M€</w:t>
      </w:r>
      <w:r>
        <w:t xml:space="preserve">. </w:t>
      </w:r>
    </w:p>
    <w:p w14:paraId="385FB041" w14:textId="500738DE" w:rsidR="0024076E" w:rsidRDefault="0024076E" w:rsidP="0085622F">
      <w:pPr>
        <w:pStyle w:val="Heading4"/>
      </w:pPr>
      <w:r>
        <w:t xml:space="preserve">Réseaux </w:t>
      </w:r>
      <w:r w:rsidRPr="00393516">
        <w:t>intelligents</w:t>
      </w:r>
    </w:p>
    <w:p w14:paraId="6214AE9B" w14:textId="77777777" w:rsidR="00F74AE3" w:rsidRDefault="0024076E" w:rsidP="00F74AE3">
      <w:pPr>
        <w:pStyle w:val="BodyText"/>
      </w:pPr>
      <w:r>
        <w:t xml:space="preserve">Les réseaux intelligents (smart </w:t>
      </w:r>
      <w:proofErr w:type="spellStart"/>
      <w:r>
        <w:t>grid</w:t>
      </w:r>
      <w:proofErr w:type="spellEnd"/>
      <w:r>
        <w:t xml:space="preserve">) permettent d’utiliser les NTIC comme leviers d’amélioration de la fourniture d’énergie. Ces technologies rendent à la fois le réseau plus adaptable pour les opérateurs et facilite l’insertion dans les réseaux de nouveaux moyens de production </w:t>
      </w:r>
      <w:r w:rsidRPr="00F73A98">
        <w:t>d’énergie, en particulier d’origine renouvelable (éolien, solaire)</w:t>
      </w:r>
      <w:r w:rsidR="008A499C">
        <w:t xml:space="preserve"> et </w:t>
      </w:r>
      <w:r w:rsidRPr="00F73A98">
        <w:t xml:space="preserve">pour les consommateurs, ils facilitent le suivi des consommations et la maîtrise de leur facture énergétique. </w:t>
      </w:r>
      <w:r w:rsidR="00F74AE3">
        <w:t xml:space="preserve">Les principaux acteurs des smart </w:t>
      </w:r>
      <w:proofErr w:type="spellStart"/>
      <w:r w:rsidR="00F74AE3">
        <w:t>grids</w:t>
      </w:r>
      <w:proofErr w:type="spellEnd"/>
      <w:r w:rsidR="00F74AE3">
        <w:t xml:space="preserve"> sont à la fois les énergéticiens, les entreprises de l</w:t>
      </w:r>
      <w:r w:rsidR="00F74AE3">
        <w:rPr>
          <w:rFonts w:ascii="Century Gothic" w:hAnsi="Century Gothic" w:cs="Century Gothic"/>
        </w:rPr>
        <w:t>’é</w:t>
      </w:r>
      <w:r w:rsidR="00F74AE3">
        <w:t>lectrotechnique (Schneider, ABB, etc.), des t</w:t>
      </w:r>
      <w:r w:rsidR="00F74AE3">
        <w:rPr>
          <w:rFonts w:ascii="Century Gothic" w:hAnsi="Century Gothic" w:cs="Century Gothic"/>
        </w:rPr>
        <w:t>é</w:t>
      </w:r>
      <w:r w:rsidR="00F74AE3">
        <w:t>l</w:t>
      </w:r>
      <w:r w:rsidR="00F74AE3">
        <w:rPr>
          <w:rFonts w:ascii="Century Gothic" w:hAnsi="Century Gothic" w:cs="Century Gothic"/>
        </w:rPr>
        <w:t>é</w:t>
      </w:r>
      <w:r w:rsidR="00F74AE3">
        <w:t xml:space="preserve">communications (Orange, Bouygues, Vodafone, Verizon, AT&amp;T). Dans le secteur informatique, Cisco, IBM, Google, ou encore Oracle, sont très actifs. </w:t>
      </w:r>
    </w:p>
    <w:p w14:paraId="49F98415" w14:textId="00FFD8E5" w:rsidR="0024076E" w:rsidRPr="00F73A98" w:rsidRDefault="0024076E" w:rsidP="0024076E">
      <w:pPr>
        <w:pStyle w:val="BodyText"/>
      </w:pPr>
      <w:r w:rsidRPr="00F73A98">
        <w:t>Au vu de son importance, plusieurs acteurs nationaux et européens se mobilisent pour mobiliser les financements des tels</w:t>
      </w:r>
      <w:r w:rsidR="00DA197C">
        <w:t xml:space="preserve"> </w:t>
      </w:r>
      <w:r w:rsidRPr="00F73A98">
        <w:t xml:space="preserve">projets : </w:t>
      </w:r>
    </w:p>
    <w:p w14:paraId="044CE4A3" w14:textId="77777777" w:rsidR="0024076E" w:rsidRPr="00F73A98" w:rsidRDefault="0024076E" w:rsidP="0024076E">
      <w:pPr>
        <w:pStyle w:val="Bullet1"/>
        <w:tabs>
          <w:tab w:val="clear" w:pos="643"/>
        </w:tabs>
      </w:pPr>
      <w:r w:rsidRPr="00F73A98">
        <w:t>La feuille de route du plan « Réseaux Electriques intelligents » lancé en 2015, avait pour ambition d’accompagner le déploiement de technologies avancées, combinant les technologies numériques, de télécommunication et électrotechnique.</w:t>
      </w:r>
    </w:p>
    <w:p w14:paraId="14EBEDE0" w14:textId="77777777" w:rsidR="0024076E" w:rsidRDefault="0024076E" w:rsidP="0024076E">
      <w:pPr>
        <w:pStyle w:val="Bullet1"/>
        <w:tabs>
          <w:tab w:val="clear" w:pos="643"/>
        </w:tabs>
      </w:pPr>
      <w:r w:rsidRPr="007A58B5">
        <w:t xml:space="preserve">Plusieurs appels à manifestations d’intérêt (AMI) sont publiés par l’ADEME pour l’amélioration de la connaissance sur ces technologies, leur efficacité environnementale et leur acceptabilité, et à structurer les acteurs de cette nouvelle filière industrielle. </w:t>
      </w:r>
    </w:p>
    <w:p w14:paraId="3A1167BE" w14:textId="77777777" w:rsidR="0024076E" w:rsidRDefault="0024076E" w:rsidP="0024076E">
      <w:pPr>
        <w:pStyle w:val="Bullet1"/>
        <w:tabs>
          <w:tab w:val="clear" w:pos="643"/>
        </w:tabs>
      </w:pPr>
      <w:r w:rsidRPr="007A58B5">
        <w:t xml:space="preserve">L’initiative ERA-Net SES focus Smart </w:t>
      </w:r>
      <w:proofErr w:type="spellStart"/>
      <w:r w:rsidRPr="007A58B5">
        <w:t>Grids</w:t>
      </w:r>
      <w:proofErr w:type="spellEnd"/>
      <w:r w:rsidRPr="007A58B5">
        <w:t xml:space="preserve"> Plus (dans le cadre du H2020) promeut et finance des projets communs et des activités d’accompagnement conjointes, les initiatives de R&amp;D et les installations de démonstration prêtes à l’emploi aux niveaux régional, national et européen. Ces financements passent par des appels à proposition dédiés aux réseaux intelligents (smart </w:t>
      </w:r>
      <w:proofErr w:type="spellStart"/>
      <w:r w:rsidRPr="007A58B5">
        <w:t>grids</w:t>
      </w:r>
      <w:proofErr w:type="spellEnd"/>
      <w:r w:rsidRPr="007A58B5">
        <w:t>).</w:t>
      </w:r>
      <w:r>
        <w:t xml:space="preserve"> </w:t>
      </w:r>
    </w:p>
    <w:p w14:paraId="48C5B4CC" w14:textId="77777777" w:rsidR="0024076E" w:rsidRDefault="0024076E" w:rsidP="0024076E">
      <w:pPr>
        <w:pStyle w:val="Bullet1"/>
        <w:tabs>
          <w:tab w:val="clear" w:pos="643"/>
        </w:tabs>
      </w:pPr>
      <w:r w:rsidRPr="007A58B5">
        <w:t xml:space="preserve">Le mécanisme pour l’interconnexion en Europe, avec le soutien de l’outil de financement </w:t>
      </w:r>
      <w:proofErr w:type="spellStart"/>
      <w:r w:rsidRPr="007A58B5">
        <w:t>Connecting</w:t>
      </w:r>
      <w:proofErr w:type="spellEnd"/>
      <w:r w:rsidRPr="007A58B5">
        <w:t xml:space="preserve"> Europe Facility (CEF) Energy, vise à investir 444 M€ dans des projets énergétiques soutenant l’Union européenne de l’énergie.</w:t>
      </w:r>
    </w:p>
    <w:p w14:paraId="63B5C89B" w14:textId="5EA9C7DB" w:rsidR="0024076E" w:rsidRDefault="0024076E" w:rsidP="0024076E">
      <w:pPr>
        <w:pStyle w:val="BodyText"/>
      </w:pPr>
      <w:r>
        <w:t>En Hauts-de-France, les réseaux intelligents sont mis au centre de la transition énergétique, la décarbonation du tissu industriel notamment.</w:t>
      </w:r>
      <w:r w:rsidRPr="00AB44EB">
        <w:t xml:space="preserve"> </w:t>
      </w:r>
      <w:r>
        <w:t xml:space="preserve">Les </w:t>
      </w:r>
      <w:r w:rsidRPr="00AB44EB">
        <w:t xml:space="preserve">Hauts-de-France </w:t>
      </w:r>
      <w:r>
        <w:t xml:space="preserve">souhaitent devenir </w:t>
      </w:r>
      <w:r w:rsidRPr="00AB44EB">
        <w:t xml:space="preserve">un leader des smart </w:t>
      </w:r>
      <w:proofErr w:type="spellStart"/>
      <w:r w:rsidRPr="00AB44EB">
        <w:t>grids</w:t>
      </w:r>
      <w:proofErr w:type="spellEnd"/>
      <w:r w:rsidRPr="00AB44EB">
        <w:t xml:space="preserve"> en </w:t>
      </w:r>
      <w:r>
        <w:t xml:space="preserve">France. </w:t>
      </w:r>
      <w:r w:rsidRPr="00AB44EB">
        <w:t xml:space="preserve">Le Comité Opérationnel Régional des Réseaux Electriques Intelligents </w:t>
      </w:r>
      <w:r w:rsidR="007515BB">
        <w:t>a</w:t>
      </w:r>
      <w:r w:rsidRPr="00AB44EB">
        <w:t xml:space="preserve"> pour mission d’établir une feuille de route régionale </w:t>
      </w:r>
      <w:r>
        <w:t xml:space="preserve">pour y parvenir. Le </w:t>
      </w:r>
      <w:r w:rsidRPr="00AB44EB">
        <w:t>Fonds Régional d'Amplification de la Troisième Révolution Industrielle (FRATRI)</w:t>
      </w:r>
      <w:r>
        <w:t xml:space="preserve"> appui le déploiement de ces réseaux. </w:t>
      </w:r>
    </w:p>
    <w:p w14:paraId="2F06F131" w14:textId="30F4C773" w:rsidR="0024076E" w:rsidRPr="006D6760" w:rsidRDefault="0024076E" w:rsidP="0024076E">
      <w:pPr>
        <w:pStyle w:val="BodyText"/>
      </w:pPr>
      <w:r>
        <w:t xml:space="preserve">Il est à noter que les besoins en financements en </w:t>
      </w:r>
      <w:r w:rsidRPr="00924D09">
        <w:rPr>
          <w:i/>
          <w:iCs/>
        </w:rPr>
        <w:t>sm</w:t>
      </w:r>
      <w:r w:rsidR="00924D09" w:rsidRPr="00924D09">
        <w:rPr>
          <w:i/>
          <w:iCs/>
        </w:rPr>
        <w:t>a</w:t>
      </w:r>
      <w:r w:rsidRPr="00924D09">
        <w:rPr>
          <w:i/>
          <w:iCs/>
        </w:rPr>
        <w:t xml:space="preserve">rt </w:t>
      </w:r>
      <w:proofErr w:type="spellStart"/>
      <w:r w:rsidRPr="00924D09">
        <w:rPr>
          <w:i/>
          <w:iCs/>
        </w:rPr>
        <w:t>grids</w:t>
      </w:r>
      <w:proofErr w:type="spellEnd"/>
      <w:r>
        <w:t xml:space="preserve"> restent pour l’instant en subventions.  </w:t>
      </w:r>
    </w:p>
    <w:p w14:paraId="021A4B5C" w14:textId="1A5E4C0F" w:rsidR="00AA3CFD" w:rsidRDefault="00AA3CFD">
      <w:pPr>
        <w:rPr>
          <w:rFonts w:asciiTheme="majorHAnsi" w:eastAsiaTheme="majorEastAsia" w:hAnsiTheme="majorHAnsi" w:cstheme="majorBidi"/>
          <w:color w:val="CF342C" w:themeColor="text2"/>
          <w:sz w:val="22"/>
          <w:szCs w:val="26"/>
        </w:rPr>
      </w:pPr>
      <w:r>
        <w:br w:type="page"/>
      </w:r>
    </w:p>
    <w:p w14:paraId="14C6C5E5" w14:textId="5448A622" w:rsidR="00C43C1D" w:rsidRDefault="00C43C1D" w:rsidP="00DD2255">
      <w:pPr>
        <w:pStyle w:val="Heading2"/>
      </w:pPr>
      <w:bookmarkStart w:id="105" w:name="_Toc93390286"/>
      <w:r>
        <w:t>Besoins et défaillances de financement de l’efficacité énergétique du bâti</w:t>
      </w:r>
      <w:bookmarkEnd w:id="105"/>
    </w:p>
    <w:tbl>
      <w:tblPr>
        <w:tblStyle w:val="TableGrid"/>
        <w:tblW w:w="0" w:type="auto"/>
        <w:tblLook w:val="04A0" w:firstRow="1" w:lastRow="0" w:firstColumn="1" w:lastColumn="0" w:noHBand="0" w:noVBand="1"/>
      </w:tblPr>
      <w:tblGrid>
        <w:gridCol w:w="9062"/>
      </w:tblGrid>
      <w:tr w:rsidR="00C43C1D" w:rsidRPr="0059485A" w14:paraId="12A1C706" w14:textId="77777777" w:rsidTr="00D70F6D">
        <w:tc>
          <w:tcPr>
            <w:tcW w:w="9062" w:type="dxa"/>
            <w:tcBorders>
              <w:top w:val="single" w:sz="4" w:space="0" w:color="CF342C" w:themeColor="text2"/>
              <w:left w:val="single" w:sz="4" w:space="0" w:color="CF342C" w:themeColor="text2"/>
              <w:bottom w:val="single" w:sz="4" w:space="0" w:color="CF342C" w:themeColor="text2"/>
              <w:right w:val="single" w:sz="4" w:space="0" w:color="CF342C" w:themeColor="text2"/>
            </w:tcBorders>
          </w:tcPr>
          <w:p w14:paraId="28A28C27" w14:textId="77777777" w:rsidR="00C43C1D" w:rsidRPr="0015280E" w:rsidRDefault="00C43C1D" w:rsidP="00D70F6D">
            <w:pPr>
              <w:pStyle w:val="Tabletext"/>
              <w:rPr>
                <w:b/>
                <w:bCs/>
              </w:rPr>
            </w:pPr>
            <w:r w:rsidRPr="0015280E">
              <w:rPr>
                <w:b/>
                <w:bCs/>
              </w:rPr>
              <w:t xml:space="preserve">Points clefs à retenir : </w:t>
            </w:r>
          </w:p>
          <w:p w14:paraId="377228E6" w14:textId="6FB7654D" w:rsidR="00E23161" w:rsidRDefault="00934EAC" w:rsidP="00C43C1D">
            <w:pPr>
              <w:pStyle w:val="Tablebullet1"/>
            </w:pPr>
            <w:r>
              <w:t>La Région dispo</w:t>
            </w:r>
            <w:r w:rsidR="00DB22B0">
              <w:t>s</w:t>
            </w:r>
            <w:r>
              <w:t xml:space="preserve">e d’un </w:t>
            </w:r>
            <w:r w:rsidRPr="00DB22B0">
              <w:rPr>
                <w:b/>
                <w:bCs/>
              </w:rPr>
              <w:t>important parc</w:t>
            </w:r>
            <w:r>
              <w:t xml:space="preserve"> résidentiel</w:t>
            </w:r>
            <w:r w:rsidR="004D06B8">
              <w:t xml:space="preserve"> </w:t>
            </w:r>
            <w:r w:rsidR="004D06B8" w:rsidRPr="00DB22B0">
              <w:rPr>
                <w:b/>
                <w:bCs/>
              </w:rPr>
              <w:t>à rénover</w:t>
            </w:r>
            <w:r>
              <w:t xml:space="preserve">, social </w:t>
            </w:r>
            <w:r w:rsidR="008D44A2">
              <w:t>(près de 600 000 lo</w:t>
            </w:r>
            <w:r w:rsidR="000D02AB">
              <w:t>gements majoritairement classés C et D)</w:t>
            </w:r>
            <w:r>
              <w:t xml:space="preserve"> et privé</w:t>
            </w:r>
            <w:r w:rsidR="00BC6596">
              <w:t xml:space="preserve"> (près de 3 millions de logements,</w:t>
            </w:r>
            <w:r w:rsidR="004D06B8">
              <w:t xml:space="preserve"> avec 2 logements vendus sur 5 considérés comme énergivore</w:t>
            </w:r>
            <w:r w:rsidR="006B1A37">
              <w:t>s</w:t>
            </w:r>
            <w:r w:rsidR="004D06B8">
              <w:t>)</w:t>
            </w:r>
            <w:r>
              <w:t>, ainsi qu’un potentiel de ré</w:t>
            </w:r>
            <w:r w:rsidR="00DB22B0">
              <w:t>novation énergétique fort dans le parc tertiaire public</w:t>
            </w:r>
            <w:r w:rsidR="006B1A37">
              <w:t>.</w:t>
            </w:r>
          </w:p>
          <w:p w14:paraId="22E3C7C1" w14:textId="29B70FBF" w:rsidR="00E23161" w:rsidRDefault="00DB22B0" w:rsidP="00C43C1D">
            <w:pPr>
              <w:pStyle w:val="Tablebullet1"/>
            </w:pPr>
            <w:r>
              <w:t>Les c</w:t>
            </w:r>
            <w:r w:rsidR="00E23161">
              <w:t xml:space="preserve">ollectivités </w:t>
            </w:r>
            <w:r>
              <w:t>territoriales apparaissent</w:t>
            </w:r>
            <w:r w:rsidR="00E23161">
              <w:t xml:space="preserve"> ambitieuses </w:t>
            </w:r>
            <w:r>
              <w:t>au niveau</w:t>
            </w:r>
            <w:r w:rsidR="00E23161">
              <w:t xml:space="preserve"> de rénovation énergétique du bâti tertiaire mais </w:t>
            </w:r>
            <w:r>
              <w:t xml:space="preserve">connaissent des </w:t>
            </w:r>
            <w:r w:rsidR="00E23161">
              <w:t xml:space="preserve">difficultés d’accès </w:t>
            </w:r>
            <w:r>
              <w:t>aux</w:t>
            </w:r>
            <w:r w:rsidR="00E23161">
              <w:t xml:space="preserve"> financements et dispositif</w:t>
            </w:r>
            <w:r w:rsidR="003340E2">
              <w:t>s</w:t>
            </w:r>
            <w:r>
              <w:t xml:space="preserve">, notamment pour des raisons de </w:t>
            </w:r>
            <w:r w:rsidR="00AA2907">
              <w:t>manque de compétence en ingénierie.</w:t>
            </w:r>
          </w:p>
          <w:p w14:paraId="6FB9F2F5" w14:textId="68D0394B" w:rsidR="00E23161" w:rsidRDefault="00AA2907" w:rsidP="00C43C1D">
            <w:pPr>
              <w:pStyle w:val="Tablebullet1"/>
            </w:pPr>
            <w:r>
              <w:t xml:space="preserve">Les dispositifs à destination des bailleurs sociaux ne sont pas uniformes sur le territoire et </w:t>
            </w:r>
            <w:r w:rsidR="00C378B4">
              <w:t>une disparité géographique est ainsi observée sur le bâti social.</w:t>
            </w:r>
            <w:r>
              <w:t xml:space="preserve"> </w:t>
            </w:r>
            <w:r w:rsidR="00C378B4">
              <w:t xml:space="preserve"> </w:t>
            </w:r>
          </w:p>
          <w:p w14:paraId="1E3B77C3" w14:textId="77F89C1B" w:rsidR="00E23161" w:rsidRDefault="005E7AF9" w:rsidP="00C43C1D">
            <w:pPr>
              <w:pStyle w:val="Tablebullet1"/>
            </w:pPr>
            <w:r>
              <w:t>Les dispositifs existants</w:t>
            </w:r>
            <w:r w:rsidR="00C378B4">
              <w:t xml:space="preserve"> rendent </w:t>
            </w:r>
            <w:r w:rsidR="00C378B4" w:rsidRPr="00C378B4">
              <w:rPr>
                <w:b/>
                <w:bCs/>
              </w:rPr>
              <w:t>d</w:t>
            </w:r>
            <w:r w:rsidR="00B42F85" w:rsidRPr="00C378B4">
              <w:rPr>
                <w:b/>
                <w:bCs/>
              </w:rPr>
              <w:t xml:space="preserve">ifficile </w:t>
            </w:r>
            <w:r w:rsidR="00C378B4" w:rsidRPr="00C378B4">
              <w:rPr>
                <w:b/>
                <w:bCs/>
              </w:rPr>
              <w:t>l’</w:t>
            </w:r>
            <w:r w:rsidR="00B42F85" w:rsidRPr="00C378B4">
              <w:rPr>
                <w:b/>
                <w:bCs/>
              </w:rPr>
              <w:t>arbitrage entre l</w:t>
            </w:r>
            <w:r w:rsidR="00C378B4" w:rsidRPr="00C378B4">
              <w:rPr>
                <w:b/>
                <w:bCs/>
              </w:rPr>
              <w:t>’ambition de la</w:t>
            </w:r>
            <w:r w:rsidR="00B42F85" w:rsidRPr="00C378B4">
              <w:rPr>
                <w:b/>
                <w:bCs/>
              </w:rPr>
              <w:t xml:space="preserve"> rénovation</w:t>
            </w:r>
            <w:r w:rsidR="00B42F85">
              <w:t xml:space="preserve"> long-terme </w:t>
            </w:r>
            <w:r w:rsidR="00C378B4">
              <w:t xml:space="preserve">et la volonté de </w:t>
            </w:r>
            <w:r w:rsidR="00C378B4" w:rsidRPr="00C378B4">
              <w:rPr>
                <w:b/>
                <w:bCs/>
              </w:rPr>
              <w:t>massifier les rénovations</w:t>
            </w:r>
            <w:r w:rsidR="00C378B4">
              <w:t xml:space="preserve">. Les bailleurs sociaux ont </w:t>
            </w:r>
            <w:r w:rsidR="001E4374">
              <w:t>jusque-là</w:t>
            </w:r>
            <w:r w:rsidR="00C378B4">
              <w:t xml:space="preserve"> fait le choix d’effectuer un nombre limité de rénovation à fort impact. </w:t>
            </w:r>
            <w:r w:rsidR="00B42F85">
              <w:t xml:space="preserve"> </w:t>
            </w:r>
            <w:r w:rsidR="00C378B4">
              <w:t xml:space="preserve"> </w:t>
            </w:r>
          </w:p>
          <w:p w14:paraId="7609D9AF" w14:textId="5A2E4D9E" w:rsidR="00B42F85" w:rsidRDefault="00C378B4" w:rsidP="00C43C1D">
            <w:pPr>
              <w:pStyle w:val="Tablebullet1"/>
            </w:pPr>
            <w:r>
              <w:t>Des i</w:t>
            </w:r>
            <w:r w:rsidR="00B42F85">
              <w:t xml:space="preserve">nnovations </w:t>
            </w:r>
            <w:r>
              <w:t>sont en cours de développement autour du</w:t>
            </w:r>
            <w:r w:rsidR="00B42F85">
              <w:t xml:space="preserve"> bâti tertiaire public et </w:t>
            </w:r>
            <w:r>
              <w:t>du</w:t>
            </w:r>
            <w:r w:rsidR="00B42F85">
              <w:t xml:space="preserve"> résidentiel social avec </w:t>
            </w:r>
            <w:r>
              <w:t>des dispositifs tels que l’</w:t>
            </w:r>
            <w:proofErr w:type="spellStart"/>
            <w:r>
              <w:t>intracting</w:t>
            </w:r>
            <w:proofErr w:type="spellEnd"/>
            <w:r>
              <w:t xml:space="preserve"> ou la démarche EnergieSprong. Celle-ci se développent toutefois encore </w:t>
            </w:r>
            <w:r w:rsidR="001E4374">
              <w:t>lentement, par</w:t>
            </w:r>
            <w:r w:rsidR="00B42F85">
              <w:t xml:space="preserve"> nouveauté </w:t>
            </w:r>
            <w:r>
              <w:t xml:space="preserve">et manque d’acculturation </w:t>
            </w:r>
            <w:r w:rsidR="00B42F85">
              <w:t>pour les collectivités (</w:t>
            </w:r>
            <w:proofErr w:type="spellStart"/>
            <w:r w:rsidR="00B42F85">
              <w:t>I</w:t>
            </w:r>
            <w:r>
              <w:t>nt</w:t>
            </w:r>
            <w:r w:rsidR="00B42F85">
              <w:t>racting</w:t>
            </w:r>
            <w:proofErr w:type="spellEnd"/>
            <w:r w:rsidR="00B42F85">
              <w:t>) et par manque de moyens pour les bailleurs sociaux (coûts de l’innovatio</w:t>
            </w:r>
            <w:r w:rsidR="001E4374">
              <w:t>n</w:t>
            </w:r>
            <w:r w:rsidR="00B42F85">
              <w:t xml:space="preserve"> pour EnergieSprong)</w:t>
            </w:r>
            <w:r w:rsidR="00FF3865">
              <w:t>.</w:t>
            </w:r>
          </w:p>
          <w:p w14:paraId="32AF038C" w14:textId="77777777" w:rsidR="00C43C1D" w:rsidRDefault="00C378B4" w:rsidP="00C43C1D">
            <w:pPr>
              <w:pStyle w:val="Tablebullet1"/>
            </w:pPr>
            <w:r>
              <w:t xml:space="preserve">Un véritable </w:t>
            </w:r>
            <w:r w:rsidRPr="00C378B4">
              <w:rPr>
                <w:b/>
                <w:bCs/>
              </w:rPr>
              <w:t>p</w:t>
            </w:r>
            <w:r w:rsidR="00B42F85" w:rsidRPr="00C378B4">
              <w:rPr>
                <w:b/>
                <w:bCs/>
              </w:rPr>
              <w:t xml:space="preserve">otentiel </w:t>
            </w:r>
            <w:r w:rsidRPr="00C378B4">
              <w:rPr>
                <w:b/>
                <w:bCs/>
              </w:rPr>
              <w:t>de</w:t>
            </w:r>
            <w:r w:rsidR="00B42F85" w:rsidRPr="00C378B4">
              <w:rPr>
                <w:b/>
                <w:bCs/>
              </w:rPr>
              <w:t xml:space="preserve"> </w:t>
            </w:r>
            <w:r w:rsidR="00B42F85" w:rsidRPr="00C378B4">
              <w:rPr>
                <w:b/>
              </w:rPr>
              <w:t xml:space="preserve">création </w:t>
            </w:r>
            <w:r w:rsidRPr="00C378B4">
              <w:rPr>
                <w:b/>
                <w:bCs/>
              </w:rPr>
              <w:t xml:space="preserve">et de </w:t>
            </w:r>
            <w:r w:rsidR="001E4374" w:rsidRPr="00C378B4">
              <w:rPr>
                <w:b/>
                <w:bCs/>
              </w:rPr>
              <w:t>structuration d’une</w:t>
            </w:r>
            <w:r w:rsidR="00B42F85" w:rsidRPr="00C378B4">
              <w:rPr>
                <w:b/>
              </w:rPr>
              <w:t xml:space="preserve"> filière industrielle de rénovation des bâtiments</w:t>
            </w:r>
            <w:r w:rsidR="00B42F85">
              <w:t xml:space="preserve"> (EnergieSprong)</w:t>
            </w:r>
            <w:r>
              <w:t xml:space="preserve"> est observé et pourra être accompagné au cours des prochaines années.</w:t>
            </w:r>
          </w:p>
          <w:p w14:paraId="7EE78337" w14:textId="4590A6E2" w:rsidR="00FF3865" w:rsidRPr="003A49DD" w:rsidRDefault="00FF3865" w:rsidP="00FF3865">
            <w:pPr>
              <w:pStyle w:val="Tablebullet1"/>
            </w:pPr>
            <w:r>
              <w:t xml:space="preserve">L’augmentation du prix des matières premières </w:t>
            </w:r>
            <w:proofErr w:type="spellStart"/>
            <w:r>
              <w:t>bio-sourcées</w:t>
            </w:r>
            <w:proofErr w:type="spellEnd"/>
            <w:r>
              <w:t xml:space="preserve"> est un enjeu pour la rénovation de l’ensemble du parc (résidentiel et tertiaire).</w:t>
            </w:r>
          </w:p>
        </w:tc>
      </w:tr>
    </w:tbl>
    <w:p w14:paraId="54FBCDE2" w14:textId="4891AB63" w:rsidR="001D2BD8" w:rsidRDefault="00CC0035" w:rsidP="00CC0035">
      <w:pPr>
        <w:pStyle w:val="Heading3"/>
      </w:pPr>
      <w:bookmarkStart w:id="106" w:name="_Toc93390287"/>
      <w:r>
        <w:t>Données structurelles et stratégies régionales clefs</w:t>
      </w:r>
      <w:bookmarkEnd w:id="106"/>
    </w:p>
    <w:p w14:paraId="4A233216" w14:textId="69020088" w:rsidR="00B13DC9" w:rsidRPr="00B13DC9" w:rsidRDefault="00B13DC9" w:rsidP="00B13DC9">
      <w:pPr>
        <w:pStyle w:val="BodyText"/>
      </w:pPr>
      <w:r>
        <w:t xml:space="preserve">En Hauts-de-France, le secteur </w:t>
      </w:r>
      <w:r w:rsidRPr="00811EA8">
        <w:t xml:space="preserve">résidentiel-tertiaire est le plus consommateur d’énergie après l’industrie </w:t>
      </w:r>
      <w:r w:rsidR="00CB3297">
        <w:t>(voir</w:t>
      </w:r>
      <w:r w:rsidR="00B40ED0">
        <w:t xml:space="preserve"> </w:t>
      </w:r>
      <w:r w:rsidR="00B40ED0">
        <w:fldChar w:fldCharType="begin"/>
      </w:r>
      <w:r w:rsidR="00B40ED0">
        <w:instrText xml:space="preserve"> REF _Ref94027967 \h </w:instrText>
      </w:r>
      <w:r w:rsidR="00B40ED0">
        <w:fldChar w:fldCharType="separate"/>
      </w:r>
      <w:r w:rsidR="00B40ED0">
        <w:t xml:space="preserve">Figure </w:t>
      </w:r>
      <w:r w:rsidR="00B40ED0">
        <w:rPr>
          <w:noProof/>
        </w:rPr>
        <w:t>5</w:t>
      </w:r>
      <w:r w:rsidR="00B40ED0">
        <w:fldChar w:fldCharType="end"/>
      </w:r>
      <w:r w:rsidR="00B40ED0">
        <w:t>)</w:t>
      </w:r>
      <w:r w:rsidR="009C2897">
        <w:t>,</w:t>
      </w:r>
      <w:r w:rsidR="005A7CC0">
        <w:t xml:space="preserve"> </w:t>
      </w:r>
      <w:r w:rsidR="005A7CC0" w:rsidRPr="00811EA8">
        <w:t>et</w:t>
      </w:r>
      <w:r w:rsidRPr="00811EA8">
        <w:t xml:space="preserve"> il consomme de plus en plus en raison notamment de la mauvaise qualité thermique des bâtiments. 90 % des logements de la région datent d’avant 2014</w:t>
      </w:r>
      <w:r>
        <w:rPr>
          <w:rStyle w:val="FootnoteReference"/>
        </w:rPr>
        <w:footnoteReference w:id="67"/>
      </w:r>
      <w:r w:rsidRPr="00811EA8">
        <w:t>.</w:t>
      </w:r>
      <w:r w:rsidR="00D60035">
        <w:t xml:space="preserve"> La rénovation énergétique des </w:t>
      </w:r>
      <w:r w:rsidR="00862FC4">
        <w:t>bâtiments</w:t>
      </w:r>
      <w:r w:rsidR="00D60035">
        <w:t xml:space="preserve"> est donc une priorité pour atteindre les </w:t>
      </w:r>
      <w:r w:rsidR="00862FC4">
        <w:t>objectifs de réduction de consommations d’énergie</w:t>
      </w:r>
      <w:r w:rsidR="00525468">
        <w:t xml:space="preserve"> et d’émissions de gaz à effet de serre</w:t>
      </w:r>
      <w:r w:rsidR="00CA045D">
        <w:t xml:space="preserve"> présentés dans le tableau ci-dessous.</w:t>
      </w:r>
    </w:p>
    <w:p w14:paraId="40D1E8AE" w14:textId="0CDB4D88" w:rsidR="00A41E15" w:rsidRDefault="00A41E15" w:rsidP="00A41E15">
      <w:pPr>
        <w:pStyle w:val="Caption"/>
      </w:pPr>
      <w:bookmarkStart w:id="107" w:name="_Toc88842103"/>
      <w:r>
        <w:t xml:space="preserve">Tableau </w:t>
      </w:r>
      <w:r>
        <w:fldChar w:fldCharType="begin"/>
      </w:r>
      <w:r>
        <w:instrText xml:space="preserve"> SEQ Tableau \* ARABIC </w:instrText>
      </w:r>
      <w:r>
        <w:fldChar w:fldCharType="separate"/>
      </w:r>
      <w:r w:rsidR="009F0282">
        <w:rPr>
          <w:noProof/>
        </w:rPr>
        <w:t>15</w:t>
      </w:r>
      <w:r>
        <w:fldChar w:fldCharType="end"/>
      </w:r>
      <w:r>
        <w:t xml:space="preserve"> Résultats attendus de l'objectif 35 du SRADDET</w:t>
      </w:r>
      <w:bookmarkEnd w:id="107"/>
    </w:p>
    <w:tbl>
      <w:tblPr>
        <w:tblStyle w:val="TechnopolisTable21"/>
        <w:tblW w:w="5000" w:type="pct"/>
        <w:tblLook w:val="04A0" w:firstRow="1" w:lastRow="0" w:firstColumn="1" w:lastColumn="0" w:noHBand="0" w:noVBand="1"/>
      </w:tblPr>
      <w:tblGrid>
        <w:gridCol w:w="3952"/>
        <w:gridCol w:w="1319"/>
        <w:gridCol w:w="1319"/>
        <w:gridCol w:w="1319"/>
        <w:gridCol w:w="1153"/>
      </w:tblGrid>
      <w:tr w:rsidR="00081DF7" w14:paraId="1DE5C60C" w14:textId="77777777" w:rsidTr="005A7CC0">
        <w:trPr>
          <w:cnfStyle w:val="100000000000" w:firstRow="1" w:lastRow="0" w:firstColumn="0" w:lastColumn="0" w:oddVBand="0" w:evenVBand="0" w:oddHBand="0" w:evenHBand="0" w:firstRowFirstColumn="0" w:firstRowLastColumn="0" w:lastRowFirstColumn="0" w:lastRowLastColumn="0"/>
        </w:trPr>
        <w:tc>
          <w:tcPr>
            <w:tcW w:w="2180" w:type="pct"/>
          </w:tcPr>
          <w:p w14:paraId="4CFF626B" w14:textId="7DE7F6A6" w:rsidR="00081DF7" w:rsidRDefault="00081DF7" w:rsidP="001556D4"/>
        </w:tc>
        <w:tc>
          <w:tcPr>
            <w:tcW w:w="728" w:type="pct"/>
          </w:tcPr>
          <w:p w14:paraId="7C6F7776" w14:textId="530FD972" w:rsidR="00081DF7" w:rsidRDefault="00081DF7" w:rsidP="001556D4">
            <w:r>
              <w:t>2021</w:t>
            </w:r>
          </w:p>
        </w:tc>
        <w:tc>
          <w:tcPr>
            <w:tcW w:w="728" w:type="pct"/>
          </w:tcPr>
          <w:p w14:paraId="5B46ECD7" w14:textId="3C2AF6E6" w:rsidR="00081DF7" w:rsidRDefault="00081DF7" w:rsidP="001556D4">
            <w:r>
              <w:t>2026</w:t>
            </w:r>
          </w:p>
        </w:tc>
        <w:tc>
          <w:tcPr>
            <w:tcW w:w="728" w:type="pct"/>
          </w:tcPr>
          <w:p w14:paraId="4AF8E16D" w14:textId="6F4ACD68" w:rsidR="00081DF7" w:rsidRDefault="00081DF7" w:rsidP="001556D4">
            <w:r>
              <w:t>2031</w:t>
            </w:r>
          </w:p>
        </w:tc>
        <w:tc>
          <w:tcPr>
            <w:tcW w:w="637" w:type="pct"/>
          </w:tcPr>
          <w:p w14:paraId="48ECECF6" w14:textId="63D184EC" w:rsidR="00081DF7" w:rsidRDefault="00081DF7" w:rsidP="001556D4">
            <w:r>
              <w:t>2050</w:t>
            </w:r>
          </w:p>
        </w:tc>
      </w:tr>
      <w:tr w:rsidR="00081DF7" w14:paraId="4F9598C9" w14:textId="77777777" w:rsidTr="005A7CC0">
        <w:trPr>
          <w:cnfStyle w:val="000000100000" w:firstRow="0" w:lastRow="0" w:firstColumn="0" w:lastColumn="0" w:oddVBand="0" w:evenVBand="0" w:oddHBand="1" w:evenHBand="0" w:firstRowFirstColumn="0" w:firstRowLastColumn="0" w:lastRowFirstColumn="0" w:lastRowLastColumn="0"/>
        </w:trPr>
        <w:tc>
          <w:tcPr>
            <w:tcW w:w="2180" w:type="pct"/>
          </w:tcPr>
          <w:p w14:paraId="12EB8B36" w14:textId="683E5DD5" w:rsidR="00081DF7" w:rsidRDefault="00081DF7" w:rsidP="001556D4">
            <w:r>
              <w:t xml:space="preserve">Réduction de la consommation énergétique régionale en </w:t>
            </w:r>
            <w:proofErr w:type="spellStart"/>
            <w:r>
              <w:t>Gwh</w:t>
            </w:r>
            <w:proofErr w:type="spellEnd"/>
            <w:r>
              <w:t>/an</w:t>
            </w:r>
          </w:p>
        </w:tc>
        <w:tc>
          <w:tcPr>
            <w:tcW w:w="728" w:type="pct"/>
          </w:tcPr>
          <w:p w14:paraId="714849B7" w14:textId="6E2A5A54" w:rsidR="00081DF7" w:rsidRDefault="00081DF7" w:rsidP="001556D4">
            <w:r>
              <w:t>9 839</w:t>
            </w:r>
          </w:p>
        </w:tc>
        <w:tc>
          <w:tcPr>
            <w:tcW w:w="728" w:type="pct"/>
          </w:tcPr>
          <w:p w14:paraId="7D40ED09" w14:textId="2235FB75" w:rsidR="00081DF7" w:rsidRDefault="00081DF7" w:rsidP="001556D4">
            <w:r>
              <w:t>10 129</w:t>
            </w:r>
          </w:p>
        </w:tc>
        <w:tc>
          <w:tcPr>
            <w:tcW w:w="728" w:type="pct"/>
          </w:tcPr>
          <w:p w14:paraId="3ED26057" w14:textId="5E86C086" w:rsidR="00081DF7" w:rsidRDefault="00081DF7" w:rsidP="001556D4">
            <w:r>
              <w:t>10 599</w:t>
            </w:r>
          </w:p>
        </w:tc>
        <w:tc>
          <w:tcPr>
            <w:tcW w:w="637" w:type="pct"/>
          </w:tcPr>
          <w:p w14:paraId="27C6BD01" w14:textId="065371F9" w:rsidR="00081DF7" w:rsidRDefault="00081DF7" w:rsidP="001556D4">
            <w:r>
              <w:t>16 010</w:t>
            </w:r>
          </w:p>
        </w:tc>
      </w:tr>
      <w:tr w:rsidR="00081DF7" w14:paraId="6FC6C274" w14:textId="77777777" w:rsidTr="005A7CC0">
        <w:trPr>
          <w:cnfStyle w:val="000000010000" w:firstRow="0" w:lastRow="0" w:firstColumn="0" w:lastColumn="0" w:oddVBand="0" w:evenVBand="0" w:oddHBand="0" w:evenHBand="1" w:firstRowFirstColumn="0" w:firstRowLastColumn="0" w:lastRowFirstColumn="0" w:lastRowLastColumn="0"/>
        </w:trPr>
        <w:tc>
          <w:tcPr>
            <w:tcW w:w="2180" w:type="pct"/>
          </w:tcPr>
          <w:p w14:paraId="39132B64" w14:textId="1116EABF" w:rsidR="00081DF7" w:rsidRDefault="00081DF7" w:rsidP="001556D4">
            <w:r>
              <w:t xml:space="preserve">Réduction des émissions de GES en Hauts-de-France en </w:t>
            </w:r>
            <w:proofErr w:type="spellStart"/>
            <w:r>
              <w:t>Kteq</w:t>
            </w:r>
            <w:proofErr w:type="spellEnd"/>
            <w:r>
              <w:t xml:space="preserve"> Co2/an</w:t>
            </w:r>
          </w:p>
        </w:tc>
        <w:tc>
          <w:tcPr>
            <w:tcW w:w="728" w:type="pct"/>
          </w:tcPr>
          <w:p w14:paraId="2F746309" w14:textId="055C917B" w:rsidR="00081DF7" w:rsidRDefault="00081DF7" w:rsidP="001556D4">
            <w:r>
              <w:t>2 442</w:t>
            </w:r>
          </w:p>
        </w:tc>
        <w:tc>
          <w:tcPr>
            <w:tcW w:w="728" w:type="pct"/>
          </w:tcPr>
          <w:p w14:paraId="1F082398" w14:textId="69B46189" w:rsidR="00081DF7" w:rsidRDefault="00081DF7" w:rsidP="001556D4">
            <w:r>
              <w:t>2 759</w:t>
            </w:r>
          </w:p>
        </w:tc>
        <w:tc>
          <w:tcPr>
            <w:tcW w:w="728" w:type="pct"/>
          </w:tcPr>
          <w:p w14:paraId="164A3119" w14:textId="7C9D5AAF" w:rsidR="00081DF7" w:rsidRDefault="00081DF7" w:rsidP="001556D4">
            <w:r>
              <w:t>3 000</w:t>
            </w:r>
          </w:p>
        </w:tc>
        <w:tc>
          <w:tcPr>
            <w:tcW w:w="637" w:type="pct"/>
          </w:tcPr>
          <w:p w14:paraId="374A4C5F" w14:textId="35529722" w:rsidR="00081DF7" w:rsidRDefault="00081DF7" w:rsidP="001556D4">
            <w:r>
              <w:t>4 660</w:t>
            </w:r>
          </w:p>
        </w:tc>
      </w:tr>
    </w:tbl>
    <w:p w14:paraId="1EF8A0DC" w14:textId="12F94D80" w:rsidR="001556D4" w:rsidRPr="001556D4" w:rsidRDefault="00081DF7" w:rsidP="00163901">
      <w:pPr>
        <w:pStyle w:val="Source"/>
      </w:pPr>
      <w:r>
        <w:t>Source : SRADDET</w:t>
      </w:r>
    </w:p>
    <w:p w14:paraId="433FEC24" w14:textId="52D181A9" w:rsidR="00CA045D" w:rsidRDefault="00CA045D" w:rsidP="00CA045D">
      <w:pPr>
        <w:pStyle w:val="BodyText"/>
      </w:pPr>
      <w:r>
        <w:t>La Région s’est fixé</w:t>
      </w:r>
      <w:r w:rsidR="002B22D5">
        <w:t>e</w:t>
      </w:r>
      <w:r>
        <w:t xml:space="preserve"> des objectifs de rénovation énergétique ambitieux inscrit</w:t>
      </w:r>
      <w:r w:rsidR="00F21FB5">
        <w:t>s</w:t>
      </w:r>
      <w:r>
        <w:t xml:space="preserve"> dans </w:t>
      </w:r>
      <w:r w:rsidR="00D51B7C">
        <w:t>le SRADDET</w:t>
      </w:r>
      <w:r>
        <w:t>. L’objectif 35 est de réhabiliter thermiquement le bâti tertiaire et résidentiel</w:t>
      </w:r>
      <w:r w:rsidR="0006411E">
        <w:t xml:space="preserve">. Il fixe les résultats attendus </w:t>
      </w:r>
      <w:r w:rsidR="00BB751C">
        <w:t>suivants</w:t>
      </w:r>
      <w:r w:rsidR="0006411E">
        <w:t xml:space="preserve"> : </w:t>
      </w:r>
    </w:p>
    <w:p w14:paraId="05790FE0" w14:textId="00FA9861" w:rsidR="002A4CF4" w:rsidRDefault="00432878" w:rsidP="00BE7D28">
      <w:pPr>
        <w:pStyle w:val="Bullet1"/>
      </w:pPr>
      <w:r>
        <w:t>D</w:t>
      </w:r>
      <w:r w:rsidR="002A4CF4">
        <w:t>’ici 2030, réhabiliter entre 70 et 80% du parc en priorisant les logements en catégorie F et G</w:t>
      </w:r>
      <w:r w:rsidR="005A7CC0">
        <w:t> ;</w:t>
      </w:r>
    </w:p>
    <w:p w14:paraId="37DA9BDA" w14:textId="66429A3F" w:rsidR="002A4CF4" w:rsidRDefault="00432878" w:rsidP="00BE7D28">
      <w:pPr>
        <w:pStyle w:val="Bullet1"/>
      </w:pPr>
      <w:r>
        <w:t>D</w:t>
      </w:r>
      <w:r w:rsidR="002A4CF4">
        <w:t>’ici 2050, réhabiliter 100% du parc pour tendre vers le niveau « Bâtiment Basse Consommation » (BBC) sauf particularités : contraintes architecturales et</w:t>
      </w:r>
      <w:r w:rsidR="00BE7D28">
        <w:t xml:space="preserve"> </w:t>
      </w:r>
      <w:r w:rsidR="002A4CF4">
        <w:t>techniques, faisabilité technico-économique liée notamment à la valeur vénale des logements</w:t>
      </w:r>
      <w:r>
        <w:t> ;</w:t>
      </w:r>
    </w:p>
    <w:p w14:paraId="5899C349" w14:textId="736C0266" w:rsidR="002A4CF4" w:rsidRDefault="00432878" w:rsidP="00BE7D28">
      <w:pPr>
        <w:pStyle w:val="Bullet1"/>
      </w:pPr>
      <w:r>
        <w:t>T</w:t>
      </w:r>
      <w:r w:rsidR="002A4CF4">
        <w:t>endre vers une disparition des systèmes fioul, GPL et charbon au profit de systèmes de chauffage performants (pompes à chaleur, bois et gaz)</w:t>
      </w:r>
      <w:r>
        <w:t> ;</w:t>
      </w:r>
    </w:p>
    <w:p w14:paraId="777914F6" w14:textId="0377C159" w:rsidR="00A85EC8" w:rsidRDefault="00432878" w:rsidP="00CC0035">
      <w:pPr>
        <w:pStyle w:val="Bullet1"/>
      </w:pPr>
      <w:r>
        <w:t>G</w:t>
      </w:r>
      <w:r w:rsidR="002A4CF4">
        <w:t>énéraliser les systèmes de production d’eau chaude sanitaire par les énergies renouvelables pour atteindre 23% des logements et 40 % du parc tertiaire.</w:t>
      </w:r>
    </w:p>
    <w:p w14:paraId="34138C0E" w14:textId="24411BF2" w:rsidR="004137B1" w:rsidRDefault="00A85EC8" w:rsidP="00CC0035">
      <w:pPr>
        <w:pStyle w:val="BodyText"/>
      </w:pPr>
      <w:r>
        <w:t>Le développement de l’</w:t>
      </w:r>
      <w:r w:rsidR="00BB751C">
        <w:t>efficacité</w:t>
      </w:r>
      <w:r>
        <w:t xml:space="preserve"> énergétique est également inscrit dans la dynamique de la </w:t>
      </w:r>
      <w:r w:rsidRPr="00A706A9">
        <w:rPr>
          <w:b/>
          <w:bCs/>
        </w:rPr>
        <w:t>Troisième Révolution industrielle</w:t>
      </w:r>
      <w:r>
        <w:t xml:space="preserve"> portée par la Région. </w:t>
      </w:r>
      <w:r w:rsidR="00FB46AD">
        <w:t xml:space="preserve">Le </w:t>
      </w:r>
      <w:r w:rsidR="009C3A66">
        <w:t>secteur</w:t>
      </w:r>
      <w:r w:rsidR="00FB46AD">
        <w:t xml:space="preserve"> des bâtiments à énergie </w:t>
      </w:r>
      <w:r w:rsidR="009C3A66">
        <w:t>positive fait parti</w:t>
      </w:r>
      <w:r w:rsidR="00C864C3">
        <w:t>e</w:t>
      </w:r>
      <w:r w:rsidR="009C3A66">
        <w:t xml:space="preserve"> des filières d’avenir à fort impact « emploi » promu par la dynamique Rev3.</w:t>
      </w:r>
      <w:r w:rsidR="00FF2C6A">
        <w:t xml:space="preserve"> L’objectif est de soutenir la réhabilitation de logements nouvelles </w:t>
      </w:r>
      <w:r w:rsidR="00FE1E0D">
        <w:t>génération</w:t>
      </w:r>
      <w:r w:rsidR="00432878">
        <w:t>,</w:t>
      </w:r>
      <w:r w:rsidR="00FE1E0D">
        <w:t xml:space="preserve"> notamment grâce à une nouvelle offre de rénovation locale porté par le Club EnergieSprong. </w:t>
      </w:r>
    </w:p>
    <w:p w14:paraId="6914BBBF" w14:textId="559E7341" w:rsidR="004137B1" w:rsidRDefault="004137B1" w:rsidP="00CC0035">
      <w:pPr>
        <w:pStyle w:val="BodyText"/>
      </w:pPr>
      <w:r>
        <w:t xml:space="preserve">La stratégie de la Région pour la rénovation énergétique se </w:t>
      </w:r>
      <w:r w:rsidR="001166C1">
        <w:t xml:space="preserve">retrouve également dans les Programmes Opérationnels de la période 2014 – 2020 notamment : </w:t>
      </w:r>
    </w:p>
    <w:p w14:paraId="7A8A06CA" w14:textId="5E1CE8F2" w:rsidR="0079664F" w:rsidRDefault="00432878" w:rsidP="004F3102">
      <w:pPr>
        <w:pStyle w:val="Bullet1"/>
      </w:pPr>
      <w:r>
        <w:t>L</w:t>
      </w:r>
      <w:r w:rsidR="0079664F">
        <w:t xml:space="preserve">’objectif 9 de l’axe 3 du PO de Nord-Pas-de-Calais : Réduire la consommation </w:t>
      </w:r>
      <w:r w:rsidR="004F3102">
        <w:t>énergétique</w:t>
      </w:r>
      <w:r w:rsidR="0079664F">
        <w:t xml:space="preserve"> du patrimoine public et du logement </w:t>
      </w:r>
      <w:r w:rsidR="004F3102">
        <w:t>ancien</w:t>
      </w:r>
      <w:r w:rsidR="0079664F">
        <w:t xml:space="preserve"> dans la perspective d’une </w:t>
      </w:r>
      <w:r w:rsidR="004F3102">
        <w:t>division</w:t>
      </w:r>
      <w:r w:rsidR="0079664F">
        <w:t xml:space="preserve"> par 4 des émissions de gaz à effet de serre à l’horizon 2050 ; </w:t>
      </w:r>
    </w:p>
    <w:p w14:paraId="76EA1AD9" w14:textId="1ECFDAAB" w:rsidR="001D2BD8" w:rsidRDefault="00432878" w:rsidP="00CC0035">
      <w:pPr>
        <w:pStyle w:val="Bullet1"/>
      </w:pPr>
      <w:r>
        <w:t>L</w:t>
      </w:r>
      <w:r w:rsidR="004F3102">
        <w:t>’objectif 10 de l’axe 3 du PO Picardie : Réduire la consommation énergétique des bâtiments publics et le logement.</w:t>
      </w:r>
    </w:p>
    <w:p w14:paraId="4845B176" w14:textId="1C366D4A" w:rsidR="00602C0D" w:rsidRDefault="00602C0D" w:rsidP="00602C0D">
      <w:pPr>
        <w:pStyle w:val="Heading3"/>
      </w:pPr>
      <w:bookmarkStart w:id="108" w:name="_Ref75960637"/>
      <w:bookmarkStart w:id="109" w:name="_Toc93390288"/>
      <w:r>
        <w:t>L’état du bâti tertiaire public en Hauts-de-France</w:t>
      </w:r>
      <w:bookmarkEnd w:id="108"/>
      <w:bookmarkEnd w:id="109"/>
    </w:p>
    <w:p w14:paraId="34B5DCAD" w14:textId="77777777" w:rsidR="00602C0D" w:rsidRDefault="00602C0D" w:rsidP="00602C0D">
      <w:pPr>
        <w:pStyle w:val="BodyText"/>
      </w:pPr>
      <w:r>
        <w:t xml:space="preserve">En France, le parc tertiaire public représente environ 380 millions de m², dont environ 280 millions de m² seulement pour collectivités territoriales. Ces bâtiments représentent les ¾ de la consommation des communes : </w:t>
      </w:r>
      <w:r>
        <w:rPr>
          <w:b/>
        </w:rPr>
        <w:t>l’efficacité énergétique des bâtiments est donc le plus important levier de réduction de consommation du secteur public</w:t>
      </w:r>
      <w:r>
        <w:t>.</w:t>
      </w:r>
    </w:p>
    <w:p w14:paraId="49934255" w14:textId="119DA723" w:rsidR="00602C0D" w:rsidRPr="00B46D49" w:rsidRDefault="00602C0D" w:rsidP="00602C0D">
      <w:pPr>
        <w:pStyle w:val="BodyText"/>
      </w:pPr>
      <w:r>
        <w:t>A noter, la loi portant Évolution du logement, de l’aménagement et du numérique (ÉLAN) impose que les bâtiments de plus de 1000m</w:t>
      </w:r>
      <w:r>
        <w:rPr>
          <w:vertAlign w:val="superscript"/>
        </w:rPr>
        <w:t>2</w:t>
      </w:r>
      <w:r>
        <w:t xml:space="preserve"> réduisent leurs consommations énergétiques d’au moins 40% en 2030, 50% en 2040 et 60% en 2050 par rapport aux niveaux de 2010</w:t>
      </w:r>
      <w:r>
        <w:rPr>
          <w:rStyle w:val="FootnoteReference"/>
        </w:rPr>
        <w:footnoteReference w:id="68"/>
      </w:r>
      <w:r>
        <w:t>. Cette loi s’applique pour les bâtiments tertiaires publics et privés. Un premier arrêté « méthode » est paru en juin 2020 afin de décliner les modalités de calcul des consommations énergétiques de référence, par catégorie d’activités ainsi que les modalités et les conditions d’ajustement des données de consommation d’énergie finale en fonction des variations climatiques et des régimes dérogatoires (motif technique, architectural ou financier). Cette loi est entrée en vigueur le 1</w:t>
      </w:r>
      <w:r>
        <w:rPr>
          <w:vertAlign w:val="superscript"/>
        </w:rPr>
        <w:t>er</w:t>
      </w:r>
      <w:r>
        <w:t xml:space="preserve"> octobre 2020, et arrive en continuité des obligations réglementaires précédentes auxquelles la Région et ses partenaires institutionnels étaient déjà soumis.</w:t>
      </w:r>
    </w:p>
    <w:p w14:paraId="18F0076C" w14:textId="77777777" w:rsidR="005C498B" w:rsidRDefault="005C498B" w:rsidP="005C498B">
      <w:pPr>
        <w:pStyle w:val="BodyText"/>
      </w:pPr>
      <w:r>
        <w:t>Dans le cadre du suivi de la Charte pour l’efficacité énergétique des bâtiments tertiaires publics et privés, établie par le Plan Bâtiment Durable</w:t>
      </w:r>
      <w:r>
        <w:rPr>
          <w:rStyle w:val="FootnoteReference"/>
        </w:rPr>
        <w:footnoteReference w:id="69"/>
      </w:r>
      <w:r>
        <w:t xml:space="preserve">, les gestionnaires signataires ont indiqué que les économies faites suite à des travaux de rénovation énergétique allaient de quelques dizaines de milliers d’euros (dans le cas de signataires mono-bâtiment ou presque) à plusieurs millions d’euros. Toutefois, ils ont également exprimé que </w:t>
      </w:r>
      <w:r>
        <w:rPr>
          <w:b/>
          <w:bCs/>
        </w:rPr>
        <w:t>le coût des opérations constituait un véritable frein, en particulier pour les gestionnaires publics</w:t>
      </w:r>
      <w:r>
        <w:rPr>
          <w:rStyle w:val="FootnoteReference"/>
        </w:rPr>
        <w:footnoteReference w:id="70"/>
      </w:r>
      <w:r>
        <w:t>. Bien que cette Charte rassemble des signataires de la France entière et non seulement des Hauts-de-France, ces problématiques sont à prendre en considération dans le cadre de la réflexion sur la rénovation du bâti tertiaire.</w:t>
      </w:r>
    </w:p>
    <w:p w14:paraId="0ED923BF" w14:textId="0B874C20" w:rsidR="005C498B" w:rsidRPr="00997538" w:rsidRDefault="00602C0D" w:rsidP="00602C0D">
      <w:pPr>
        <w:pStyle w:val="BodyText"/>
      </w:pPr>
      <w:r>
        <w:t xml:space="preserve">En Hauts-de-France, </w:t>
      </w:r>
      <w:r w:rsidR="00D1476B">
        <w:t xml:space="preserve">le décret tertiaire de la Loi ÉLAN est </w:t>
      </w:r>
      <w:r w:rsidR="0007245E">
        <w:t>au cœur de la planification en matière de rénovation énergétique</w:t>
      </w:r>
      <w:r w:rsidR="0007245E">
        <w:rPr>
          <w:rStyle w:val="FootnoteReference"/>
        </w:rPr>
        <w:footnoteReference w:id="71"/>
      </w:r>
      <w:r w:rsidR="0007245E">
        <w:t>. L</w:t>
      </w:r>
      <w:r>
        <w:t xml:space="preserve">es collectivités de moins de 100 000 habitants ont composé près de 40% des prévisions budgétaires d’investissement pour les bâtiments public en 2019. Il faut toutefois noter que ces collectivités rencontrent des </w:t>
      </w:r>
      <w:r w:rsidRPr="003A7607">
        <w:rPr>
          <w:b/>
          <w:bCs/>
        </w:rPr>
        <w:t>difficultés de financement et d’ingénierie</w:t>
      </w:r>
      <w:r>
        <w:t>.  En outre, le territoire dispose de plus de 50% de</w:t>
      </w:r>
      <w:r w:rsidR="005C7268">
        <w:t>s</w:t>
      </w:r>
      <w:r>
        <w:t xml:space="preserve"> friches industrielles</w:t>
      </w:r>
      <w:r w:rsidR="005C7268">
        <w:t xml:space="preserve"> françaises</w:t>
      </w:r>
      <w:r>
        <w:t xml:space="preserve">, qui représentent une opportunité de transformation importante à privilégier pour éviter l’étalement urbain. Pourtant, la construction immobilière neuve semble être préférée des administrations, ce qui pose une </w:t>
      </w:r>
      <w:r w:rsidRPr="002A704B">
        <w:rPr>
          <w:b/>
          <w:bCs/>
        </w:rPr>
        <w:t>problématique de délaissement de zones d’activité plus anciennes ou de bureaux anciens</w:t>
      </w:r>
      <w:r>
        <w:t xml:space="preserve"> dont la réhabilitation peut être plus complexe et coûteuse</w:t>
      </w:r>
      <w:r>
        <w:rPr>
          <w:rStyle w:val="FootnoteReference"/>
        </w:rPr>
        <w:footnoteReference w:id="72"/>
      </w:r>
      <w:r>
        <w:t>.</w:t>
      </w:r>
    </w:p>
    <w:p w14:paraId="140A57C6" w14:textId="4B2CF5E7" w:rsidR="00B61605" w:rsidRDefault="006902AA" w:rsidP="00B61605">
      <w:pPr>
        <w:pStyle w:val="BodyText"/>
      </w:pPr>
      <w:r>
        <w:t>Globalement, i</w:t>
      </w:r>
      <w:r w:rsidR="00B61605">
        <w:t>l existe de</w:t>
      </w:r>
      <w:r>
        <w:t xml:space="preserve"> nombreu</w:t>
      </w:r>
      <w:r w:rsidR="005F3CC1">
        <w:t xml:space="preserve">ses </w:t>
      </w:r>
      <w:r w:rsidR="00777052">
        <w:t>subvention</w:t>
      </w:r>
      <w:r w:rsidR="005F3CC1">
        <w:t>s</w:t>
      </w:r>
      <w:r w:rsidR="00B61605">
        <w:t xml:space="preserve"> auxquel</w:t>
      </w:r>
      <w:r w:rsidR="005F3CC1">
        <w:t>le</w:t>
      </w:r>
      <w:r w:rsidR="00B61605">
        <w:t>s les collectivités peuvent faire appel</w:t>
      </w:r>
      <w:r w:rsidR="00077B62">
        <w:t xml:space="preserve">, avec </w:t>
      </w:r>
      <w:r w:rsidR="00473529">
        <w:t>des</w:t>
      </w:r>
      <w:r w:rsidR="00077B62">
        <w:t xml:space="preserve"> </w:t>
      </w:r>
      <w:r w:rsidR="00473529">
        <w:t>exigences en matière de performance énergétique et de suivi administratif, et un calendrier spécifique</w:t>
      </w:r>
      <w:r w:rsidR="004B0E18">
        <w:t xml:space="preserve"> (cf. </w:t>
      </w:r>
      <w:r w:rsidR="004B0E18">
        <w:fldChar w:fldCharType="begin"/>
      </w:r>
      <w:r w:rsidR="004B0E18">
        <w:instrText xml:space="preserve"> REF _Ref75949435 \r \h </w:instrText>
      </w:r>
      <w:r w:rsidR="004B0E18">
        <w:fldChar w:fldCharType="separate"/>
      </w:r>
      <w:r w:rsidR="009F0282">
        <w:t>1.2.1</w:t>
      </w:r>
      <w:r w:rsidR="004B0E18">
        <w:fldChar w:fldCharType="end"/>
      </w:r>
      <w:r w:rsidR="004B0E18">
        <w:t>)</w:t>
      </w:r>
      <w:r w:rsidR="003D3970">
        <w:t xml:space="preserve">. Cela </w:t>
      </w:r>
      <w:r w:rsidR="00473529">
        <w:t xml:space="preserve">peut créer un </w:t>
      </w:r>
      <w:r w:rsidR="00473529" w:rsidRPr="00CE44BB">
        <w:rPr>
          <w:b/>
          <w:bCs/>
        </w:rPr>
        <w:t xml:space="preserve">ensemble </w:t>
      </w:r>
      <w:r w:rsidRPr="00CE44BB">
        <w:rPr>
          <w:b/>
          <w:bCs/>
        </w:rPr>
        <w:t>difficilement lisible</w:t>
      </w:r>
      <w:r w:rsidR="00CE44BB">
        <w:t xml:space="preserve"> – en particulier pour les collectivités ne disposant pas d’ingénierie dédiée à la recherche et à la gestion de fonds</w:t>
      </w:r>
      <w:r w:rsidR="00660751">
        <w:rPr>
          <w:rStyle w:val="FootnoteReference"/>
        </w:rPr>
        <w:footnoteReference w:id="73"/>
      </w:r>
      <w:r w:rsidR="00CE44BB">
        <w:t xml:space="preserve">. </w:t>
      </w:r>
      <w:r w:rsidR="00E95B6C">
        <w:t>Certains territoires disposent de conseillers en Énergie Partagée</w:t>
      </w:r>
      <w:r w:rsidR="00D35460" w:rsidRPr="00D35460">
        <w:t xml:space="preserve"> </w:t>
      </w:r>
      <w:r w:rsidR="00D35460">
        <w:t>qui semblent à même à accompagner les petites collectivités dans leurs plans d’actions mais manquer de compétences en ce qui concernent les projets de construction ou de rénovation</w:t>
      </w:r>
      <w:r w:rsidR="00D35460">
        <w:rPr>
          <w:rStyle w:val="FootnoteReference"/>
        </w:rPr>
        <w:footnoteReference w:id="74"/>
      </w:r>
      <w:r w:rsidR="00D35460">
        <w:t>.</w:t>
      </w:r>
      <w:r w:rsidR="006A737A">
        <w:t xml:space="preserve"> Cela peut donc mener à un </w:t>
      </w:r>
      <w:r w:rsidR="006A737A" w:rsidRPr="005E60EE">
        <w:rPr>
          <w:b/>
          <w:bCs/>
        </w:rPr>
        <w:t>déséquilibre dans l</w:t>
      </w:r>
      <w:r w:rsidR="005E60EE" w:rsidRPr="005E60EE">
        <w:rPr>
          <w:b/>
          <w:bCs/>
        </w:rPr>
        <w:t>a sollicitation et l’</w:t>
      </w:r>
      <w:r w:rsidR="006A737A" w:rsidRPr="005E60EE">
        <w:rPr>
          <w:b/>
          <w:bCs/>
        </w:rPr>
        <w:t>attribution des financements</w:t>
      </w:r>
      <w:r w:rsidR="001C47D2" w:rsidRPr="003D3970">
        <w:rPr>
          <w:rStyle w:val="FootnoteReference"/>
        </w:rPr>
        <w:footnoteReference w:id="75"/>
      </w:r>
      <w:r w:rsidR="005E60EE" w:rsidRPr="003D3970">
        <w:t>.</w:t>
      </w:r>
    </w:p>
    <w:p w14:paraId="4F9DB964" w14:textId="503AA3B9" w:rsidR="00873921" w:rsidRPr="00BE0F8F" w:rsidRDefault="00437CE8" w:rsidP="00873921">
      <w:pPr>
        <w:pStyle w:val="BodyText"/>
      </w:pPr>
      <w:r>
        <w:t xml:space="preserve">En </w:t>
      </w:r>
      <w:r w:rsidR="00A6367C">
        <w:t xml:space="preserve">matière de prêts, les collectivités bénéficient d’ores et déjà de taux d’intérêt </w:t>
      </w:r>
      <w:r w:rsidR="00502B51">
        <w:t>incitatifs</w:t>
      </w:r>
      <w:r w:rsidR="00502B51">
        <w:rPr>
          <w:rStyle w:val="FootnoteReference"/>
        </w:rPr>
        <w:footnoteReference w:id="76"/>
      </w:r>
      <w:r w:rsidR="00A6367C">
        <w:t xml:space="preserve">. </w:t>
      </w:r>
      <w:r w:rsidR="00873921">
        <w:t>Certaines collectivités envisagent de recourir – ou font déjà appel – à l’</w:t>
      </w:r>
      <w:proofErr w:type="spellStart"/>
      <w:r w:rsidR="00873921" w:rsidRPr="00873921">
        <w:rPr>
          <w:i/>
          <w:iCs/>
        </w:rPr>
        <w:t>Intracting</w:t>
      </w:r>
      <w:proofErr w:type="spellEnd"/>
      <w:r w:rsidR="00BE0F8F">
        <w:t xml:space="preserve"> du fait des taux d’intérêt avantageux et de l’accompagnement proposé par la Banque des Territoires</w:t>
      </w:r>
      <w:r w:rsidR="00893EF9">
        <w:rPr>
          <w:rStyle w:val="FootnoteReference"/>
        </w:rPr>
        <w:footnoteReference w:id="77"/>
      </w:r>
      <w:r w:rsidR="00BE0F8F">
        <w:t>.</w:t>
      </w:r>
      <w:r w:rsidR="00777052">
        <w:t xml:space="preserve"> </w:t>
      </w:r>
    </w:p>
    <w:p w14:paraId="6F9CB204" w14:textId="4C261E73" w:rsidR="00BF2263" w:rsidRDefault="00BF2263" w:rsidP="00602C0D">
      <w:pPr>
        <w:pStyle w:val="BodyText"/>
      </w:pPr>
      <w:r>
        <w:t xml:space="preserve">En </w:t>
      </w:r>
      <w:r w:rsidR="00A44BC3">
        <w:t>ce qui concerne le</w:t>
      </w:r>
      <w:r>
        <w:t xml:space="preserve"> financement des travaux de rénovation énergétique</w:t>
      </w:r>
      <w:r w:rsidR="00F84F49">
        <w:t xml:space="preserve"> par les fonds structurels européens</w:t>
      </w:r>
      <w:r>
        <w:t xml:space="preserve">, les collectivités entretenues ont </w:t>
      </w:r>
      <w:r w:rsidR="004A3466">
        <w:t xml:space="preserve">témoigné de </w:t>
      </w:r>
      <w:r w:rsidR="0009228A" w:rsidRPr="00026C92">
        <w:rPr>
          <w:b/>
        </w:rPr>
        <w:t>plusieurs</w:t>
      </w:r>
      <w:r w:rsidR="004A3466" w:rsidRPr="00026C92">
        <w:rPr>
          <w:b/>
        </w:rPr>
        <w:t xml:space="preserve"> difficultés</w:t>
      </w:r>
      <w:r w:rsidR="00026C92">
        <w:rPr>
          <w:b/>
          <w:bCs/>
        </w:rPr>
        <w:t xml:space="preserve"> et freins non financiers</w:t>
      </w:r>
      <w:r w:rsidR="004A3466">
        <w:t> :</w:t>
      </w:r>
    </w:p>
    <w:p w14:paraId="434CD62A" w14:textId="76026BAA" w:rsidR="004A3466" w:rsidRDefault="004A3466" w:rsidP="004A3466">
      <w:pPr>
        <w:pStyle w:val="Bullet1"/>
      </w:pPr>
      <w:r>
        <w:t xml:space="preserve">Les exigences de performance énergétique </w:t>
      </w:r>
      <w:r w:rsidR="00AE3D7D">
        <w:t>du FEDER sont</w:t>
      </w:r>
      <w:r>
        <w:t xml:space="preserve"> telles qu’il leur </w:t>
      </w:r>
      <w:r w:rsidR="00F84F49">
        <w:t>est</w:t>
      </w:r>
      <w:r>
        <w:t xml:space="preserve"> nécessaire de </w:t>
      </w:r>
      <w:r w:rsidRPr="00D35460">
        <w:rPr>
          <w:b/>
          <w:bCs/>
        </w:rPr>
        <w:t xml:space="preserve">réduire les volumes prévus pour </w:t>
      </w:r>
      <w:r w:rsidR="00D35460">
        <w:rPr>
          <w:b/>
          <w:bCs/>
        </w:rPr>
        <w:t xml:space="preserve">se </w:t>
      </w:r>
      <w:r w:rsidR="008C4835" w:rsidRPr="00D35460">
        <w:rPr>
          <w:b/>
          <w:bCs/>
        </w:rPr>
        <w:t>concentrer sur</w:t>
      </w:r>
      <w:r w:rsidR="00E21165" w:rsidRPr="00D35460">
        <w:rPr>
          <w:b/>
          <w:bCs/>
        </w:rPr>
        <w:t xml:space="preserve"> la qualité</w:t>
      </w:r>
      <w:r w:rsidR="000036CA">
        <w:t xml:space="preserve">. Or, </w:t>
      </w:r>
      <w:r w:rsidR="00732E10">
        <w:t xml:space="preserve">le niveau de performance énergétique visé </w:t>
      </w:r>
      <w:r w:rsidR="00211248">
        <w:t xml:space="preserve">à l’origine </w:t>
      </w:r>
      <w:r w:rsidR="00732E10">
        <w:t>par la collectivité</w:t>
      </w:r>
      <w:r w:rsidR="00D23853">
        <w:t xml:space="preserve"> est déjà considéré comme « strict et ambitieux », et</w:t>
      </w:r>
      <w:r w:rsidR="00732E10">
        <w:t xml:space="preserve"> </w:t>
      </w:r>
      <w:r w:rsidR="00D23853">
        <w:t>permet</w:t>
      </w:r>
      <w:r w:rsidR="00224079">
        <w:t xml:space="preserve"> d’inclure l’ensemble des bâtiments ciblés</w:t>
      </w:r>
      <w:r w:rsidR="00794611">
        <w:t>. Ainsi, elle préférer</w:t>
      </w:r>
      <w:r w:rsidR="00827D71">
        <w:t>a</w:t>
      </w:r>
      <w:r w:rsidR="00794611">
        <w:t xml:space="preserve"> </w:t>
      </w:r>
      <w:r w:rsidR="00B816A3">
        <w:t>financer l</w:t>
      </w:r>
      <w:r w:rsidR="00D81CD6">
        <w:t>’ensemble des</w:t>
      </w:r>
      <w:r w:rsidR="00B816A3">
        <w:t xml:space="preserve"> travaux sur </w:t>
      </w:r>
      <w:r w:rsidR="00827D71">
        <w:t>ses</w:t>
      </w:r>
      <w:r w:rsidR="00B816A3">
        <w:t xml:space="preserve"> fonds propres,</w:t>
      </w:r>
      <w:r w:rsidR="00D81CD6">
        <w:t xml:space="preserve"> avec un niveau de performance énergétique moindre que ce qui est attendu par les fonds européens mais </w:t>
      </w:r>
      <w:r w:rsidR="00E64D6B">
        <w:t>suffisante pour</w:t>
      </w:r>
      <w:r w:rsidR="00D81CD6">
        <w:t xml:space="preserve"> assurer le confort des </w:t>
      </w:r>
      <w:r w:rsidR="00E64D6B">
        <w:t>bénéficiaires</w:t>
      </w:r>
      <w:r w:rsidR="006B5E44">
        <w:t xml:space="preserve"> et respecter le décret tertiaire</w:t>
      </w:r>
      <w:r w:rsidR="00D81CD6">
        <w:t>,</w:t>
      </w:r>
      <w:r w:rsidR="00B816A3">
        <w:t xml:space="preserve"> </w:t>
      </w:r>
      <w:r w:rsidR="00D81CD6">
        <w:t xml:space="preserve">plutôt </w:t>
      </w:r>
      <w:r w:rsidR="002D3FBC">
        <w:t xml:space="preserve">qu’arbitrer sur les </w:t>
      </w:r>
      <w:r w:rsidR="00D81CD6">
        <w:t>bâtiments à prioriser</w:t>
      </w:r>
      <w:r w:rsidR="00211248">
        <w:rPr>
          <w:rStyle w:val="FootnoteReference"/>
        </w:rPr>
        <w:footnoteReference w:id="78"/>
      </w:r>
      <w:r w:rsidR="00B816A3">
        <w:t> ;</w:t>
      </w:r>
    </w:p>
    <w:p w14:paraId="511BC007" w14:textId="0AD5A2EA" w:rsidR="00B53A0A" w:rsidRDefault="0009228A" w:rsidP="005D7F97">
      <w:pPr>
        <w:pStyle w:val="Bullet1"/>
      </w:pPr>
      <w:r w:rsidRPr="008F6ECF">
        <w:rPr>
          <w:b/>
          <w:bCs/>
        </w:rPr>
        <w:t>L</w:t>
      </w:r>
      <w:r w:rsidR="008F6ECF" w:rsidRPr="008F6ECF">
        <w:rPr>
          <w:b/>
          <w:bCs/>
        </w:rPr>
        <w:t>a complexité de la démarche</w:t>
      </w:r>
      <w:r w:rsidR="008F6ECF">
        <w:t xml:space="preserve"> </w:t>
      </w:r>
      <w:r w:rsidR="00AE3D7D" w:rsidRPr="00D35460">
        <w:rPr>
          <w:b/>
          <w:bCs/>
        </w:rPr>
        <w:t>administrati</w:t>
      </w:r>
      <w:r w:rsidR="00B96C28" w:rsidRPr="00D35460">
        <w:rPr>
          <w:b/>
          <w:bCs/>
        </w:rPr>
        <w:t>ve</w:t>
      </w:r>
      <w:r w:rsidR="00AE3D7D" w:rsidRPr="00D35460">
        <w:rPr>
          <w:b/>
          <w:bCs/>
        </w:rPr>
        <w:t xml:space="preserve"> pe</w:t>
      </w:r>
      <w:r w:rsidR="008F6ECF">
        <w:rPr>
          <w:b/>
          <w:bCs/>
        </w:rPr>
        <w:t>u</w:t>
      </w:r>
      <w:r w:rsidR="00AE3D7D" w:rsidRPr="00D35460">
        <w:rPr>
          <w:b/>
          <w:bCs/>
        </w:rPr>
        <w:t>t être rédhibitoire</w:t>
      </w:r>
      <w:r w:rsidR="00AE3D7D">
        <w:t xml:space="preserve"> </w:t>
      </w:r>
      <w:r w:rsidR="008F6ECF">
        <w:t>vis-à-vis de la dotation proposée</w:t>
      </w:r>
      <w:r w:rsidR="00B53A0A">
        <w:rPr>
          <w:rStyle w:val="FootnoteReference"/>
        </w:rPr>
        <w:footnoteReference w:id="79"/>
      </w:r>
      <w:r w:rsidR="004B22FC">
        <w:t xml:space="preserve">, </w:t>
      </w:r>
      <w:r w:rsidR="00B53A0A">
        <w:t>en particulier</w:t>
      </w:r>
      <w:r w:rsidR="004B22FC">
        <w:t xml:space="preserve"> </w:t>
      </w:r>
      <w:r w:rsidR="009500C4">
        <w:t>quand</w:t>
      </w:r>
      <w:r w:rsidR="004B22FC">
        <w:t xml:space="preserve"> les collectivités n’ont pas d’ingénierie dédiée</w:t>
      </w:r>
      <w:r w:rsidR="00B53A0A">
        <w:t> ;</w:t>
      </w:r>
    </w:p>
    <w:p w14:paraId="5E5CE33F" w14:textId="5EA1F9BF" w:rsidR="00933175" w:rsidRDefault="005D7F97" w:rsidP="005D7F97">
      <w:pPr>
        <w:pStyle w:val="Bullet1"/>
      </w:pPr>
      <w:r>
        <w:t xml:space="preserve">De plus, </w:t>
      </w:r>
      <w:r w:rsidRPr="00D35460">
        <w:rPr>
          <w:b/>
          <w:bCs/>
        </w:rPr>
        <w:t>l</w:t>
      </w:r>
      <w:r w:rsidR="002D4087" w:rsidRPr="00D35460">
        <w:rPr>
          <w:b/>
          <w:bCs/>
        </w:rPr>
        <w:t>es demandes doivent être réitérées pour chaque opération</w:t>
      </w:r>
      <w:r w:rsidR="002D4087">
        <w:t xml:space="preserve"> </w:t>
      </w:r>
      <w:r w:rsidR="0006525B">
        <w:t>plutôt que de couvrir l’ensemble d’un programme de rénovation</w:t>
      </w:r>
      <w:r w:rsidR="00B53A0A">
        <w:rPr>
          <w:rStyle w:val="FootnoteReference"/>
        </w:rPr>
        <w:footnoteReference w:id="80"/>
      </w:r>
      <w:r w:rsidR="0006525B">
        <w:t xml:space="preserve">, ce qui </w:t>
      </w:r>
      <w:r w:rsidR="00046BAE">
        <w:t xml:space="preserve">exacerbe </w:t>
      </w:r>
      <w:r w:rsidR="00B53A0A">
        <w:t>les difficultés administratives</w:t>
      </w:r>
      <w:r w:rsidR="00A30F34">
        <w:t> ;</w:t>
      </w:r>
    </w:p>
    <w:p w14:paraId="06F70528" w14:textId="7E558AF3" w:rsidR="00A30F34" w:rsidRDefault="00A30F34" w:rsidP="005D7F97">
      <w:pPr>
        <w:pStyle w:val="Bullet1"/>
      </w:pPr>
      <w:r>
        <w:t xml:space="preserve">Les </w:t>
      </w:r>
      <w:r w:rsidRPr="005B5F1D">
        <w:rPr>
          <w:b/>
          <w:bCs/>
        </w:rPr>
        <w:t>délais d’instruction des dossiers peuvent être longs</w:t>
      </w:r>
      <w:r>
        <w:t>, ce qui requiert du demandeur d’avoir un</w:t>
      </w:r>
      <w:r w:rsidR="00A31673">
        <w:t>e situation financière suffisamment solide pour avancer les financements</w:t>
      </w:r>
      <w:r w:rsidR="005B5F1D">
        <w:t xml:space="preserve"> </w:t>
      </w:r>
      <w:r w:rsidR="001F2B16">
        <w:t>et compenser si la demande est rejetée</w:t>
      </w:r>
      <w:r w:rsidR="00A31673">
        <w:rPr>
          <w:rStyle w:val="FootnoteReference"/>
        </w:rPr>
        <w:footnoteReference w:id="81"/>
      </w:r>
      <w:r w:rsidR="00431A46">
        <w:t> ;</w:t>
      </w:r>
    </w:p>
    <w:p w14:paraId="32C086F0" w14:textId="3637CD27" w:rsidR="00431A46" w:rsidRDefault="00431A46" w:rsidP="005D7F97">
      <w:pPr>
        <w:pStyle w:val="Bullet1"/>
      </w:pPr>
      <w:r w:rsidRPr="00452CE6">
        <w:rPr>
          <w:b/>
          <w:bCs/>
        </w:rPr>
        <w:t xml:space="preserve">Les </w:t>
      </w:r>
      <w:r w:rsidR="00452CE6">
        <w:rPr>
          <w:b/>
          <w:bCs/>
        </w:rPr>
        <w:t xml:space="preserve">financements proposés peuvent ne pas correspondre aux </w:t>
      </w:r>
      <w:r w:rsidRPr="00452CE6">
        <w:rPr>
          <w:b/>
          <w:bCs/>
        </w:rPr>
        <w:t>besoins des collectivités</w:t>
      </w:r>
      <w:r>
        <w:t>. Par</w:t>
      </w:r>
      <w:r w:rsidR="00744618">
        <w:t xml:space="preserve"> </w:t>
      </w:r>
      <w:r>
        <w:t>exemple, le FEDER ne finance les bâtiments neufs que dans le cas spécifique où ils s’insèrent dans un projet d'</w:t>
      </w:r>
      <w:proofErr w:type="spellStart"/>
      <w:r>
        <w:t>éco-quartier</w:t>
      </w:r>
      <w:proofErr w:type="spellEnd"/>
      <w:r>
        <w:rPr>
          <w:rStyle w:val="FootnoteReference"/>
        </w:rPr>
        <w:footnoteReference w:id="82"/>
      </w:r>
      <w:r w:rsidR="000938BF">
        <w:t>.</w:t>
      </w:r>
      <w:r w:rsidR="00744618">
        <w:t xml:space="preserve"> </w:t>
      </w:r>
      <w:r w:rsidR="000938BF">
        <w:t>L</w:t>
      </w:r>
      <w:r w:rsidR="00767F3A">
        <w:t xml:space="preserve">e FEDER peut aussi avoir des </w:t>
      </w:r>
      <w:r w:rsidR="00767F3A" w:rsidRPr="000938BF">
        <w:rPr>
          <w:b/>
          <w:bCs/>
        </w:rPr>
        <w:t xml:space="preserve">exigences qui ne correspondent pas </w:t>
      </w:r>
      <w:r w:rsidR="000938BF" w:rsidRPr="000938BF">
        <w:rPr>
          <w:b/>
          <w:bCs/>
        </w:rPr>
        <w:t>à la réalité des besoins</w:t>
      </w:r>
      <w:r w:rsidR="000938BF">
        <w:t xml:space="preserve"> : </w:t>
      </w:r>
      <w:r w:rsidR="00D226B2">
        <w:t xml:space="preserve">dans les cités minières, qui sont des sites classés, </w:t>
      </w:r>
      <w:r w:rsidR="00D51A66">
        <w:t xml:space="preserve">il est possible de </w:t>
      </w:r>
      <w:r w:rsidR="0058062D">
        <w:t>rénover</w:t>
      </w:r>
      <w:r w:rsidR="00D51A66">
        <w:t xml:space="preserve"> pour améliorer le confort de vie mais </w:t>
      </w:r>
      <w:r w:rsidR="0058062D">
        <w:t>ces travaux</w:t>
      </w:r>
      <w:r w:rsidR="00B25098">
        <w:t xml:space="preserve"> ne </w:t>
      </w:r>
      <w:r w:rsidR="0058062D">
        <w:t>pourront pas être éligibles car ils ne correspondent pas aux critères</w:t>
      </w:r>
      <w:r w:rsidR="00B25098">
        <w:rPr>
          <w:rStyle w:val="FootnoteReference"/>
        </w:rPr>
        <w:footnoteReference w:id="83"/>
      </w:r>
      <w:r w:rsidR="00B25098">
        <w:t>.</w:t>
      </w:r>
    </w:p>
    <w:p w14:paraId="635CF656" w14:textId="6F1167D7" w:rsidR="00C43C1D" w:rsidRDefault="00585D54" w:rsidP="00536470">
      <w:pPr>
        <w:pStyle w:val="Heading3"/>
      </w:pPr>
      <w:bookmarkStart w:id="110" w:name="_Toc93390289"/>
      <w:r>
        <w:t>L’état du bâtiment résidentiel en Hauts-de-France</w:t>
      </w:r>
      <w:bookmarkEnd w:id="110"/>
    </w:p>
    <w:p w14:paraId="00633430" w14:textId="46B07A7D" w:rsidR="00C43C1D" w:rsidRPr="00CE571A" w:rsidRDefault="000E0024" w:rsidP="00C43C1D">
      <w:pPr>
        <w:pStyle w:val="BodyText"/>
      </w:pPr>
      <w:r>
        <w:t>Les Hauts-de-France sont la troisième région</w:t>
      </w:r>
      <w:r w:rsidR="003E7158">
        <w:t xml:space="preserve"> la plus peuplée</w:t>
      </w:r>
      <w:r>
        <w:t xml:space="preserve"> de </w:t>
      </w:r>
      <w:r w:rsidR="003E7158">
        <w:t>France, avec près de 6 millions d’habitants.</w:t>
      </w:r>
      <w:r w:rsidR="001E1122">
        <w:t xml:space="preserve"> En 2017,</w:t>
      </w:r>
      <w:r w:rsidR="00053C0C">
        <w:t xml:space="preserve"> la région compte plus de 2,</w:t>
      </w:r>
      <w:r w:rsidR="00860A1F">
        <w:t>8</w:t>
      </w:r>
      <w:r w:rsidR="00053C0C">
        <w:t xml:space="preserve"> millions de logements.</w:t>
      </w:r>
      <w:r w:rsidR="00F27428">
        <w:t xml:space="preserve"> Ceux-ci sont </w:t>
      </w:r>
      <w:r w:rsidR="009A44B3">
        <w:t xml:space="preserve">en </w:t>
      </w:r>
      <w:r w:rsidR="00511307">
        <w:t xml:space="preserve">grande majorité des </w:t>
      </w:r>
      <w:r w:rsidR="00CA5152">
        <w:t>résidences principales</w:t>
      </w:r>
      <w:r w:rsidR="00A45A66">
        <w:t xml:space="preserve"> (88</w:t>
      </w:r>
      <w:r w:rsidR="00824CA0">
        <w:t>,4</w:t>
      </w:r>
      <w:r w:rsidR="00A45A66">
        <w:t>%)</w:t>
      </w:r>
      <w:r w:rsidR="00CA5152">
        <w:t>.</w:t>
      </w:r>
      <w:r w:rsidR="00830B1D">
        <w:t xml:space="preserve"> </w:t>
      </w:r>
      <w:r w:rsidR="00EC1998">
        <w:t>P</w:t>
      </w:r>
      <w:r w:rsidR="00D93C0F">
        <w:t>rès de 71% sont des</w:t>
      </w:r>
      <w:r w:rsidR="009A44B3">
        <w:t xml:space="preserve"> maisons individuelles.</w:t>
      </w:r>
      <w:r w:rsidR="001E1122">
        <w:t xml:space="preserve"> </w:t>
      </w:r>
      <w:r w:rsidR="009E2235" w:rsidRPr="0083380D">
        <w:rPr>
          <w:b/>
          <w:bCs/>
        </w:rPr>
        <w:t xml:space="preserve">La part de propriétaires est à </w:t>
      </w:r>
      <w:r w:rsidR="0083380D" w:rsidRPr="0083380D">
        <w:rPr>
          <w:b/>
          <w:bCs/>
        </w:rPr>
        <w:t>57,5%</w:t>
      </w:r>
      <w:r w:rsidR="0083380D">
        <w:t>,</w:t>
      </w:r>
      <w:r w:rsidR="0036107D">
        <w:t xml:space="preserve"> ce qui est</w:t>
      </w:r>
      <w:r w:rsidR="0000169D">
        <w:t xml:space="preserve"> à la hauteur de la moyenne nationale (58%).</w:t>
      </w:r>
      <w:r w:rsidR="00BA40BB">
        <w:t xml:space="preserve"> Parmi les résidences princ</w:t>
      </w:r>
      <w:r w:rsidR="00EC0021">
        <w:t>i</w:t>
      </w:r>
      <w:r w:rsidR="00BA40BB">
        <w:t xml:space="preserve">pales, </w:t>
      </w:r>
      <w:r w:rsidR="00EC0021">
        <w:t>52</w:t>
      </w:r>
      <w:r w:rsidR="00033443">
        <w:t xml:space="preserve">% des </w:t>
      </w:r>
      <w:r w:rsidR="00EC0021">
        <w:t>logements</w:t>
      </w:r>
      <w:r w:rsidR="00033443">
        <w:t xml:space="preserve"> ont été construits avant </w:t>
      </w:r>
      <w:r w:rsidR="00EC0021">
        <w:t>1971</w:t>
      </w:r>
      <w:r w:rsidR="00AD2C57">
        <w:rPr>
          <w:rStyle w:val="FootnoteReference"/>
        </w:rPr>
        <w:footnoteReference w:id="84"/>
      </w:r>
      <w:r w:rsidR="00EC0021">
        <w:t>.</w:t>
      </w:r>
      <w:r w:rsidR="00830B1D">
        <w:t xml:space="preserve"> Les logements anciens se concentrent dans la Métropole européenne de Lille</w:t>
      </w:r>
      <w:r w:rsidR="002A6CB6">
        <w:t>,</w:t>
      </w:r>
      <w:r w:rsidR="00250E25">
        <w:t xml:space="preserve"> notamment à Roubaix et Tourcoing qui</w:t>
      </w:r>
      <w:r w:rsidR="00CE0ED6">
        <w:t xml:space="preserve"> en</w:t>
      </w:r>
      <w:r w:rsidR="00250E25">
        <w:t xml:space="preserve"> regroupent</w:t>
      </w:r>
      <w:r w:rsidR="00CE0ED6">
        <w:t xml:space="preserve"> plus de</w:t>
      </w:r>
      <w:r w:rsidR="00250E25">
        <w:t xml:space="preserve"> 75</w:t>
      </w:r>
      <w:r w:rsidR="00CE0ED6">
        <w:t>%. L</w:t>
      </w:r>
      <w:r w:rsidR="00250E25">
        <w:t>es agglomérations de Dunkerque et Amien</w:t>
      </w:r>
      <w:r w:rsidR="00CE0ED6">
        <w:t>s sont également concernée</w:t>
      </w:r>
      <w:r w:rsidR="00250E25">
        <w:t>s</w:t>
      </w:r>
      <w:r w:rsidR="00CE0ED6">
        <w:t xml:space="preserve">. En </w:t>
      </w:r>
      <w:r w:rsidR="002F3A32">
        <w:t xml:space="preserve">outre, les zones rurales </w:t>
      </w:r>
      <w:r w:rsidR="00B12962">
        <w:t>du nord-est de la région connaissent aussi une concentration importante, tandis que les logements dans le sud est, en moyenne, plus récent.</w:t>
      </w:r>
      <w:r w:rsidR="00CE0ED6">
        <w:t xml:space="preserve"> </w:t>
      </w:r>
      <w:r w:rsidR="00FC759E">
        <w:t xml:space="preserve"> </w:t>
      </w:r>
    </w:p>
    <w:p w14:paraId="69842433" w14:textId="06E67A20" w:rsidR="00CF3E0F" w:rsidRDefault="00593025" w:rsidP="00593025">
      <w:pPr>
        <w:pStyle w:val="BodyText"/>
      </w:pPr>
      <w:r w:rsidRPr="00593025">
        <w:t xml:space="preserve">Le bâti résidentiel </w:t>
      </w:r>
      <w:r w:rsidR="00932092">
        <w:t>social</w:t>
      </w:r>
      <w:r w:rsidRPr="00593025">
        <w:t xml:space="preserve"> constitue, pour sa part, </w:t>
      </w:r>
      <w:r>
        <w:t>23</w:t>
      </w:r>
      <w:r w:rsidRPr="00593025">
        <w:t xml:space="preserve">% du parc de résidences principales (16% au niveau national), </w:t>
      </w:r>
      <w:r>
        <w:t>faisant ainsi des Hauts-de-France l’une des régions les plus denses en matière de logements sociaux.</w:t>
      </w:r>
    </w:p>
    <w:p w14:paraId="6351D526" w14:textId="379B2094" w:rsidR="008E1CA3" w:rsidRDefault="008E1CA3" w:rsidP="00593025">
      <w:pPr>
        <w:pStyle w:val="BodyText"/>
      </w:pPr>
      <w:r w:rsidRPr="008E1CA3">
        <w:t>Le tableau suivant présente quelques caractéristiques du parc de logements.</w:t>
      </w:r>
    </w:p>
    <w:p w14:paraId="2FD6D34C" w14:textId="4A680D4E" w:rsidR="00527788" w:rsidRDefault="00527788" w:rsidP="00527788">
      <w:pPr>
        <w:pStyle w:val="Caption"/>
      </w:pPr>
      <w:bookmarkStart w:id="111" w:name="_Toc88842104"/>
      <w:r>
        <w:t xml:space="preserve">Tableau </w:t>
      </w:r>
      <w:r>
        <w:fldChar w:fldCharType="begin"/>
      </w:r>
      <w:r>
        <w:instrText xml:space="preserve"> SEQ Tableau \* ARABIC </w:instrText>
      </w:r>
      <w:r>
        <w:fldChar w:fldCharType="separate"/>
      </w:r>
      <w:r w:rsidR="009F0282">
        <w:rPr>
          <w:noProof/>
        </w:rPr>
        <w:t>16</w:t>
      </w:r>
      <w:r>
        <w:fldChar w:fldCharType="end"/>
      </w:r>
      <w:r>
        <w:t xml:space="preserve"> </w:t>
      </w:r>
      <w:r w:rsidRPr="006A543F">
        <w:t xml:space="preserve">Caractéristiques du parc de logements </w:t>
      </w:r>
      <w:r>
        <w:t>en Hauts-de-France</w:t>
      </w:r>
      <w:bookmarkEnd w:id="111"/>
    </w:p>
    <w:tbl>
      <w:tblPr>
        <w:tblStyle w:val="TechnopolisTable"/>
        <w:tblW w:w="0" w:type="auto"/>
        <w:tblLook w:val="00A0" w:firstRow="1" w:lastRow="0" w:firstColumn="1" w:lastColumn="0" w:noHBand="0" w:noVBand="0"/>
      </w:tblPr>
      <w:tblGrid>
        <w:gridCol w:w="4260"/>
        <w:gridCol w:w="2444"/>
        <w:gridCol w:w="2358"/>
      </w:tblGrid>
      <w:tr w:rsidR="00864239" w:rsidRPr="003131E8" w14:paraId="2D00A961" w14:textId="77777777" w:rsidTr="00C66629">
        <w:trPr>
          <w:cnfStyle w:val="100000000000" w:firstRow="1" w:lastRow="0" w:firstColumn="0" w:lastColumn="0" w:oddVBand="0" w:evenVBand="0" w:oddHBand="0" w:evenHBand="0" w:firstRowFirstColumn="0" w:firstRowLastColumn="0" w:lastRowFirstColumn="0" w:lastRowLastColumn="0"/>
        </w:trPr>
        <w:tc>
          <w:tcPr>
            <w:tcW w:w="0" w:type="auto"/>
            <w:gridSpan w:val="3"/>
            <w:hideMark/>
          </w:tcPr>
          <w:p w14:paraId="44D7FC8E" w14:textId="41A0358C" w:rsidR="00864239" w:rsidRPr="003131E8" w:rsidRDefault="00864239" w:rsidP="00C66629">
            <w:pPr>
              <w:pStyle w:val="Tabletext"/>
              <w:keepNext/>
              <w:jc w:val="center"/>
              <w:rPr>
                <w:color w:val="000000"/>
                <w:sz w:val="18"/>
                <w:szCs w:val="18"/>
              </w:rPr>
            </w:pPr>
            <w:r w:rsidRPr="003131E8">
              <w:rPr>
                <w:color w:val="000000"/>
                <w:sz w:val="18"/>
                <w:szCs w:val="18"/>
              </w:rPr>
              <w:t xml:space="preserve">Région </w:t>
            </w:r>
            <w:r>
              <w:rPr>
                <w:color w:val="000000"/>
                <w:sz w:val="18"/>
                <w:szCs w:val="18"/>
              </w:rPr>
              <w:t>Hauts-de-France</w:t>
            </w:r>
            <w:r w:rsidRPr="003131E8">
              <w:rPr>
                <w:color w:val="000000"/>
                <w:sz w:val="18"/>
                <w:szCs w:val="18"/>
              </w:rPr>
              <w:t xml:space="preserve"> : </w:t>
            </w:r>
            <w:r>
              <w:rPr>
                <w:color w:val="000000"/>
                <w:sz w:val="18"/>
                <w:szCs w:val="18"/>
              </w:rPr>
              <w:t xml:space="preserve">2 865 279 </w:t>
            </w:r>
            <w:r w:rsidRPr="003131E8">
              <w:rPr>
                <w:color w:val="000000"/>
                <w:sz w:val="18"/>
                <w:szCs w:val="18"/>
              </w:rPr>
              <w:t>logements</w:t>
            </w:r>
          </w:p>
        </w:tc>
      </w:tr>
      <w:tr w:rsidR="002F6D7B" w:rsidRPr="003131E8" w14:paraId="1D4D30E8" w14:textId="77777777" w:rsidTr="00C66629">
        <w:trPr>
          <w:cnfStyle w:val="000000100000" w:firstRow="0" w:lastRow="0" w:firstColumn="0" w:lastColumn="0" w:oddVBand="0" w:evenVBand="0" w:oddHBand="1" w:evenHBand="0" w:firstRowFirstColumn="0" w:firstRowLastColumn="0" w:lastRowFirstColumn="0" w:lastRowLastColumn="0"/>
        </w:trPr>
        <w:tc>
          <w:tcPr>
            <w:tcW w:w="0" w:type="auto"/>
            <w:hideMark/>
          </w:tcPr>
          <w:p w14:paraId="6DDEDA5C" w14:textId="4FCE4D75" w:rsidR="00864239" w:rsidRPr="003131E8" w:rsidRDefault="00864239" w:rsidP="00C66629">
            <w:pPr>
              <w:pStyle w:val="Tablecolumnheader"/>
              <w:keepNext/>
              <w:rPr>
                <w:sz w:val="18"/>
                <w:szCs w:val="18"/>
              </w:rPr>
            </w:pPr>
            <w:r w:rsidRPr="003131E8">
              <w:rPr>
                <w:sz w:val="18"/>
                <w:szCs w:val="18"/>
              </w:rPr>
              <w:t>Logement diffus</w:t>
            </w:r>
            <w:r>
              <w:rPr>
                <w:sz w:val="18"/>
                <w:szCs w:val="18"/>
              </w:rPr>
              <w:t> : 2 027 613</w:t>
            </w:r>
          </w:p>
        </w:tc>
        <w:tc>
          <w:tcPr>
            <w:tcW w:w="0" w:type="auto"/>
            <w:hideMark/>
          </w:tcPr>
          <w:p w14:paraId="59DB51E9" w14:textId="0E3497F6" w:rsidR="00864239" w:rsidRPr="00864239" w:rsidRDefault="00864239" w:rsidP="00C66629">
            <w:pPr>
              <w:pStyle w:val="Tablecolumnheader"/>
              <w:keepNext/>
              <w:rPr>
                <w:sz w:val="18"/>
                <w:szCs w:val="18"/>
              </w:rPr>
            </w:pPr>
            <w:r w:rsidRPr="003131E8">
              <w:rPr>
                <w:sz w:val="18"/>
                <w:szCs w:val="18"/>
              </w:rPr>
              <w:t>Logement collectif</w:t>
            </w:r>
            <w:r>
              <w:rPr>
                <w:sz w:val="18"/>
                <w:szCs w:val="18"/>
              </w:rPr>
              <w:t xml:space="preserve"> : </w:t>
            </w:r>
            <w:r w:rsidR="00055D69">
              <w:rPr>
                <w:sz w:val="18"/>
                <w:szCs w:val="18"/>
              </w:rPr>
              <w:t>809 947</w:t>
            </w:r>
          </w:p>
        </w:tc>
        <w:tc>
          <w:tcPr>
            <w:tcW w:w="0" w:type="auto"/>
            <w:hideMark/>
          </w:tcPr>
          <w:p w14:paraId="7999D354" w14:textId="0A5AF98D" w:rsidR="00864239" w:rsidRPr="00055D69" w:rsidRDefault="00864239" w:rsidP="00C66629">
            <w:pPr>
              <w:pStyle w:val="Tablecolumnheader"/>
              <w:keepNext/>
              <w:rPr>
                <w:sz w:val="18"/>
                <w:szCs w:val="18"/>
              </w:rPr>
            </w:pPr>
            <w:r w:rsidRPr="003131E8">
              <w:rPr>
                <w:sz w:val="18"/>
                <w:szCs w:val="18"/>
              </w:rPr>
              <w:t>Dont logement social</w:t>
            </w:r>
            <w:r w:rsidR="00055D69">
              <w:rPr>
                <w:sz w:val="18"/>
                <w:szCs w:val="18"/>
              </w:rPr>
              <w:t> : 23%</w:t>
            </w:r>
          </w:p>
        </w:tc>
      </w:tr>
      <w:tr w:rsidR="00864239" w:rsidRPr="003131E8" w14:paraId="594A1F0A" w14:textId="77777777" w:rsidTr="00C66629">
        <w:trPr>
          <w:cnfStyle w:val="000000010000" w:firstRow="0" w:lastRow="0" w:firstColumn="0" w:lastColumn="0" w:oddVBand="0" w:evenVBand="0" w:oddHBand="0" w:evenHBand="1" w:firstRowFirstColumn="0" w:firstRowLastColumn="0" w:lastRowFirstColumn="0" w:lastRowLastColumn="0"/>
        </w:trPr>
        <w:tc>
          <w:tcPr>
            <w:tcW w:w="0" w:type="auto"/>
            <w:gridSpan w:val="3"/>
            <w:hideMark/>
          </w:tcPr>
          <w:p w14:paraId="355A03A2" w14:textId="77777777" w:rsidR="00864239" w:rsidRPr="003131E8" w:rsidRDefault="00864239" w:rsidP="00C66629">
            <w:pPr>
              <w:pStyle w:val="Tabletext"/>
              <w:keepNext/>
              <w:jc w:val="center"/>
              <w:rPr>
                <w:b/>
                <w:sz w:val="18"/>
                <w:szCs w:val="18"/>
              </w:rPr>
            </w:pPr>
            <w:r w:rsidRPr="003131E8">
              <w:rPr>
                <w:b/>
                <w:sz w:val="18"/>
                <w:szCs w:val="18"/>
              </w:rPr>
              <w:t>Caractéristiques</w:t>
            </w:r>
          </w:p>
        </w:tc>
      </w:tr>
      <w:tr w:rsidR="00864239" w:rsidRPr="003131E8" w14:paraId="443F34CD" w14:textId="77777777" w:rsidTr="00C66629">
        <w:trPr>
          <w:cnfStyle w:val="000000100000" w:firstRow="0" w:lastRow="0" w:firstColumn="0" w:lastColumn="0" w:oddVBand="0" w:evenVBand="0" w:oddHBand="1" w:evenHBand="0" w:firstRowFirstColumn="0" w:firstRowLastColumn="0" w:lastRowFirstColumn="0" w:lastRowLastColumn="0"/>
        </w:trPr>
        <w:tc>
          <w:tcPr>
            <w:tcW w:w="0" w:type="auto"/>
            <w:gridSpan w:val="3"/>
            <w:hideMark/>
          </w:tcPr>
          <w:p w14:paraId="0B959D86" w14:textId="46CA4B72" w:rsidR="00864239" w:rsidRPr="003131E8" w:rsidRDefault="00055D69" w:rsidP="00864239">
            <w:pPr>
              <w:pStyle w:val="Tablebullet1"/>
              <w:jc w:val="left"/>
              <w:rPr>
                <w:sz w:val="18"/>
                <w:szCs w:val="18"/>
              </w:rPr>
            </w:pPr>
            <w:r>
              <w:rPr>
                <w:sz w:val="18"/>
                <w:szCs w:val="18"/>
              </w:rPr>
              <w:t>57,5</w:t>
            </w:r>
            <w:r w:rsidR="00864239" w:rsidRPr="003131E8">
              <w:rPr>
                <w:sz w:val="18"/>
                <w:szCs w:val="18"/>
              </w:rPr>
              <w:t>% de propriétaires</w:t>
            </w:r>
          </w:p>
          <w:p w14:paraId="05C8DDD2" w14:textId="0E8AC4C7" w:rsidR="00864239" w:rsidRPr="003131E8" w:rsidRDefault="00055D69" w:rsidP="00864239">
            <w:pPr>
              <w:pStyle w:val="Tablebullet1"/>
              <w:jc w:val="left"/>
              <w:rPr>
                <w:sz w:val="18"/>
                <w:szCs w:val="18"/>
              </w:rPr>
            </w:pPr>
            <w:r>
              <w:rPr>
                <w:sz w:val="18"/>
                <w:szCs w:val="18"/>
              </w:rPr>
              <w:t>52</w:t>
            </w:r>
            <w:r w:rsidR="00864239" w:rsidRPr="003131E8">
              <w:rPr>
                <w:sz w:val="18"/>
                <w:szCs w:val="18"/>
              </w:rPr>
              <w:t>% des logements construits avant 1971</w:t>
            </w:r>
          </w:p>
          <w:p w14:paraId="05F2875A" w14:textId="520A0D2A" w:rsidR="00864239" w:rsidRPr="003131E8" w:rsidRDefault="0025517F" w:rsidP="00864239">
            <w:pPr>
              <w:pStyle w:val="Tablebullet1"/>
              <w:jc w:val="left"/>
              <w:rPr>
                <w:sz w:val="18"/>
                <w:szCs w:val="18"/>
              </w:rPr>
            </w:pPr>
            <w:r>
              <w:rPr>
                <w:sz w:val="18"/>
                <w:szCs w:val="18"/>
              </w:rPr>
              <w:t>7,3%</w:t>
            </w:r>
            <w:r w:rsidR="00864239" w:rsidRPr="003131E8">
              <w:rPr>
                <w:sz w:val="18"/>
                <w:szCs w:val="18"/>
              </w:rPr>
              <w:t xml:space="preserve"> </w:t>
            </w:r>
            <w:r>
              <w:rPr>
                <w:sz w:val="18"/>
                <w:szCs w:val="18"/>
              </w:rPr>
              <w:t xml:space="preserve">de </w:t>
            </w:r>
            <w:r w:rsidR="00864239" w:rsidRPr="003131E8">
              <w:rPr>
                <w:sz w:val="18"/>
                <w:szCs w:val="18"/>
              </w:rPr>
              <w:t>propriétaires occupant</w:t>
            </w:r>
            <w:r w:rsidR="00E5239C">
              <w:rPr>
                <w:sz w:val="18"/>
                <w:szCs w:val="18"/>
              </w:rPr>
              <w:t>s</w:t>
            </w:r>
            <w:r w:rsidR="00864239" w:rsidRPr="003131E8">
              <w:rPr>
                <w:sz w:val="18"/>
                <w:szCs w:val="18"/>
              </w:rPr>
              <w:t xml:space="preserve"> vivent sous le seuil de pauvreté</w:t>
            </w:r>
          </w:p>
        </w:tc>
      </w:tr>
      <w:tr w:rsidR="00864239" w:rsidRPr="003131E8" w14:paraId="7E9C55B6" w14:textId="77777777" w:rsidTr="00C66629">
        <w:trPr>
          <w:cnfStyle w:val="000000010000" w:firstRow="0" w:lastRow="0" w:firstColumn="0" w:lastColumn="0" w:oddVBand="0" w:evenVBand="0" w:oddHBand="0" w:evenHBand="1" w:firstRowFirstColumn="0" w:firstRowLastColumn="0" w:lastRowFirstColumn="0" w:lastRowLastColumn="0"/>
        </w:trPr>
        <w:tc>
          <w:tcPr>
            <w:tcW w:w="0" w:type="auto"/>
            <w:gridSpan w:val="3"/>
            <w:hideMark/>
          </w:tcPr>
          <w:p w14:paraId="47D983A6" w14:textId="77777777" w:rsidR="00864239" w:rsidRPr="003131E8" w:rsidRDefault="00864239" w:rsidP="00C66629">
            <w:pPr>
              <w:pStyle w:val="Tabletext"/>
              <w:keepNext/>
              <w:jc w:val="center"/>
              <w:rPr>
                <w:b/>
                <w:sz w:val="18"/>
                <w:szCs w:val="18"/>
              </w:rPr>
            </w:pPr>
            <w:r w:rsidRPr="003131E8">
              <w:rPr>
                <w:b/>
                <w:sz w:val="18"/>
                <w:szCs w:val="18"/>
              </w:rPr>
              <w:t>Problématiques énergétiques</w:t>
            </w:r>
          </w:p>
        </w:tc>
      </w:tr>
      <w:tr w:rsidR="00864239" w:rsidRPr="003131E8" w14:paraId="246FB7A9" w14:textId="77777777" w:rsidTr="00C66629">
        <w:trPr>
          <w:cnfStyle w:val="000000100000" w:firstRow="0" w:lastRow="0" w:firstColumn="0" w:lastColumn="0" w:oddVBand="0" w:evenVBand="0" w:oddHBand="1" w:evenHBand="0" w:firstRowFirstColumn="0" w:firstRowLastColumn="0" w:lastRowFirstColumn="0" w:lastRowLastColumn="0"/>
        </w:trPr>
        <w:tc>
          <w:tcPr>
            <w:tcW w:w="0" w:type="auto"/>
            <w:hideMark/>
          </w:tcPr>
          <w:p w14:paraId="678759CA" w14:textId="56664CD3" w:rsidR="006D68C8" w:rsidRPr="003131E8" w:rsidRDefault="00B9330F" w:rsidP="006D68C8">
            <w:pPr>
              <w:pStyle w:val="Tablebullet1"/>
              <w:jc w:val="left"/>
              <w:rPr>
                <w:sz w:val="18"/>
                <w:szCs w:val="18"/>
              </w:rPr>
            </w:pPr>
            <w:r>
              <w:rPr>
                <w:sz w:val="18"/>
                <w:szCs w:val="18"/>
              </w:rPr>
              <w:t>35</w:t>
            </w:r>
            <w:r w:rsidR="006D68C8" w:rsidRPr="003131E8">
              <w:rPr>
                <w:sz w:val="18"/>
                <w:szCs w:val="18"/>
              </w:rPr>
              <w:t xml:space="preserve">% des résidences principales sont classées en catégorie </w:t>
            </w:r>
            <w:r w:rsidR="0075162C">
              <w:rPr>
                <w:sz w:val="18"/>
                <w:szCs w:val="18"/>
              </w:rPr>
              <w:t>D</w:t>
            </w:r>
            <w:r w:rsidR="006D68C8" w:rsidRPr="003131E8">
              <w:rPr>
                <w:sz w:val="18"/>
                <w:szCs w:val="18"/>
              </w:rPr>
              <w:t xml:space="preserve"> pour la performance énergétique </w:t>
            </w:r>
          </w:p>
          <w:p w14:paraId="4E912239" w14:textId="20873ACE" w:rsidR="00864239" w:rsidRPr="003131E8" w:rsidRDefault="00864239" w:rsidP="00864239">
            <w:pPr>
              <w:pStyle w:val="Tablebullet1"/>
              <w:jc w:val="left"/>
              <w:rPr>
                <w:sz w:val="18"/>
                <w:szCs w:val="18"/>
              </w:rPr>
            </w:pPr>
            <w:r w:rsidRPr="003131E8">
              <w:rPr>
                <w:sz w:val="18"/>
                <w:szCs w:val="18"/>
              </w:rPr>
              <w:t>2</w:t>
            </w:r>
            <w:r w:rsidR="00D93E13">
              <w:rPr>
                <w:sz w:val="18"/>
                <w:szCs w:val="18"/>
              </w:rPr>
              <w:t>9</w:t>
            </w:r>
            <w:r w:rsidRPr="003131E8">
              <w:rPr>
                <w:sz w:val="18"/>
                <w:szCs w:val="18"/>
              </w:rPr>
              <w:t xml:space="preserve">% des résidences principales sont classées en catégorie E pour la performance énergétique </w:t>
            </w:r>
          </w:p>
          <w:p w14:paraId="30DACF55" w14:textId="312BFEF1" w:rsidR="00864239" w:rsidRPr="003131E8" w:rsidRDefault="00864239" w:rsidP="00864239">
            <w:pPr>
              <w:pStyle w:val="Tablebullet1"/>
              <w:jc w:val="left"/>
              <w:rPr>
                <w:sz w:val="18"/>
                <w:szCs w:val="18"/>
              </w:rPr>
            </w:pPr>
            <w:r w:rsidRPr="003131E8">
              <w:rPr>
                <w:sz w:val="18"/>
                <w:szCs w:val="18"/>
              </w:rPr>
              <w:t>1</w:t>
            </w:r>
            <w:r w:rsidR="00A152EE">
              <w:rPr>
                <w:sz w:val="18"/>
                <w:szCs w:val="18"/>
              </w:rPr>
              <w:t>1</w:t>
            </w:r>
            <w:r w:rsidRPr="003131E8">
              <w:rPr>
                <w:sz w:val="18"/>
                <w:szCs w:val="18"/>
              </w:rPr>
              <w:t>% des résidences principales sont classées en catégorie F pour la performance énergétique</w:t>
            </w:r>
          </w:p>
          <w:p w14:paraId="5550B590" w14:textId="5801DE1D" w:rsidR="00864239" w:rsidRPr="003131E8" w:rsidRDefault="00A152EE" w:rsidP="00864239">
            <w:pPr>
              <w:pStyle w:val="Tablebullet1"/>
              <w:jc w:val="left"/>
              <w:rPr>
                <w:sz w:val="18"/>
                <w:szCs w:val="18"/>
              </w:rPr>
            </w:pPr>
            <w:r>
              <w:rPr>
                <w:sz w:val="18"/>
                <w:szCs w:val="18"/>
              </w:rPr>
              <w:t>4</w:t>
            </w:r>
            <w:r w:rsidR="00864239" w:rsidRPr="003131E8">
              <w:rPr>
                <w:sz w:val="18"/>
                <w:szCs w:val="18"/>
              </w:rPr>
              <w:t>% des résidences principales sont classées en catégorie G pour la performance énergétique</w:t>
            </w:r>
          </w:p>
        </w:tc>
        <w:tc>
          <w:tcPr>
            <w:tcW w:w="0" w:type="auto"/>
            <w:gridSpan w:val="2"/>
            <w:hideMark/>
          </w:tcPr>
          <w:p w14:paraId="205BD99A" w14:textId="4D3B7921" w:rsidR="006D68C8" w:rsidRPr="003131E8" w:rsidRDefault="006D68C8" w:rsidP="006D68C8">
            <w:pPr>
              <w:pStyle w:val="Tablebullet1"/>
              <w:jc w:val="left"/>
              <w:rPr>
                <w:sz w:val="18"/>
                <w:szCs w:val="18"/>
              </w:rPr>
            </w:pPr>
            <w:r>
              <w:rPr>
                <w:sz w:val="18"/>
                <w:szCs w:val="18"/>
              </w:rPr>
              <w:t>38</w:t>
            </w:r>
            <w:r w:rsidRPr="003131E8">
              <w:rPr>
                <w:sz w:val="18"/>
                <w:szCs w:val="18"/>
              </w:rPr>
              <w:t xml:space="preserve">% des logements du parc locatif social sont classés en catégorie </w:t>
            </w:r>
            <w:r>
              <w:rPr>
                <w:sz w:val="18"/>
                <w:szCs w:val="18"/>
              </w:rPr>
              <w:t>D</w:t>
            </w:r>
            <w:r w:rsidRPr="003131E8">
              <w:rPr>
                <w:sz w:val="18"/>
                <w:szCs w:val="18"/>
              </w:rPr>
              <w:t xml:space="preserve"> pour la performance énergétique</w:t>
            </w:r>
          </w:p>
          <w:p w14:paraId="14522C4F" w14:textId="6AD95403" w:rsidR="00864239" w:rsidRPr="003131E8" w:rsidRDefault="002F6D7B" w:rsidP="00864239">
            <w:pPr>
              <w:pStyle w:val="Tablebullet1"/>
              <w:jc w:val="left"/>
              <w:rPr>
                <w:sz w:val="18"/>
                <w:szCs w:val="18"/>
              </w:rPr>
            </w:pPr>
            <w:r>
              <w:rPr>
                <w:sz w:val="18"/>
                <w:szCs w:val="18"/>
              </w:rPr>
              <w:t>20</w:t>
            </w:r>
            <w:r w:rsidR="00864239" w:rsidRPr="003131E8">
              <w:rPr>
                <w:sz w:val="18"/>
                <w:szCs w:val="18"/>
              </w:rPr>
              <w:t>% des logements du parc locatif social sont classés en catégorie E pour la performance énergétique</w:t>
            </w:r>
          </w:p>
          <w:p w14:paraId="2F7A81C1" w14:textId="6D9BA8F4" w:rsidR="00864239" w:rsidRPr="003131E8" w:rsidRDefault="006D68C8" w:rsidP="00864239">
            <w:pPr>
              <w:pStyle w:val="Tablebullet1"/>
              <w:jc w:val="left"/>
              <w:rPr>
                <w:sz w:val="18"/>
                <w:szCs w:val="18"/>
              </w:rPr>
            </w:pPr>
            <w:r>
              <w:rPr>
                <w:sz w:val="18"/>
                <w:szCs w:val="18"/>
              </w:rPr>
              <w:t>5</w:t>
            </w:r>
            <w:r w:rsidR="00864239" w:rsidRPr="003131E8">
              <w:rPr>
                <w:sz w:val="18"/>
                <w:szCs w:val="18"/>
              </w:rPr>
              <w:t>% des logements du parc locatif social sont classés en catégorie F pour la performance énergétique</w:t>
            </w:r>
          </w:p>
          <w:p w14:paraId="09D0A5A7" w14:textId="295A6D64" w:rsidR="00864239" w:rsidRPr="003131E8" w:rsidRDefault="006D68C8" w:rsidP="00864239">
            <w:pPr>
              <w:pStyle w:val="Tablebullet1"/>
              <w:jc w:val="left"/>
              <w:rPr>
                <w:sz w:val="18"/>
                <w:szCs w:val="18"/>
              </w:rPr>
            </w:pPr>
            <w:r>
              <w:rPr>
                <w:sz w:val="18"/>
                <w:szCs w:val="18"/>
              </w:rPr>
              <w:t>1</w:t>
            </w:r>
            <w:r w:rsidR="00864239" w:rsidRPr="003131E8">
              <w:rPr>
                <w:sz w:val="18"/>
                <w:szCs w:val="18"/>
              </w:rPr>
              <w:t>% des logements du parc locatif social est classé en catégorie G pour la performance énergétique</w:t>
            </w:r>
          </w:p>
        </w:tc>
      </w:tr>
    </w:tbl>
    <w:p w14:paraId="41F037D8" w14:textId="5585E202" w:rsidR="008E1CA3" w:rsidRDefault="000A2023" w:rsidP="000A2023">
      <w:pPr>
        <w:pStyle w:val="Source"/>
      </w:pPr>
      <w:r>
        <w:t>Source : CERC Hauts-de-France</w:t>
      </w:r>
    </w:p>
    <w:p w14:paraId="77582F39" w14:textId="3B708762" w:rsidR="007C18F8" w:rsidRDefault="00D97B91" w:rsidP="00D97B91">
      <w:pPr>
        <w:pStyle w:val="Heading4"/>
      </w:pPr>
      <w:r>
        <w:t>Le bâti résidentiel social</w:t>
      </w:r>
    </w:p>
    <w:p w14:paraId="67069291" w14:textId="2314E018" w:rsidR="00D97B91" w:rsidRPr="007C18F8" w:rsidRDefault="00994FDC" w:rsidP="007C18F8">
      <w:pPr>
        <w:pStyle w:val="BodyText"/>
      </w:pPr>
      <w:r>
        <w:t>Au 1</w:t>
      </w:r>
      <w:r w:rsidRPr="00994FDC">
        <w:rPr>
          <w:vertAlign w:val="superscript"/>
        </w:rPr>
        <w:t>er</w:t>
      </w:r>
      <w:r>
        <w:t xml:space="preserve"> janvier 2020, </w:t>
      </w:r>
      <w:r w:rsidR="00E47391">
        <w:t>les Hauts-de-France regroupent 12% du parc locatif social français</w:t>
      </w:r>
      <w:r w:rsidR="006658FD">
        <w:rPr>
          <w:rStyle w:val="FootnoteReference"/>
        </w:rPr>
        <w:footnoteReference w:id="85"/>
      </w:r>
      <w:r w:rsidR="00E47391">
        <w:t xml:space="preserve">, soit </w:t>
      </w:r>
      <w:r w:rsidR="001312AB" w:rsidRPr="00872C32">
        <w:rPr>
          <w:b/>
          <w:bCs/>
        </w:rPr>
        <w:t>583 149 logements</w:t>
      </w:r>
      <w:r w:rsidR="006658FD">
        <w:t>. Cela représente</w:t>
      </w:r>
      <w:r w:rsidR="00F43D44">
        <w:t xml:space="preserve"> 23% du</w:t>
      </w:r>
      <w:r w:rsidR="00BD06D1">
        <w:t xml:space="preserve"> parc des résidences principales </w:t>
      </w:r>
      <w:r w:rsidR="00D8744C">
        <w:t xml:space="preserve">(contre 17% au niveau </w:t>
      </w:r>
      <w:r w:rsidR="00054B92">
        <w:t>national)</w:t>
      </w:r>
      <w:r w:rsidR="00313F9C">
        <w:rPr>
          <w:rStyle w:val="FootnoteReference"/>
        </w:rPr>
        <w:footnoteReference w:id="86"/>
      </w:r>
      <w:r w:rsidR="00A3772C">
        <w:t xml:space="preserve">, ce qui en fait une des plus élevées de </w:t>
      </w:r>
      <w:r w:rsidR="00BE521F">
        <w:t>France. Le Nord possède, de loin, la part de logements sociaux la plus élevée (46%)</w:t>
      </w:r>
      <w:r w:rsidR="00A3772C">
        <w:rPr>
          <w:rStyle w:val="FootnoteReference"/>
        </w:rPr>
        <w:footnoteReference w:id="87"/>
      </w:r>
      <w:r w:rsidR="00A3772C">
        <w:t>.</w:t>
      </w:r>
    </w:p>
    <w:p w14:paraId="4697605B" w14:textId="0A1447BB" w:rsidR="000A2023" w:rsidRDefault="00313F9C" w:rsidP="00593025">
      <w:pPr>
        <w:pStyle w:val="BodyText"/>
      </w:pPr>
      <w:r w:rsidRPr="00313F9C">
        <w:t>Le tableau qui suit présente la répartition des logements du parc locatif social sur le territoire</w:t>
      </w:r>
      <w:r w:rsidR="004A0981">
        <w:t>.</w:t>
      </w:r>
    </w:p>
    <w:p w14:paraId="2D230A91" w14:textId="14D34C2B" w:rsidR="00134783" w:rsidRDefault="00134783" w:rsidP="00134783">
      <w:pPr>
        <w:pStyle w:val="Caption"/>
      </w:pPr>
      <w:bookmarkStart w:id="112" w:name="_Toc88842105"/>
      <w:r>
        <w:t xml:space="preserve">Tableau </w:t>
      </w:r>
      <w:r>
        <w:fldChar w:fldCharType="begin"/>
      </w:r>
      <w:r>
        <w:instrText xml:space="preserve"> SEQ Tableau \* ARABIC </w:instrText>
      </w:r>
      <w:r>
        <w:fldChar w:fldCharType="separate"/>
      </w:r>
      <w:r w:rsidR="009F0282">
        <w:rPr>
          <w:noProof/>
        </w:rPr>
        <w:t>17</w:t>
      </w:r>
      <w:r>
        <w:fldChar w:fldCharType="end"/>
      </w:r>
      <w:r>
        <w:t xml:space="preserve"> </w:t>
      </w:r>
      <w:r w:rsidRPr="001B7983">
        <w:t xml:space="preserve">Répartition du parc locatif social par département en </w:t>
      </w:r>
      <w:r w:rsidR="00DC2CF3">
        <w:t>Hauts-de-France</w:t>
      </w:r>
      <w:bookmarkEnd w:id="112"/>
    </w:p>
    <w:tbl>
      <w:tblPr>
        <w:tblW w:w="5000" w:type="pct"/>
        <w:tblBorders>
          <w:top w:val="single" w:sz="4" w:space="0" w:color="A69EC1" w:themeColor="accent4"/>
          <w:left w:val="single" w:sz="4" w:space="0" w:color="A69EC1" w:themeColor="accent4"/>
          <w:bottom w:val="single" w:sz="4" w:space="0" w:color="A69EC1" w:themeColor="accent4"/>
          <w:right w:val="single" w:sz="4" w:space="0" w:color="A69EC1" w:themeColor="accent4"/>
        </w:tblBorders>
        <w:tblCellMar>
          <w:top w:w="57" w:type="dxa"/>
          <w:bottom w:w="57" w:type="dxa"/>
        </w:tblCellMar>
        <w:tblLook w:val="00A0" w:firstRow="1" w:lastRow="0" w:firstColumn="1" w:lastColumn="0" w:noHBand="0" w:noVBand="0"/>
      </w:tblPr>
      <w:tblGrid>
        <w:gridCol w:w="2265"/>
        <w:gridCol w:w="2265"/>
        <w:gridCol w:w="2266"/>
        <w:gridCol w:w="2266"/>
      </w:tblGrid>
      <w:tr w:rsidR="00E44625" w14:paraId="71D34EBB" w14:textId="77777777" w:rsidTr="00C66629">
        <w:tc>
          <w:tcPr>
            <w:tcW w:w="1250" w:type="pct"/>
            <w:vMerge w:val="restar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7B9F5713" w14:textId="77777777" w:rsidR="00E44625" w:rsidRPr="001E1036" w:rsidRDefault="00E44625" w:rsidP="001E1036">
            <w:pPr>
              <w:pStyle w:val="Tabletext"/>
              <w:jc w:val="center"/>
              <w:rPr>
                <w:b/>
                <w:bCs/>
              </w:rPr>
            </w:pPr>
            <w:r w:rsidRPr="001E1036">
              <w:rPr>
                <w:b/>
                <w:bCs/>
              </w:rPr>
              <w:t>Département</w:t>
            </w:r>
          </w:p>
        </w:tc>
        <w:tc>
          <w:tcPr>
            <w:tcW w:w="2500" w:type="pct"/>
            <w:gridSpan w:val="2"/>
            <w:tcBorders>
              <w:top w:val="single" w:sz="4" w:space="0" w:color="A69EC1" w:themeColor="accent4"/>
              <w:left w:val="single" w:sz="4" w:space="0" w:color="A69EC1" w:themeColor="accent4"/>
              <w:bottom w:val="single" w:sz="4" w:space="0" w:color="C73C3A" w:themeColor="accent1"/>
              <w:right w:val="single" w:sz="4" w:space="0" w:color="A69EC1" w:themeColor="accent4"/>
            </w:tcBorders>
            <w:hideMark/>
          </w:tcPr>
          <w:p w14:paraId="2ADC6BF0" w14:textId="4934B0E4" w:rsidR="00E44625" w:rsidRPr="001E1036" w:rsidRDefault="00E44625" w:rsidP="001E1036">
            <w:pPr>
              <w:pStyle w:val="Tabletext"/>
              <w:jc w:val="center"/>
              <w:rPr>
                <w:b/>
                <w:bCs/>
              </w:rPr>
            </w:pPr>
            <w:r w:rsidRPr="001E1036">
              <w:rPr>
                <w:b/>
                <w:bCs/>
              </w:rPr>
              <w:t>Logements du parc locatif social</w:t>
            </w:r>
            <w:r w:rsidR="00DC2CF3" w:rsidRPr="001E1036">
              <w:rPr>
                <w:b/>
                <w:bCs/>
              </w:rPr>
              <w:t xml:space="preserve"> (01/01/2020)</w:t>
            </w:r>
          </w:p>
        </w:tc>
        <w:tc>
          <w:tcPr>
            <w:tcW w:w="1250" w:type="pct"/>
            <w:vMerge w:val="restar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6525AFBA" w14:textId="526A8A6C" w:rsidR="00E44625" w:rsidRPr="001E1036" w:rsidRDefault="00E44625" w:rsidP="001E1036">
            <w:pPr>
              <w:pStyle w:val="Tabletext"/>
              <w:jc w:val="center"/>
              <w:rPr>
                <w:b/>
                <w:bCs/>
              </w:rPr>
            </w:pPr>
            <w:r w:rsidRPr="001E1036">
              <w:rPr>
                <w:b/>
                <w:bCs/>
              </w:rPr>
              <w:t xml:space="preserve">Pourcentage de la population </w:t>
            </w:r>
            <w:r w:rsidR="00580F10" w:rsidRPr="001E1036">
              <w:rPr>
                <w:b/>
                <w:bCs/>
              </w:rPr>
              <w:t>(</w:t>
            </w:r>
            <w:r w:rsidR="00DC2CF3" w:rsidRPr="001E1036">
              <w:rPr>
                <w:b/>
                <w:bCs/>
              </w:rPr>
              <w:t>01/01/2021)</w:t>
            </w:r>
          </w:p>
        </w:tc>
      </w:tr>
      <w:tr w:rsidR="00E44625" w14:paraId="4A233897" w14:textId="77777777" w:rsidTr="00C66629">
        <w:tc>
          <w:tcPr>
            <w:tcW w:w="0" w:type="auto"/>
            <w:vMerge/>
            <w:tcBorders>
              <w:top w:val="single" w:sz="4" w:space="0" w:color="A69EC1" w:themeColor="accent4"/>
              <w:left w:val="single" w:sz="4" w:space="0" w:color="A69EC1" w:themeColor="accent4"/>
              <w:bottom w:val="single" w:sz="4" w:space="0" w:color="A69EC1" w:themeColor="accent4"/>
              <w:right w:val="single" w:sz="4" w:space="0" w:color="A69EC1" w:themeColor="accent4"/>
            </w:tcBorders>
            <w:vAlign w:val="center"/>
            <w:hideMark/>
          </w:tcPr>
          <w:p w14:paraId="528045CE" w14:textId="77777777" w:rsidR="00E44625" w:rsidRDefault="00E44625" w:rsidP="001E1036">
            <w:pPr>
              <w:pStyle w:val="Tabletext"/>
              <w:rPr>
                <w:rFonts w:asciiTheme="majorHAnsi" w:hAnsiTheme="majorHAnsi"/>
              </w:rPr>
            </w:pP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1E02E301" w14:textId="77777777" w:rsidR="00E44625" w:rsidRPr="001E1036" w:rsidRDefault="00E44625" w:rsidP="001E1036">
            <w:pPr>
              <w:pStyle w:val="Tabletext"/>
              <w:rPr>
                <w:b/>
                <w:bCs/>
              </w:rPr>
            </w:pPr>
            <w:r w:rsidRPr="001E1036">
              <w:rPr>
                <w:b/>
                <w:bCs/>
              </w:rPr>
              <w:t>Nombre</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6FCB57CE" w14:textId="77777777" w:rsidR="00E44625" w:rsidRPr="001E1036" w:rsidRDefault="00E44625" w:rsidP="001E1036">
            <w:pPr>
              <w:pStyle w:val="Tabletext"/>
              <w:rPr>
                <w:b/>
                <w:bCs/>
              </w:rPr>
            </w:pPr>
            <w:r w:rsidRPr="001E1036">
              <w:rPr>
                <w:b/>
                <w:bCs/>
              </w:rPr>
              <w:t>%</w:t>
            </w:r>
          </w:p>
        </w:tc>
        <w:tc>
          <w:tcPr>
            <w:tcW w:w="0" w:type="auto"/>
            <w:vMerge/>
            <w:tcBorders>
              <w:top w:val="single" w:sz="4" w:space="0" w:color="A69EC1" w:themeColor="accent4"/>
              <w:left w:val="single" w:sz="4" w:space="0" w:color="A69EC1" w:themeColor="accent4"/>
              <w:bottom w:val="single" w:sz="4" w:space="0" w:color="A69EC1" w:themeColor="accent4"/>
              <w:right w:val="single" w:sz="4" w:space="0" w:color="A69EC1" w:themeColor="accent4"/>
            </w:tcBorders>
            <w:vAlign w:val="center"/>
            <w:hideMark/>
          </w:tcPr>
          <w:p w14:paraId="66F46DBF" w14:textId="77777777" w:rsidR="00E44625" w:rsidRDefault="00E44625" w:rsidP="001E1036">
            <w:pPr>
              <w:pStyle w:val="Tabletext"/>
              <w:rPr>
                <w:rFonts w:asciiTheme="majorHAnsi" w:hAnsiTheme="majorHAnsi"/>
              </w:rPr>
            </w:pPr>
          </w:p>
        </w:tc>
      </w:tr>
      <w:tr w:rsidR="00E44625" w14:paraId="2B283CCD"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443ECA87" w14:textId="72831256" w:rsidR="00E44625" w:rsidRDefault="00353C99" w:rsidP="001E1036">
            <w:pPr>
              <w:pStyle w:val="Tabletext"/>
            </w:pPr>
            <w:r>
              <w:t>Aisne</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37EC766F" w14:textId="1F97E23C" w:rsidR="00E44625" w:rsidRDefault="00353C99" w:rsidP="001E1036">
            <w:pPr>
              <w:pStyle w:val="Tabletext"/>
              <w:rPr>
                <w:rFonts w:asciiTheme="majorHAnsi" w:hAnsiTheme="majorHAnsi"/>
              </w:rPr>
            </w:pPr>
            <w:r>
              <w:rPr>
                <w:rFonts w:asciiTheme="majorHAnsi" w:hAnsiTheme="majorHAnsi"/>
              </w:rPr>
              <w:t>40 635</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05884E8E" w14:textId="38BD44EF" w:rsidR="00E44625" w:rsidRDefault="00A07165" w:rsidP="001E1036">
            <w:pPr>
              <w:pStyle w:val="Tabletext"/>
              <w:rPr>
                <w:rFonts w:asciiTheme="majorHAnsi" w:hAnsiTheme="majorHAnsi"/>
              </w:rPr>
            </w:pPr>
            <w:r>
              <w:rPr>
                <w:rFonts w:asciiTheme="majorHAnsi" w:hAnsiTheme="majorHAnsi"/>
              </w:rPr>
              <w:t>6,9</w:t>
            </w:r>
            <w:r w:rsidR="00482781">
              <w:rPr>
                <w:rFonts w:asciiTheme="majorHAnsi" w:hAnsiTheme="majorHAnsi"/>
              </w:rPr>
              <w:t>%</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593A42F9" w14:textId="75A8043C" w:rsidR="00E44625" w:rsidRDefault="007C1A23" w:rsidP="001E1036">
            <w:pPr>
              <w:pStyle w:val="Tabletext"/>
              <w:rPr>
                <w:rFonts w:asciiTheme="majorHAnsi" w:hAnsiTheme="majorHAnsi"/>
              </w:rPr>
            </w:pPr>
            <w:r>
              <w:rPr>
                <w:rFonts w:asciiTheme="majorHAnsi" w:hAnsiTheme="majorHAnsi"/>
              </w:rPr>
              <w:t>8,8%</w:t>
            </w:r>
          </w:p>
        </w:tc>
      </w:tr>
      <w:tr w:rsidR="00E44625" w14:paraId="3E74D5C5"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41B13EFE" w14:textId="6C423C53" w:rsidR="00E44625" w:rsidRDefault="00353C99" w:rsidP="001E1036">
            <w:pPr>
              <w:pStyle w:val="Tabletext"/>
            </w:pPr>
            <w:r>
              <w:t>Nord</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47CA6ACB" w14:textId="78C68DB0" w:rsidR="00E44625" w:rsidRDefault="00BE0A01" w:rsidP="001E1036">
            <w:pPr>
              <w:pStyle w:val="Tabletext"/>
              <w:rPr>
                <w:rFonts w:asciiTheme="majorHAnsi" w:hAnsiTheme="majorHAnsi"/>
              </w:rPr>
            </w:pPr>
            <w:r>
              <w:rPr>
                <w:rFonts w:asciiTheme="majorHAnsi" w:hAnsiTheme="majorHAnsi"/>
              </w:rPr>
              <w:t>271 808</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3B6FC364" w14:textId="07E96CAF" w:rsidR="00E44625" w:rsidRDefault="00482781" w:rsidP="001E1036">
            <w:pPr>
              <w:pStyle w:val="Tabletext"/>
              <w:rPr>
                <w:rFonts w:asciiTheme="majorHAnsi" w:hAnsiTheme="majorHAnsi"/>
              </w:rPr>
            </w:pPr>
            <w:r>
              <w:rPr>
                <w:rFonts w:asciiTheme="majorHAnsi" w:hAnsiTheme="majorHAnsi"/>
              </w:rPr>
              <w:t>46,</w:t>
            </w:r>
            <w:r w:rsidR="008D3BFE">
              <w:rPr>
                <w:rFonts w:asciiTheme="majorHAnsi" w:hAnsiTheme="majorHAnsi"/>
              </w:rPr>
              <w:t>6</w:t>
            </w:r>
            <w:r>
              <w:rPr>
                <w:rFonts w:asciiTheme="majorHAnsi" w:hAnsiTheme="majorHAnsi"/>
              </w:rPr>
              <w:t>%</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49A79E68" w14:textId="5ED55500" w:rsidR="00E44625" w:rsidRDefault="00644FBC" w:rsidP="001E1036">
            <w:pPr>
              <w:pStyle w:val="Tabletext"/>
              <w:rPr>
                <w:rFonts w:asciiTheme="majorHAnsi" w:hAnsiTheme="majorHAnsi"/>
              </w:rPr>
            </w:pPr>
            <w:r>
              <w:rPr>
                <w:rFonts w:asciiTheme="majorHAnsi" w:hAnsiTheme="majorHAnsi"/>
              </w:rPr>
              <w:t>43,5%</w:t>
            </w:r>
          </w:p>
        </w:tc>
      </w:tr>
      <w:tr w:rsidR="00E44625" w14:paraId="1E4AC2C3"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2339C62D" w14:textId="36155D61" w:rsidR="00E44625" w:rsidRDefault="00353C99" w:rsidP="001E1036">
            <w:pPr>
              <w:pStyle w:val="Tabletext"/>
            </w:pPr>
            <w:r>
              <w:t>Oise</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7A747D7E" w14:textId="28D97932" w:rsidR="00E44625" w:rsidRDefault="00BE0A01" w:rsidP="001E1036">
            <w:pPr>
              <w:pStyle w:val="Tabletext"/>
              <w:rPr>
                <w:rFonts w:asciiTheme="majorHAnsi" w:hAnsiTheme="majorHAnsi"/>
              </w:rPr>
            </w:pPr>
            <w:r>
              <w:rPr>
                <w:rFonts w:asciiTheme="majorHAnsi" w:hAnsiTheme="majorHAnsi"/>
              </w:rPr>
              <w:t>67 459</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61FF401C" w14:textId="69519D94" w:rsidR="00E44625" w:rsidRDefault="00F314AE" w:rsidP="001E1036">
            <w:pPr>
              <w:pStyle w:val="Tabletext"/>
              <w:rPr>
                <w:rFonts w:asciiTheme="majorHAnsi" w:hAnsiTheme="majorHAnsi"/>
              </w:rPr>
            </w:pPr>
            <w:r>
              <w:rPr>
                <w:rFonts w:asciiTheme="majorHAnsi" w:hAnsiTheme="majorHAnsi"/>
              </w:rPr>
              <w:t>11,6%</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184B5D66" w14:textId="0758CBF4" w:rsidR="00E44625" w:rsidRDefault="007A0693" w:rsidP="001E1036">
            <w:pPr>
              <w:pStyle w:val="Tabletext"/>
              <w:rPr>
                <w:rFonts w:asciiTheme="majorHAnsi" w:hAnsiTheme="majorHAnsi"/>
              </w:rPr>
            </w:pPr>
            <w:r>
              <w:rPr>
                <w:rFonts w:asciiTheme="majorHAnsi" w:hAnsiTheme="majorHAnsi"/>
              </w:rPr>
              <w:t>13,9%</w:t>
            </w:r>
          </w:p>
        </w:tc>
      </w:tr>
      <w:tr w:rsidR="00E44625" w14:paraId="254D0860"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351E68DD" w14:textId="05DF5ABE" w:rsidR="00E44625" w:rsidRDefault="00353C99" w:rsidP="001E1036">
            <w:pPr>
              <w:pStyle w:val="Tabletext"/>
            </w:pPr>
            <w:r>
              <w:t>Pas-de-Calais</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6AA9BEB3" w14:textId="61CC01F1" w:rsidR="00E44625" w:rsidRDefault="00BE0A01" w:rsidP="001E1036">
            <w:pPr>
              <w:pStyle w:val="Tabletext"/>
              <w:rPr>
                <w:rFonts w:asciiTheme="majorHAnsi" w:hAnsiTheme="majorHAnsi"/>
              </w:rPr>
            </w:pPr>
            <w:r>
              <w:rPr>
                <w:rFonts w:asciiTheme="majorHAnsi" w:hAnsiTheme="majorHAnsi"/>
              </w:rPr>
              <w:t>161 359</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0D05BFC2" w14:textId="5160C768" w:rsidR="00E44625" w:rsidRDefault="00F314AE" w:rsidP="001E1036">
            <w:pPr>
              <w:pStyle w:val="Tabletext"/>
              <w:rPr>
                <w:rFonts w:asciiTheme="majorHAnsi" w:hAnsiTheme="majorHAnsi"/>
              </w:rPr>
            </w:pPr>
            <w:r>
              <w:rPr>
                <w:rFonts w:asciiTheme="majorHAnsi" w:hAnsiTheme="majorHAnsi"/>
              </w:rPr>
              <w:t>27,7%</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309A2A14" w14:textId="04E28A25" w:rsidR="00E44625" w:rsidRDefault="007A0693" w:rsidP="001E1036">
            <w:pPr>
              <w:pStyle w:val="Tabletext"/>
              <w:rPr>
                <w:rFonts w:asciiTheme="majorHAnsi" w:hAnsiTheme="majorHAnsi"/>
              </w:rPr>
            </w:pPr>
            <w:r>
              <w:rPr>
                <w:rFonts w:asciiTheme="majorHAnsi" w:hAnsiTheme="majorHAnsi"/>
              </w:rPr>
              <w:t>24,3%</w:t>
            </w:r>
          </w:p>
        </w:tc>
      </w:tr>
      <w:tr w:rsidR="00E44625" w14:paraId="19228A65"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17470CD1" w14:textId="3213173B" w:rsidR="00E44625" w:rsidRDefault="00353C99" w:rsidP="001E1036">
            <w:pPr>
              <w:pStyle w:val="Tabletext"/>
            </w:pPr>
            <w:r>
              <w:t>Somme</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1BC35B69" w14:textId="2FC9A8FC" w:rsidR="00E44625" w:rsidRDefault="00BE0A01" w:rsidP="001E1036">
            <w:pPr>
              <w:pStyle w:val="Tabletext"/>
              <w:rPr>
                <w:rFonts w:asciiTheme="majorHAnsi" w:hAnsiTheme="majorHAnsi"/>
              </w:rPr>
            </w:pPr>
            <w:r>
              <w:rPr>
                <w:rFonts w:asciiTheme="majorHAnsi" w:hAnsiTheme="majorHAnsi"/>
              </w:rPr>
              <w:t>41 888</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30968870" w14:textId="12D90B17" w:rsidR="00E44625" w:rsidRDefault="00DE2CBE" w:rsidP="001E1036">
            <w:pPr>
              <w:pStyle w:val="Tabletext"/>
              <w:rPr>
                <w:rFonts w:asciiTheme="majorHAnsi" w:hAnsiTheme="majorHAnsi"/>
              </w:rPr>
            </w:pPr>
            <w:r>
              <w:rPr>
                <w:rFonts w:asciiTheme="majorHAnsi" w:hAnsiTheme="majorHAnsi"/>
              </w:rPr>
              <w:t>7,2%</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19FCFA7F" w14:textId="45896DA4" w:rsidR="00E44625" w:rsidRDefault="00B507F4" w:rsidP="001E1036">
            <w:pPr>
              <w:pStyle w:val="Tabletext"/>
              <w:rPr>
                <w:rFonts w:asciiTheme="majorHAnsi" w:hAnsiTheme="majorHAnsi"/>
              </w:rPr>
            </w:pPr>
            <w:r>
              <w:rPr>
                <w:rFonts w:asciiTheme="majorHAnsi" w:hAnsiTheme="majorHAnsi"/>
              </w:rPr>
              <w:t>9,5%</w:t>
            </w:r>
          </w:p>
        </w:tc>
      </w:tr>
      <w:tr w:rsidR="00353C99" w14:paraId="29A2ED4F"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691F388D" w14:textId="5FD99732" w:rsidR="00353C99" w:rsidRDefault="00353C99" w:rsidP="001E1036">
            <w:pPr>
              <w:pStyle w:val="Tabletext"/>
            </w:pPr>
            <w:r>
              <w:t>Total</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6DC959F4" w14:textId="63236E7A" w:rsidR="00353C99" w:rsidRDefault="0029783C" w:rsidP="001E1036">
            <w:pPr>
              <w:pStyle w:val="Tabletext"/>
              <w:rPr>
                <w:rFonts w:asciiTheme="majorHAnsi" w:hAnsiTheme="majorHAnsi"/>
              </w:rPr>
            </w:pPr>
            <w:r>
              <w:rPr>
                <w:rFonts w:asciiTheme="majorHAnsi" w:hAnsiTheme="majorHAnsi"/>
              </w:rPr>
              <w:t>583 149</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608CD296" w14:textId="5FEA5EC4" w:rsidR="00353C99" w:rsidRDefault="00353C99" w:rsidP="001E1036">
            <w:pPr>
              <w:pStyle w:val="Tabletext"/>
              <w:rPr>
                <w:rFonts w:asciiTheme="majorHAnsi" w:hAnsiTheme="majorHAnsi"/>
              </w:rPr>
            </w:pPr>
            <w:r>
              <w:rPr>
                <w:rFonts w:asciiTheme="majorHAnsi" w:hAnsiTheme="majorHAnsi"/>
              </w:rPr>
              <w:t>100%</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1577A288" w14:textId="662C3516" w:rsidR="00353C99" w:rsidRDefault="00353C99" w:rsidP="001E1036">
            <w:pPr>
              <w:pStyle w:val="Tabletext"/>
              <w:rPr>
                <w:rFonts w:asciiTheme="majorHAnsi" w:hAnsiTheme="majorHAnsi"/>
              </w:rPr>
            </w:pPr>
            <w:r>
              <w:rPr>
                <w:rFonts w:asciiTheme="majorHAnsi" w:hAnsiTheme="majorHAnsi"/>
              </w:rPr>
              <w:t>100%</w:t>
            </w:r>
          </w:p>
        </w:tc>
      </w:tr>
    </w:tbl>
    <w:p w14:paraId="47107E91" w14:textId="15DAC55A" w:rsidR="004A0981" w:rsidRDefault="00DC2CF3" w:rsidP="00DC2CF3">
      <w:pPr>
        <w:pStyle w:val="Source"/>
      </w:pPr>
      <w:r>
        <w:t>Source : Préfecture des Hauts-de-France ; INSEE</w:t>
      </w:r>
    </w:p>
    <w:p w14:paraId="04D1BB68" w14:textId="27CD508B" w:rsidR="009E53E1" w:rsidRPr="009E53E1" w:rsidRDefault="009E53E1" w:rsidP="009E53E1">
      <w:pPr>
        <w:pStyle w:val="BodyText"/>
      </w:pPr>
      <w:r>
        <w:t xml:space="preserve">Une part importante des logements sociaux est constituée d’habitations individuelles </w:t>
      </w:r>
      <w:r w:rsidR="00E04070">
        <w:t xml:space="preserve">(37,9%, contre 20,3% en France), </w:t>
      </w:r>
      <w:r w:rsidR="00F15B92">
        <w:t xml:space="preserve">du fait du contexte </w:t>
      </w:r>
      <w:r w:rsidR="003342C8">
        <w:t>historique du bassin minier</w:t>
      </w:r>
      <w:r w:rsidR="003342C8">
        <w:rPr>
          <w:rStyle w:val="FootnoteReference"/>
        </w:rPr>
        <w:footnoteReference w:id="88"/>
      </w:r>
      <w:r w:rsidR="003342C8">
        <w:t>.</w:t>
      </w:r>
    </w:p>
    <w:p w14:paraId="0C910456" w14:textId="36E39E71" w:rsidR="003878B1" w:rsidRDefault="009F51A2" w:rsidP="00B507F4">
      <w:pPr>
        <w:pStyle w:val="BodyText"/>
      </w:pPr>
      <w:r>
        <w:t>L’ancienneté moyenne du parc de logements sociaux est de 42,9 ans (contre 39,4 ans au niveau national).</w:t>
      </w:r>
      <w:r w:rsidR="00BF72B2">
        <w:t xml:space="preserve"> La majeure partie des logements date des années </w:t>
      </w:r>
      <w:r w:rsidR="000A1FE5">
        <w:t xml:space="preserve">1980 et 1990 (respectivement 34,4% et 24,9%), ce qui peut expliquer que seuls 6,6% du parc </w:t>
      </w:r>
      <w:r w:rsidR="003872FC">
        <w:t>soient classés en F et G en matière de consommation énergétique.</w:t>
      </w:r>
      <w:r w:rsidR="00882A30">
        <w:t xml:space="preserve"> La majorité </w:t>
      </w:r>
      <w:r w:rsidR="005F6223">
        <w:t xml:space="preserve">des logements ayant effectué un DPE </w:t>
      </w:r>
      <w:r w:rsidR="00882A30">
        <w:t>ont une classification C (27,7%) et D (36,3%)</w:t>
      </w:r>
      <w:r w:rsidR="003534A0">
        <w:t xml:space="preserve">, et </w:t>
      </w:r>
      <w:r w:rsidR="00686C7C">
        <w:t>9% des logements sociaux présentent une classification A (2%) ou B (7%)</w:t>
      </w:r>
      <w:r w:rsidR="00686C7C">
        <w:rPr>
          <w:rStyle w:val="FootnoteReference"/>
        </w:rPr>
        <w:footnoteReference w:id="89"/>
      </w:r>
      <w:r w:rsidR="00686C7C">
        <w:t>.</w:t>
      </w:r>
    </w:p>
    <w:p w14:paraId="6A8C90E3" w14:textId="277C37B3" w:rsidR="00174139" w:rsidRDefault="00CA2FC0" w:rsidP="00B56F89">
      <w:pPr>
        <w:pStyle w:val="BodyText"/>
      </w:pPr>
      <w:r>
        <w:t xml:space="preserve">Entre 2009 et 2019, 9,7% des </w:t>
      </w:r>
      <w:r w:rsidRPr="00EF3848">
        <w:t>prêts délivrés dans le cadre du dispositif éco-PLS au niveau national concernent l</w:t>
      </w:r>
      <w:r>
        <w:t xml:space="preserve">e territoire des Hauts-de-France. En 2019, 4 214 </w:t>
      </w:r>
      <w:r w:rsidR="00B56F89">
        <w:t xml:space="preserve">logements ont été rénovés via l’éco-PLS, ce qui </w:t>
      </w:r>
      <w:r w:rsidR="00631734">
        <w:t xml:space="preserve">représente une </w:t>
      </w:r>
      <w:r w:rsidR="00B56F89">
        <w:t>augmentation</w:t>
      </w:r>
      <w:r w:rsidR="00631734">
        <w:t xml:space="preserve"> de 17% par rapport à 2018</w:t>
      </w:r>
      <w:r w:rsidR="00571DF3">
        <w:t>.</w:t>
      </w:r>
      <w:r w:rsidR="006D5D6A">
        <w:t xml:space="preserve"> Le montant moyen</w:t>
      </w:r>
      <w:r w:rsidR="008E09D0">
        <w:t xml:space="preserve"> des travaux </w:t>
      </w:r>
      <w:r w:rsidR="006D5D6A">
        <w:t>s’élève à 50 300€</w:t>
      </w:r>
      <w:r w:rsidR="005F72C6">
        <w:t xml:space="preserve"> par logement </w:t>
      </w:r>
      <w:r w:rsidR="008E09D0">
        <w:rPr>
          <w:rStyle w:val="FootnoteReference"/>
        </w:rPr>
        <w:footnoteReference w:id="90"/>
      </w:r>
      <w:r w:rsidR="006D5D6A">
        <w:t>.</w:t>
      </w:r>
    </w:p>
    <w:p w14:paraId="54B8BDD4" w14:textId="7915223A" w:rsidR="00A84E50" w:rsidRDefault="00A84E50" w:rsidP="00B56F89">
      <w:pPr>
        <w:pStyle w:val="BodyText"/>
      </w:pPr>
      <w:r>
        <w:t xml:space="preserve">Aujourd’hui, les </w:t>
      </w:r>
      <w:r w:rsidRPr="00084BEC">
        <w:rPr>
          <w:b/>
        </w:rPr>
        <w:t>bailleurs sociaux</w:t>
      </w:r>
      <w:r>
        <w:t xml:space="preserve"> font face à </w:t>
      </w:r>
      <w:r w:rsidRPr="00813915">
        <w:rPr>
          <w:b/>
        </w:rPr>
        <w:t xml:space="preserve">plusieurs </w:t>
      </w:r>
      <w:r w:rsidRPr="00084BEC">
        <w:rPr>
          <w:b/>
        </w:rPr>
        <w:t>difficultés</w:t>
      </w:r>
      <w:r>
        <w:t xml:space="preserve"> pour financer les travaux d’efficacité énergétique dans leur parc immobilier</w:t>
      </w:r>
      <w:r w:rsidR="00827D7B">
        <w:t xml:space="preserve">, notamment </w:t>
      </w:r>
      <w:r w:rsidR="005F4ED2">
        <w:t>lorsqu’il s’agit de structures locales</w:t>
      </w:r>
      <w:r>
        <w:t> :</w:t>
      </w:r>
    </w:p>
    <w:p w14:paraId="50035834" w14:textId="12BA8C89" w:rsidR="00944B8E" w:rsidRDefault="00944B8E" w:rsidP="00944B8E">
      <w:pPr>
        <w:pStyle w:val="Bullet1"/>
      </w:pPr>
      <w:r>
        <w:t>Le dispositif de réduction de loyer de solidarité (RLS)</w:t>
      </w:r>
      <w:r w:rsidR="00414A71">
        <w:t>,</w:t>
      </w:r>
      <w:r>
        <w:t xml:space="preserve"> introduit par la loi de Finances 2018</w:t>
      </w:r>
      <w:r w:rsidR="00414A71">
        <w:t>,</w:t>
      </w:r>
      <w:r w:rsidR="00CB29CF">
        <w:t xml:space="preserve"> </w:t>
      </w:r>
      <w:r w:rsidR="00CB29CF" w:rsidRPr="00084BEC">
        <w:rPr>
          <w:b/>
        </w:rPr>
        <w:t>réduit les fonds propres des bailleurs sociaux</w:t>
      </w:r>
      <w:r w:rsidR="00C44054">
        <w:t>, étant donné qu’aucun</w:t>
      </w:r>
      <w:r w:rsidR="00414A71">
        <w:t>e</w:t>
      </w:r>
      <w:r w:rsidR="00C44054">
        <w:t xml:space="preserve"> </w:t>
      </w:r>
      <w:r w:rsidR="00414A71">
        <w:t>mesure</w:t>
      </w:r>
      <w:r w:rsidR="00C44054">
        <w:t xml:space="preserve"> financi</w:t>
      </w:r>
      <w:r w:rsidR="00414A71">
        <w:t>ère</w:t>
      </w:r>
      <w:r w:rsidR="00C44054">
        <w:t xml:space="preserve"> ne vient compenser cette baisse de revenus</w:t>
      </w:r>
      <w:r w:rsidR="00E90EC8">
        <w:t xml:space="preserve">. Cette baisse </w:t>
      </w:r>
      <w:r w:rsidR="00A67E69">
        <w:t>a alors un impact négatif sur</w:t>
      </w:r>
      <w:r w:rsidR="00E90EC8">
        <w:t xml:space="preserve"> leur capacité d’emprunt</w:t>
      </w:r>
      <w:r w:rsidR="00AF0FCE">
        <w:rPr>
          <w:rStyle w:val="FootnoteReference"/>
        </w:rPr>
        <w:footnoteReference w:id="91"/>
      </w:r>
      <w:r w:rsidR="00C44054">
        <w:t> ;</w:t>
      </w:r>
    </w:p>
    <w:p w14:paraId="2BB562CF" w14:textId="7F64539C" w:rsidR="002E4026" w:rsidRDefault="003B5492" w:rsidP="00944B8E">
      <w:pPr>
        <w:pStyle w:val="Bullet1"/>
      </w:pPr>
      <w:r>
        <w:t xml:space="preserve">Le relèvement du taux de TVA de 7% à 10% </w:t>
      </w:r>
      <w:r w:rsidR="002D3A40">
        <w:t xml:space="preserve">pour les travaux d’investissement a augmenté les </w:t>
      </w:r>
      <w:r w:rsidR="00E67DEE">
        <w:t>frais de rénovation</w:t>
      </w:r>
      <w:r w:rsidR="00AF0FCE">
        <w:rPr>
          <w:rStyle w:val="FootnoteReference"/>
        </w:rPr>
        <w:footnoteReference w:id="92"/>
      </w:r>
      <w:r w:rsidR="00E67DEE">
        <w:t> ;</w:t>
      </w:r>
    </w:p>
    <w:p w14:paraId="2509193E" w14:textId="1DD112AF" w:rsidR="00E67DEE" w:rsidRDefault="00E67DEE" w:rsidP="00AF0FCE">
      <w:pPr>
        <w:pStyle w:val="Bullet1"/>
      </w:pPr>
      <w:r>
        <w:t>Le</w:t>
      </w:r>
      <w:r w:rsidR="00F43B64">
        <w:t xml:space="preserve"> protocole sanitaire </w:t>
      </w:r>
      <w:r w:rsidR="0055727A">
        <w:t>accroit les frais de fonctionnement</w:t>
      </w:r>
      <w:r w:rsidR="00C7444C">
        <w:t xml:space="preserve"> généraux des bailleurs sociaux</w:t>
      </w:r>
      <w:r w:rsidR="00B30140">
        <w:rPr>
          <w:rStyle w:val="FootnoteReference"/>
        </w:rPr>
        <w:footnoteReference w:id="93"/>
      </w:r>
      <w:r w:rsidR="00C238A3">
        <w:t> ;</w:t>
      </w:r>
    </w:p>
    <w:p w14:paraId="359C6F13" w14:textId="59A44761" w:rsidR="00DF3420" w:rsidRDefault="00AF0FCE" w:rsidP="00DF3420">
      <w:pPr>
        <w:pStyle w:val="Bullet1"/>
      </w:pPr>
      <w:r>
        <w:t>L</w:t>
      </w:r>
      <w:r w:rsidR="000E5A7D">
        <w:t>a hausse du</w:t>
      </w:r>
      <w:r>
        <w:t xml:space="preserve"> prix des matières premières</w:t>
      </w:r>
      <w:r w:rsidR="00EC275B">
        <w:t xml:space="preserve"> biosourcés</w:t>
      </w:r>
      <w:r w:rsidR="000E5A7D">
        <w:t xml:space="preserve">, notamment du bois, </w:t>
      </w:r>
      <w:r w:rsidR="00744145">
        <w:t>s’accélère avec la pénurie</w:t>
      </w:r>
      <w:r w:rsidR="00077960">
        <w:t xml:space="preserve"> due à la crise sanitaire</w:t>
      </w:r>
      <w:r w:rsidR="005C3761">
        <w:t xml:space="preserve"> (arrêt des usines, augmentation de la demande aux États-Unis et en France)</w:t>
      </w:r>
      <w:r w:rsidR="00077960">
        <w:rPr>
          <w:rStyle w:val="FootnoteReference"/>
        </w:rPr>
        <w:footnoteReference w:id="94"/>
      </w:r>
      <w:r w:rsidR="002D39AD">
        <w:t xml:space="preserve">. Ce </w:t>
      </w:r>
      <w:r w:rsidR="00E65AEE">
        <w:t>phénomène risque d’être accentué avec la règlementation environnementale (RE) 2020</w:t>
      </w:r>
      <w:r w:rsidR="002D39AD">
        <w:t>,</w:t>
      </w:r>
      <w:r w:rsidR="00E65AEE">
        <w:t xml:space="preserve"> qui </w:t>
      </w:r>
      <w:r w:rsidR="004A2921">
        <w:t>fera de la construction neuve en bois la norme</w:t>
      </w:r>
      <w:r w:rsidR="00197EB2">
        <w:rPr>
          <w:rStyle w:val="FootnoteReference"/>
        </w:rPr>
        <w:footnoteReference w:id="95"/>
      </w:r>
      <w:r w:rsidR="004A2921">
        <w:t>, augmentant ainsi la demande et les prix</w:t>
      </w:r>
      <w:r w:rsidR="00E20A90">
        <w:t xml:space="preserve"> de cette matière première</w:t>
      </w:r>
      <w:r w:rsidR="00F0724F">
        <w:t>.</w:t>
      </w:r>
      <w:r w:rsidR="00FB7814">
        <w:t xml:space="preserve"> </w:t>
      </w:r>
      <w:r w:rsidR="00D41059">
        <w:t>De plus,</w:t>
      </w:r>
      <w:r w:rsidR="001525C7">
        <w:t xml:space="preserve"> l’effectif salarié du BTP recule :</w:t>
      </w:r>
      <w:r w:rsidR="001525C7" w:rsidRPr="001525C7">
        <w:t xml:space="preserve"> </w:t>
      </w:r>
      <w:r w:rsidR="001525C7">
        <w:t xml:space="preserve">entre 2010 et 2019, </w:t>
      </w:r>
      <w:r w:rsidR="007E5F2F">
        <w:t>il a baissé de 13,1%</w:t>
      </w:r>
      <w:r w:rsidR="008B4D85">
        <w:rPr>
          <w:rStyle w:val="FootnoteReference"/>
        </w:rPr>
        <w:footnoteReference w:id="96"/>
      </w:r>
      <w:r w:rsidR="00181581">
        <w:t xml:space="preserve"> à cause des départs à la retraite qui ne sont pas compensés par l’arrivée de nouveaux entrants</w:t>
      </w:r>
      <w:r w:rsidR="00197EB2">
        <w:rPr>
          <w:rStyle w:val="FootnoteReference"/>
        </w:rPr>
        <w:footnoteReference w:id="97"/>
      </w:r>
      <w:r w:rsidR="00197EB2">
        <w:t>.</w:t>
      </w:r>
    </w:p>
    <w:p w14:paraId="59EFF02D" w14:textId="78CF738D" w:rsidR="0084374D" w:rsidRPr="00024EE9" w:rsidRDefault="00E10FC7" w:rsidP="00DF3420">
      <w:pPr>
        <w:pStyle w:val="BodyText"/>
        <w:rPr>
          <w:b/>
        </w:rPr>
      </w:pPr>
      <w:r>
        <w:t>Afin d’amener les locataires à participer aux travaux de rénovation énergétique</w:t>
      </w:r>
      <w:r w:rsidR="0084374D">
        <w:t xml:space="preserve">, certains </w:t>
      </w:r>
      <w:r w:rsidR="0084374D" w:rsidRPr="000A5D6D">
        <w:rPr>
          <w:b/>
          <w:bCs/>
        </w:rPr>
        <w:t xml:space="preserve">bailleurs </w:t>
      </w:r>
      <w:r w:rsidR="001675E0" w:rsidRPr="000A5D6D">
        <w:rPr>
          <w:b/>
          <w:bCs/>
        </w:rPr>
        <w:t>proposent</w:t>
      </w:r>
      <w:r w:rsidR="001923CE" w:rsidRPr="000A5D6D">
        <w:rPr>
          <w:b/>
          <w:bCs/>
        </w:rPr>
        <w:t xml:space="preserve"> aux locataires</w:t>
      </w:r>
      <w:r w:rsidR="001675E0" w:rsidRPr="000A5D6D">
        <w:rPr>
          <w:b/>
          <w:bCs/>
        </w:rPr>
        <w:t xml:space="preserve"> de </w:t>
      </w:r>
      <w:r w:rsidR="00880C87" w:rsidRPr="000A5D6D">
        <w:rPr>
          <w:b/>
          <w:bCs/>
        </w:rPr>
        <w:t>contribuer au partage des économies d’énergie</w:t>
      </w:r>
      <w:r w:rsidR="00D90427" w:rsidRPr="000A5D6D">
        <w:rPr>
          <w:b/>
          <w:bCs/>
        </w:rPr>
        <w:t xml:space="preserve">, </w:t>
      </w:r>
      <w:r w:rsidR="000A5D6D" w:rsidRPr="000A5D6D">
        <w:rPr>
          <w:b/>
          <w:bCs/>
        </w:rPr>
        <w:t>avec</w:t>
      </w:r>
      <w:r w:rsidR="001923CE" w:rsidRPr="000A5D6D">
        <w:rPr>
          <w:b/>
          <w:bCs/>
        </w:rPr>
        <w:t xml:space="preserve"> </w:t>
      </w:r>
      <w:r w:rsidR="00D90427" w:rsidRPr="000A5D6D">
        <w:rPr>
          <w:b/>
          <w:bCs/>
        </w:rPr>
        <w:t>la « troisième ligne de quittance »</w:t>
      </w:r>
      <w:r>
        <w:t xml:space="preserve">. Ce forfait maintiendra le loyer et les charges au même niveau toute l’année </w:t>
      </w:r>
      <w:r w:rsidR="00DF56C6">
        <w:t xml:space="preserve">– il se peut que les locataires soient amenés à payer plus qu’ils ne consomment mais, en cas de variation à la hausse du prix de l’énergie, </w:t>
      </w:r>
      <w:r w:rsidR="00567DA9">
        <w:t xml:space="preserve">le </w:t>
      </w:r>
      <w:r w:rsidR="00806C77">
        <w:t xml:space="preserve">forfait global n’augmentera pas. Ainsi, ce risque financier est transféré au bailleur, </w:t>
      </w:r>
      <w:r w:rsidR="00111078">
        <w:t xml:space="preserve">mais leur permet également de maintenir un niveau de fonds propres </w:t>
      </w:r>
      <w:r w:rsidR="00AA411A">
        <w:t>stable.</w:t>
      </w:r>
      <w:r w:rsidR="001923CE">
        <w:t xml:space="preserve"> Dans ce cadre, un </w:t>
      </w:r>
      <w:r w:rsidR="001923CE" w:rsidRPr="00024EE9">
        <w:rPr>
          <w:b/>
        </w:rPr>
        <w:t>soutien de la Région, par exemple sous forme de garantie ou en élargissant cette démarche à l’ensemble des bailleurs sociaux du territoire, pourrait être pertinent</w:t>
      </w:r>
      <w:r w:rsidR="000A5D6D" w:rsidRPr="00024EE9">
        <w:rPr>
          <w:rStyle w:val="FootnoteReference"/>
          <w:b/>
        </w:rPr>
        <w:footnoteReference w:id="98"/>
      </w:r>
      <w:r w:rsidR="001923CE" w:rsidRPr="00024EE9">
        <w:rPr>
          <w:b/>
        </w:rPr>
        <w:t>.</w:t>
      </w:r>
    </w:p>
    <w:p w14:paraId="27A104F7" w14:textId="48BCA154" w:rsidR="00080273" w:rsidRDefault="00080273" w:rsidP="00080273">
      <w:pPr>
        <w:pStyle w:val="BodyText"/>
      </w:pPr>
      <w:r>
        <w:t xml:space="preserve">L’offre en financement à disposition des bailleurs sociaux est riche (cf. </w:t>
      </w:r>
      <w:r>
        <w:fldChar w:fldCharType="begin"/>
      </w:r>
      <w:r>
        <w:instrText xml:space="preserve"> REF _Ref75959793 \r \h </w:instrText>
      </w:r>
      <w:r>
        <w:fldChar w:fldCharType="separate"/>
      </w:r>
      <w:r w:rsidR="009F0282">
        <w:t>1.2.2</w:t>
      </w:r>
      <w:r>
        <w:fldChar w:fldCharType="end"/>
      </w:r>
      <w:r>
        <w:t xml:space="preserve">) mais ceux-ci regrettent </w:t>
      </w:r>
      <w:r w:rsidRPr="00FE3091">
        <w:rPr>
          <w:b/>
          <w:bCs/>
        </w:rPr>
        <w:t>le</w:t>
      </w:r>
      <w:r>
        <w:t xml:space="preserve"> </w:t>
      </w:r>
      <w:r w:rsidRPr="00D45FDE">
        <w:rPr>
          <w:b/>
          <w:bCs/>
        </w:rPr>
        <w:t>manque de cohérence qui peut exister entre les dispositifs</w:t>
      </w:r>
      <w:r>
        <w:t xml:space="preserve">, qui ont une assiette éligible différente, et </w:t>
      </w:r>
      <w:r w:rsidRPr="00FE3091">
        <w:rPr>
          <w:b/>
          <w:bCs/>
        </w:rPr>
        <w:t>le manque de visibilité</w:t>
      </w:r>
      <w:r>
        <w:t xml:space="preserve">, sur le calendrier de publication des AAP, leurs conditions d’accès, leur temporalité, sur les lauréats, etc. </w:t>
      </w:r>
      <w:r w:rsidRPr="00A016C8">
        <w:rPr>
          <w:b/>
          <w:bCs/>
        </w:rPr>
        <w:t>La mise en place d’un</w:t>
      </w:r>
      <w:r>
        <w:rPr>
          <w:b/>
          <w:bCs/>
        </w:rPr>
        <w:t xml:space="preserve"> calendrier précis des AAP et AMI</w:t>
      </w:r>
      <w:r>
        <w:t>, au moins régionaux, pourrait faciliter le travail de planification financière des bailleurs sociaux</w:t>
      </w:r>
      <w:r w:rsidRPr="006707C2">
        <w:rPr>
          <w:rStyle w:val="FootnoteReference"/>
        </w:rPr>
        <w:footnoteReference w:id="99"/>
      </w:r>
      <w:r>
        <w:t xml:space="preserve">. </w:t>
      </w:r>
      <w:r w:rsidRPr="00080273">
        <w:rPr>
          <w:b/>
          <w:bCs/>
        </w:rPr>
        <w:t>La création</w:t>
      </w:r>
      <w:r>
        <w:rPr>
          <w:b/>
          <w:bCs/>
        </w:rPr>
        <w:t xml:space="preserve"> d’un</w:t>
      </w:r>
      <w:r w:rsidRPr="00A016C8">
        <w:rPr>
          <w:b/>
          <w:bCs/>
        </w:rPr>
        <w:t xml:space="preserve"> guichet unique à l’échelle de la région</w:t>
      </w:r>
      <w:r>
        <w:t xml:space="preserve"> a également été suggéré</w:t>
      </w:r>
      <w:r w:rsidR="00627FA5">
        <w:t>e</w:t>
      </w:r>
      <w:r>
        <w:t>, afin d’avoir un interlocuteur identifié qui les accompagnerait sur le montage financier</w:t>
      </w:r>
      <w:r>
        <w:rPr>
          <w:rStyle w:val="FootnoteReference"/>
        </w:rPr>
        <w:footnoteReference w:id="100"/>
      </w:r>
      <w:r>
        <w:t>.</w:t>
      </w:r>
      <w:r w:rsidR="00AA07EB">
        <w:t xml:space="preserve"> D’autres financements</w:t>
      </w:r>
      <w:r w:rsidR="00AF755B">
        <w:t xml:space="preserve">, tels que </w:t>
      </w:r>
      <w:r w:rsidR="008309E5">
        <w:t>le fonds social européen</w:t>
      </w:r>
      <w:r w:rsidR="00D073EF">
        <w:t>,</w:t>
      </w:r>
      <w:r w:rsidR="008309E5">
        <w:t xml:space="preserve"> les </w:t>
      </w:r>
      <w:r w:rsidR="00C04BF1" w:rsidRPr="00D073EF">
        <w:rPr>
          <w:i/>
          <w:iCs/>
        </w:rPr>
        <w:t>green bonds</w:t>
      </w:r>
      <w:r w:rsidR="00D073EF">
        <w:t xml:space="preserve"> et le </w:t>
      </w:r>
      <w:proofErr w:type="spellStart"/>
      <w:r w:rsidR="00D073EF" w:rsidRPr="00D073EF">
        <w:rPr>
          <w:i/>
          <w:iCs/>
        </w:rPr>
        <w:t>private</w:t>
      </w:r>
      <w:proofErr w:type="spellEnd"/>
      <w:r w:rsidR="00D073EF" w:rsidRPr="00D073EF">
        <w:rPr>
          <w:i/>
          <w:iCs/>
        </w:rPr>
        <w:t xml:space="preserve"> </w:t>
      </w:r>
      <w:proofErr w:type="spellStart"/>
      <w:r w:rsidR="00D073EF" w:rsidRPr="00D073EF">
        <w:rPr>
          <w:i/>
          <w:iCs/>
        </w:rPr>
        <w:t>equity</w:t>
      </w:r>
      <w:proofErr w:type="spellEnd"/>
      <w:r w:rsidR="00C04BF1">
        <w:t xml:space="preserve">, représentent des opportunités sur lesquelles les </w:t>
      </w:r>
      <w:r w:rsidR="00253B28">
        <w:t xml:space="preserve">bailleurs sociaux ne semblent pas </w:t>
      </w:r>
      <w:r w:rsidR="00D073EF">
        <w:t>s’être tournés.</w:t>
      </w:r>
    </w:p>
    <w:p w14:paraId="557DA2DA" w14:textId="37573496" w:rsidR="000A5D6D" w:rsidRDefault="000A5D6D" w:rsidP="00DF3420">
      <w:pPr>
        <w:pStyle w:val="BodyText"/>
      </w:pPr>
      <w:r>
        <w:t xml:space="preserve">En outre, comme indiqué en </w:t>
      </w:r>
      <w:r>
        <w:fldChar w:fldCharType="begin"/>
      </w:r>
      <w:r>
        <w:instrText xml:space="preserve"> REF _Ref75958938 \r \h </w:instrText>
      </w:r>
      <w:r>
        <w:fldChar w:fldCharType="separate"/>
      </w:r>
      <w:r w:rsidR="009F0282">
        <w:t>1.2.2</w:t>
      </w:r>
      <w:r>
        <w:fldChar w:fldCharType="end"/>
      </w:r>
      <w:r>
        <w:t>, le Département de l’Oise propose une garantie à 100% des emprunts des bailleurs sociaux</w:t>
      </w:r>
      <w:r w:rsidR="006B373D">
        <w:t xml:space="preserve"> oisiens. Cette garantie semble de moins en moins mobilisable, étant donné que les acteurs financiers </w:t>
      </w:r>
      <w:r w:rsidR="00CA6EBD">
        <w:t>prennent en considération l’ensemble des prêts garantis par le Conseil général</w:t>
      </w:r>
      <w:r w:rsidR="00E145FF">
        <w:t xml:space="preserve"> plutôt que les fonds propres à disposition</w:t>
      </w:r>
      <w:r w:rsidR="00DB2BAD">
        <w:t>.</w:t>
      </w:r>
      <w:r w:rsidR="00080273">
        <w:t xml:space="preserve"> Ici aussi, une intervention régionale pour </w:t>
      </w:r>
      <w:r w:rsidR="00776581">
        <w:rPr>
          <w:b/>
          <w:bCs/>
        </w:rPr>
        <w:t>développer</w:t>
      </w:r>
      <w:r w:rsidR="00080273" w:rsidRPr="00080273">
        <w:rPr>
          <w:b/>
          <w:bCs/>
        </w:rPr>
        <w:t xml:space="preserve"> la </w:t>
      </w:r>
      <w:r w:rsidR="007D7C51">
        <w:rPr>
          <w:b/>
          <w:bCs/>
        </w:rPr>
        <w:t>mobilisation</w:t>
      </w:r>
      <w:r w:rsidR="00080273" w:rsidRPr="00080273">
        <w:rPr>
          <w:b/>
          <w:bCs/>
        </w:rPr>
        <w:t xml:space="preserve"> de </w:t>
      </w:r>
      <w:r w:rsidR="007D7C51">
        <w:rPr>
          <w:b/>
          <w:bCs/>
        </w:rPr>
        <w:t>la</w:t>
      </w:r>
      <w:r w:rsidR="00080273" w:rsidRPr="00080273">
        <w:rPr>
          <w:b/>
          <w:bCs/>
        </w:rPr>
        <w:t xml:space="preserve"> garantie</w:t>
      </w:r>
      <w:r w:rsidR="00080273">
        <w:rPr>
          <w:b/>
        </w:rPr>
        <w:t xml:space="preserve"> </w:t>
      </w:r>
      <w:r w:rsidR="007D7C51">
        <w:rPr>
          <w:b/>
          <w:bCs/>
        </w:rPr>
        <w:t>et des prêts</w:t>
      </w:r>
      <w:r w:rsidR="00080273">
        <w:t xml:space="preserve"> en Hauts-de-France pourrait être pertinente.</w:t>
      </w:r>
    </w:p>
    <w:p w14:paraId="25D6EE9F" w14:textId="546E5BA1" w:rsidR="000F0769" w:rsidRDefault="000F0769" w:rsidP="00DF3420">
      <w:pPr>
        <w:pStyle w:val="BodyText"/>
      </w:pPr>
      <w:r>
        <w:t xml:space="preserve">Le FEDER a pu être sollicité par les bailleurs sociaux mais a présenté des difficultés similaires aux collectivités territoriales (cf. </w:t>
      </w:r>
      <w:r>
        <w:fldChar w:fldCharType="begin"/>
      </w:r>
      <w:r>
        <w:instrText xml:space="preserve"> REF _Ref75960637 \r \h </w:instrText>
      </w:r>
      <w:r>
        <w:fldChar w:fldCharType="separate"/>
      </w:r>
      <w:r w:rsidR="009F0282">
        <w:t>2.2.2</w:t>
      </w:r>
      <w:r>
        <w:fldChar w:fldCharType="end"/>
      </w:r>
      <w:r>
        <w:t xml:space="preserve">), à savoir : </w:t>
      </w:r>
    </w:p>
    <w:p w14:paraId="0441DE2C" w14:textId="4FAE3B26" w:rsidR="001E7D41" w:rsidRDefault="006032C4" w:rsidP="000F0769">
      <w:pPr>
        <w:pStyle w:val="Bullet1"/>
      </w:pPr>
      <w:r>
        <w:t xml:space="preserve">Les </w:t>
      </w:r>
      <w:r w:rsidR="001E7D41" w:rsidRPr="002432F4">
        <w:rPr>
          <w:b/>
          <w:bCs/>
        </w:rPr>
        <w:t>AAP publiés dans le cadre du FEDER sont hautement sélectifs, avec des critères exigeants</w:t>
      </w:r>
      <w:r w:rsidR="001E7D41">
        <w:t>, qui ne correspondent pas toujours aux besoins des bailleurs sociaux</w:t>
      </w:r>
      <w:r w:rsidR="0055698B">
        <w:t xml:space="preserve"> : </w:t>
      </w:r>
      <w:r w:rsidR="00D30EC6">
        <w:t>il pourrait être pertinent d</w:t>
      </w:r>
      <w:r w:rsidR="0003753A">
        <w:t xml:space="preserve">’avoir des financements </w:t>
      </w:r>
      <w:r w:rsidR="00A23412">
        <w:t>proportionnels</w:t>
      </w:r>
      <w:r w:rsidR="00D50B8E">
        <w:t xml:space="preserve"> </w:t>
      </w:r>
      <w:r w:rsidR="00A23412">
        <w:t>aux gains énergétiques obtenus</w:t>
      </w:r>
      <w:r w:rsidR="00D73952">
        <w:rPr>
          <w:rStyle w:val="FootnoteReference"/>
        </w:rPr>
        <w:footnoteReference w:id="101"/>
      </w:r>
      <w:r w:rsidR="002432F4">
        <w:t> ;</w:t>
      </w:r>
    </w:p>
    <w:p w14:paraId="2AE0F8EA" w14:textId="785587A6" w:rsidR="000F0769" w:rsidRDefault="000F0769" w:rsidP="000F0769">
      <w:pPr>
        <w:pStyle w:val="Bullet1"/>
      </w:pPr>
      <w:r>
        <w:t xml:space="preserve">Les </w:t>
      </w:r>
      <w:r w:rsidRPr="005B5F1D">
        <w:rPr>
          <w:b/>
          <w:bCs/>
        </w:rPr>
        <w:t>délais d’instruction des dossiers peuvent être longs</w:t>
      </w:r>
      <w:r>
        <w:t>, ce qui requiert du demandeur d’avoir une situation financière suffisamment solide pour avancer les financements et compenser si la demande est rejetée</w:t>
      </w:r>
      <w:r>
        <w:rPr>
          <w:rStyle w:val="FootnoteReference"/>
        </w:rPr>
        <w:footnoteReference w:id="102"/>
      </w:r>
      <w:r>
        <w:t> ;</w:t>
      </w:r>
    </w:p>
    <w:p w14:paraId="7C9A5037" w14:textId="35152743" w:rsidR="0055698B" w:rsidRDefault="00371B95" w:rsidP="0055698B">
      <w:pPr>
        <w:pStyle w:val="Bullet1"/>
      </w:pPr>
      <w:r w:rsidRPr="008F6ECF">
        <w:rPr>
          <w:b/>
          <w:bCs/>
        </w:rPr>
        <w:t>La complexité de la démarche</w:t>
      </w:r>
      <w:r>
        <w:t xml:space="preserve"> </w:t>
      </w:r>
      <w:r w:rsidRPr="00D35460">
        <w:rPr>
          <w:b/>
          <w:bCs/>
        </w:rPr>
        <w:t>administrative pe</w:t>
      </w:r>
      <w:r>
        <w:rPr>
          <w:b/>
          <w:bCs/>
        </w:rPr>
        <w:t>u</w:t>
      </w:r>
      <w:r w:rsidRPr="00D35460">
        <w:rPr>
          <w:b/>
          <w:bCs/>
        </w:rPr>
        <w:t>t être rédhibitoire</w:t>
      </w:r>
      <w:r w:rsidR="002A288C">
        <w:rPr>
          <w:rStyle w:val="FootnoteReference"/>
          <w:b/>
          <w:bCs/>
        </w:rPr>
        <w:footnoteReference w:id="103"/>
      </w:r>
      <w:r w:rsidR="002A288C">
        <w:t>, notamment quand le bailleur social a des capacités limitées</w:t>
      </w:r>
      <w:r w:rsidR="0055698B">
        <w:t>.</w:t>
      </w:r>
    </w:p>
    <w:p w14:paraId="4E28A018" w14:textId="1677C5E4" w:rsidR="00F167DE" w:rsidRDefault="00B94739" w:rsidP="00F167DE">
      <w:pPr>
        <w:pStyle w:val="BodyText"/>
      </w:pPr>
      <w:r>
        <w:t xml:space="preserve">Au regard de la baisse des effectifs salariés dans le secteur du BTP et de la difficulté croissante des bailleurs sociaux à financer leurs opérations, </w:t>
      </w:r>
      <w:r w:rsidRPr="00935BD2">
        <w:rPr>
          <w:b/>
          <w:bCs/>
        </w:rPr>
        <w:t>la démarche EnergieSprong se présente comme une solution</w:t>
      </w:r>
      <w:r w:rsidR="00B8149A">
        <w:t xml:space="preserve">. </w:t>
      </w:r>
      <w:r w:rsidR="00CD4F7F">
        <w:t>La</w:t>
      </w:r>
      <w:r w:rsidR="00B8149A">
        <w:t xml:space="preserve"> méthode la plus courante est de </w:t>
      </w:r>
      <w:r w:rsidR="0062190C">
        <w:t>fabriquer hors site (industrialisation des toitures, des façades, et</w:t>
      </w:r>
      <w:r w:rsidR="007031B5">
        <w:t>c.)</w:t>
      </w:r>
      <w:r w:rsidR="00674C66">
        <w:t>,</w:t>
      </w:r>
      <w:r w:rsidR="007031B5">
        <w:t xml:space="preserve"> afin de </w:t>
      </w:r>
      <w:r w:rsidR="00015CF6">
        <w:t>standardiser les solutions</w:t>
      </w:r>
      <w:r w:rsidR="00935BD2">
        <w:t xml:space="preserve">, </w:t>
      </w:r>
      <w:r w:rsidR="00015CF6">
        <w:t>de diminuer le nombre d’intervenants</w:t>
      </w:r>
      <w:r w:rsidR="00935BD2">
        <w:t xml:space="preserve"> et donc de maîtriser les coûts</w:t>
      </w:r>
      <w:r w:rsidR="00741FC5">
        <w:t>.</w:t>
      </w:r>
      <w:r w:rsidR="00CD4F7F">
        <w:t xml:space="preserve"> </w:t>
      </w:r>
      <w:r w:rsidR="00DD5495">
        <w:t>EnergieSp</w:t>
      </w:r>
      <w:r w:rsidR="00997C53">
        <w:t>r</w:t>
      </w:r>
      <w:r w:rsidR="00DD5495">
        <w:t>ong</w:t>
      </w:r>
      <w:r w:rsidR="00A70899">
        <w:t xml:space="preserve"> présente un enjeu d’accompagnement des </w:t>
      </w:r>
      <w:r w:rsidR="00F26BA0">
        <w:t>bailleurs sociaux</w:t>
      </w:r>
      <w:r w:rsidR="00B30494">
        <w:t xml:space="preserve"> et des collectivités</w:t>
      </w:r>
      <w:r w:rsidR="00F26BA0">
        <w:t>, des entreprises</w:t>
      </w:r>
      <w:r w:rsidR="003F2975">
        <w:t xml:space="preserve"> et d</w:t>
      </w:r>
      <w:r w:rsidR="007B3E5C">
        <w:t xml:space="preserve">e la main d’œuvre </w:t>
      </w:r>
      <w:r w:rsidR="007A081C">
        <w:t>(</w:t>
      </w:r>
      <w:r w:rsidR="00FE793D">
        <w:t xml:space="preserve">salariés, </w:t>
      </w:r>
      <w:r w:rsidR="00F20D96">
        <w:t>jeunes en formation initiale et demandeurs d’emplois).</w:t>
      </w:r>
      <w:r w:rsidR="00DD5495">
        <w:t xml:space="preserve"> </w:t>
      </w:r>
      <w:r w:rsidR="00F167DE">
        <w:t xml:space="preserve">Au regard des difficultés des bailleurs sociaux à dégager des fonds propres suffisants pour financer la rénovation du parc immobilier, </w:t>
      </w:r>
      <w:r w:rsidR="00DA0F14">
        <w:t xml:space="preserve">il est aujourd’hui difficile de les mobiliser sur une démarche </w:t>
      </w:r>
      <w:r w:rsidR="00DA0F14" w:rsidRPr="005D0AC6">
        <w:rPr>
          <w:b/>
        </w:rPr>
        <w:t>innovante mais encore coûteuse comme EnergieSprong.</w:t>
      </w:r>
      <w:r w:rsidR="005D0AC6">
        <w:rPr>
          <w:b/>
          <w:bCs/>
        </w:rPr>
        <w:t xml:space="preserve"> </w:t>
      </w:r>
      <w:r w:rsidR="005D0AC6">
        <w:t xml:space="preserve">Par ailleurs, </w:t>
      </w:r>
      <w:r w:rsidR="00DA1081">
        <w:t>la massification des rénovation</w:t>
      </w:r>
      <w:r w:rsidR="00C766E8">
        <w:t>s</w:t>
      </w:r>
      <w:r w:rsidR="00DA1081">
        <w:t xml:space="preserve"> selon la démarche EnergieSprong induit un besoin de structuration de filières au niveau des entreprises qui </w:t>
      </w:r>
      <w:r w:rsidR="009362BC">
        <w:t>est encore peu financée. Une défaillance de marché, encore peu quantifiable, est ainsi notée sur ce segment du soutien aux entreprises innovantes de la rénovation énergétique.</w:t>
      </w:r>
    </w:p>
    <w:p w14:paraId="25E134C1" w14:textId="13F58CD6" w:rsidR="000B176A" w:rsidRDefault="002544C0" w:rsidP="00F167DE">
      <w:pPr>
        <w:pStyle w:val="Heading4"/>
      </w:pPr>
      <w:r>
        <w:t>Le bâti résidentiel privé</w:t>
      </w:r>
    </w:p>
    <w:p w14:paraId="313C5206" w14:textId="38E7E07F" w:rsidR="00037BC1" w:rsidRDefault="006E479A" w:rsidP="00037BC1">
      <w:pPr>
        <w:pStyle w:val="BodyText"/>
      </w:pPr>
      <w:r>
        <w:t>Au 1er janvier 2020, les Hauts-de-France comptent 2 027 613 maisons individuelles</w:t>
      </w:r>
      <w:r w:rsidR="00FF3618">
        <w:t>, ce qui représente 71% du parc résidentiel</w:t>
      </w:r>
      <w:r w:rsidR="003B43EF">
        <w:t xml:space="preserve">, </w:t>
      </w:r>
      <w:r w:rsidR="003B43EF" w:rsidRPr="003B43EF">
        <w:t>une proportion plus importante qu’au niveau national (55,7%)</w:t>
      </w:r>
      <w:r w:rsidR="003B43EF">
        <w:t>.</w:t>
      </w:r>
      <w:r>
        <w:t xml:space="preserve"> </w:t>
      </w:r>
      <w:r w:rsidR="00BD1689">
        <w:t>Le parc privé collectif regroupe</w:t>
      </w:r>
      <w:r>
        <w:t xml:space="preserve"> </w:t>
      </w:r>
      <w:r w:rsidR="00830B40">
        <w:t>809 947 appartements</w:t>
      </w:r>
      <w:r w:rsidR="006F2CF2">
        <w:t xml:space="preserve"> sur l’ensemble du territoire</w:t>
      </w:r>
      <w:r w:rsidR="00F540D9">
        <w:rPr>
          <w:rStyle w:val="FootnoteReference"/>
        </w:rPr>
        <w:footnoteReference w:id="104"/>
      </w:r>
      <w:r w:rsidR="00F540D9">
        <w:t>.</w:t>
      </w:r>
    </w:p>
    <w:p w14:paraId="1821DEAE" w14:textId="0692EFCC" w:rsidR="002544C0" w:rsidRDefault="00011E56" w:rsidP="00B56F89">
      <w:pPr>
        <w:pStyle w:val="BodyText"/>
      </w:pPr>
      <w:r>
        <w:t>En</w:t>
      </w:r>
      <w:r w:rsidR="00D81F8D">
        <w:t xml:space="preserve"> Hauts-de-France</w:t>
      </w:r>
      <w:r>
        <w:t>, plus de deux logements existants vendus ou loués sur cinq sont considérés comme énergivore</w:t>
      </w:r>
      <w:r w:rsidR="0063641A">
        <w:t>s</w:t>
      </w:r>
      <w:r>
        <w:t>.</w:t>
      </w:r>
      <w:r w:rsidR="00F15B23">
        <w:t xml:space="preserve"> </w:t>
      </w:r>
      <w:r w:rsidR="0063641A">
        <w:t xml:space="preserve">En effet, </w:t>
      </w:r>
      <w:r w:rsidR="00E4710A">
        <w:t>29</w:t>
      </w:r>
      <w:r w:rsidR="0063641A">
        <w:t xml:space="preserve">% des </w:t>
      </w:r>
      <w:r w:rsidR="0063641A" w:rsidRPr="00D60609">
        <w:t xml:space="preserve">logements existants sont classés </w:t>
      </w:r>
      <w:r w:rsidR="00E4710A" w:rsidRPr="00D60609">
        <w:t>E, 11% sont classés F et 4% sont classés G.</w:t>
      </w:r>
      <w:r w:rsidR="00D60609" w:rsidRPr="00D60609">
        <w:t xml:space="preserve"> Le classement par type de logement n’est pas disponible, mais il faut noter qu’en France, </w:t>
      </w:r>
      <w:r w:rsidR="00FE10DC" w:rsidRPr="00D60609">
        <w:t>les maisons individuelles ont tendance à être plus souvent énergivores que les logements situés dans l’habitat collectif (18,4% vs. 14,7%)</w:t>
      </w:r>
      <w:r w:rsidR="00FE10DC" w:rsidRPr="00D60609">
        <w:rPr>
          <w:rStyle w:val="FootnoteReference"/>
        </w:rPr>
        <w:footnoteReference w:id="105"/>
      </w:r>
      <w:r w:rsidR="00FE10DC" w:rsidRPr="00D60609">
        <w:t>.</w:t>
      </w:r>
    </w:p>
    <w:p w14:paraId="1D5E2C2A" w14:textId="4FA67ABE" w:rsidR="00297D9F" w:rsidRDefault="00004A5F" w:rsidP="00B56F89">
      <w:pPr>
        <w:pStyle w:val="BodyText"/>
      </w:pPr>
      <w:r>
        <w:t>Au 1</w:t>
      </w:r>
      <w:r w:rsidRPr="00004A5F">
        <w:rPr>
          <w:vertAlign w:val="superscript"/>
        </w:rPr>
        <w:t>er</w:t>
      </w:r>
      <w:r>
        <w:t xml:space="preserve"> janvier 2016, 37,1% des propriétaires occupants </w:t>
      </w:r>
      <w:r w:rsidR="00E77797">
        <w:t>étaient éligibles aux aides de l’ANAH</w:t>
      </w:r>
      <w:r w:rsidR="00297D9F">
        <w:t>, dont 22,2% très modestes</w:t>
      </w:r>
      <w:r w:rsidR="00F20AAC">
        <w:t xml:space="preserve">. </w:t>
      </w:r>
      <w:r w:rsidR="0031439B">
        <w:t>L</w:t>
      </w:r>
      <w:r w:rsidR="002A013C">
        <w:t xml:space="preserve">’Aisne et le Pas-de-Calais </w:t>
      </w:r>
      <w:r w:rsidR="0031439B">
        <w:t>présentent les taux les plus important de propriétaires occupants modestes et très modestes, bien que la répartition entre les départements reste similaire – hormis dans l’Oise, qui a un taux moindre (28,4%)</w:t>
      </w:r>
      <w:r w:rsidR="00E77797">
        <w:rPr>
          <w:rStyle w:val="FootnoteReference"/>
        </w:rPr>
        <w:footnoteReference w:id="106"/>
      </w:r>
      <w:r w:rsidR="00872A2F">
        <w:t>.</w:t>
      </w:r>
    </w:p>
    <w:p w14:paraId="7ED901A9" w14:textId="091DD781" w:rsidR="00872A2F" w:rsidRDefault="00872A2F" w:rsidP="00872A2F">
      <w:pPr>
        <w:pStyle w:val="Caption"/>
      </w:pPr>
      <w:bookmarkStart w:id="113" w:name="_Toc88842106"/>
      <w:r>
        <w:t xml:space="preserve">Tableau </w:t>
      </w:r>
      <w:r>
        <w:fldChar w:fldCharType="begin"/>
      </w:r>
      <w:r>
        <w:instrText xml:space="preserve"> SEQ Tableau \* ARABIC </w:instrText>
      </w:r>
      <w:r>
        <w:fldChar w:fldCharType="separate"/>
      </w:r>
      <w:r w:rsidR="009F0282">
        <w:rPr>
          <w:noProof/>
        </w:rPr>
        <w:t>18</w:t>
      </w:r>
      <w:r>
        <w:fldChar w:fldCharType="end"/>
      </w:r>
      <w:r>
        <w:t xml:space="preserve"> Part des propriétaires modestes et très modestes en Hauts-de-France</w:t>
      </w:r>
      <w:bookmarkEnd w:id="113"/>
    </w:p>
    <w:tbl>
      <w:tblPr>
        <w:tblStyle w:val="TechnopolisTable"/>
        <w:tblW w:w="0" w:type="auto"/>
        <w:tblLook w:val="04A0" w:firstRow="1" w:lastRow="0" w:firstColumn="1" w:lastColumn="0" w:noHBand="0" w:noVBand="1"/>
      </w:tblPr>
      <w:tblGrid>
        <w:gridCol w:w="2063"/>
        <w:gridCol w:w="2468"/>
        <w:gridCol w:w="2468"/>
        <w:gridCol w:w="2063"/>
      </w:tblGrid>
      <w:tr w:rsidR="00297D9F" w14:paraId="7F468C8E" w14:textId="7395C83C" w:rsidTr="001E1036">
        <w:trPr>
          <w:cnfStyle w:val="100000000000" w:firstRow="1" w:lastRow="0" w:firstColumn="0" w:lastColumn="0" w:oddVBand="0" w:evenVBand="0" w:oddHBand="0" w:evenHBand="0" w:firstRowFirstColumn="0" w:firstRowLastColumn="0" w:lastRowFirstColumn="0" w:lastRowLastColumn="0"/>
        </w:trPr>
        <w:tc>
          <w:tcPr>
            <w:tcW w:w="2063" w:type="dxa"/>
          </w:tcPr>
          <w:p w14:paraId="3CD2B452" w14:textId="77777777" w:rsidR="00297D9F" w:rsidRDefault="00297D9F" w:rsidP="001E1036">
            <w:pPr>
              <w:pStyle w:val="Tabletext"/>
            </w:pPr>
          </w:p>
        </w:tc>
        <w:tc>
          <w:tcPr>
            <w:tcW w:w="2468" w:type="dxa"/>
          </w:tcPr>
          <w:p w14:paraId="7A5C7BC9" w14:textId="77F6F01B" w:rsidR="00297D9F" w:rsidRDefault="00297D9F" w:rsidP="001E1036">
            <w:pPr>
              <w:pStyle w:val="Tabletext"/>
            </w:pPr>
            <w:r>
              <w:t>Propriétaires occupants modestes</w:t>
            </w:r>
          </w:p>
        </w:tc>
        <w:tc>
          <w:tcPr>
            <w:tcW w:w="2468" w:type="dxa"/>
          </w:tcPr>
          <w:p w14:paraId="4905D198" w14:textId="03919FAC" w:rsidR="00297D9F" w:rsidRDefault="00297D9F" w:rsidP="001E1036">
            <w:pPr>
              <w:pStyle w:val="Tabletext"/>
            </w:pPr>
            <w:r>
              <w:t>Propriétaires occupants très modestes</w:t>
            </w:r>
          </w:p>
        </w:tc>
        <w:tc>
          <w:tcPr>
            <w:tcW w:w="2063" w:type="dxa"/>
          </w:tcPr>
          <w:p w14:paraId="542FACE4" w14:textId="435B7CB7" w:rsidR="00297D9F" w:rsidRDefault="00297D9F" w:rsidP="001E1036">
            <w:pPr>
              <w:pStyle w:val="Tabletext"/>
            </w:pPr>
            <w:r>
              <w:t>Total (propriétaires occupants éligibles aux aides de l’ANAH)</w:t>
            </w:r>
          </w:p>
        </w:tc>
      </w:tr>
      <w:tr w:rsidR="00297D9F" w14:paraId="75725258" w14:textId="247EB626" w:rsidTr="001E1036">
        <w:trPr>
          <w:cnfStyle w:val="000000100000" w:firstRow="0" w:lastRow="0" w:firstColumn="0" w:lastColumn="0" w:oddVBand="0" w:evenVBand="0" w:oddHBand="1" w:evenHBand="0" w:firstRowFirstColumn="0" w:firstRowLastColumn="0" w:lastRowFirstColumn="0" w:lastRowLastColumn="0"/>
        </w:trPr>
        <w:tc>
          <w:tcPr>
            <w:tcW w:w="2063" w:type="dxa"/>
          </w:tcPr>
          <w:p w14:paraId="508B29B5" w14:textId="705275AD" w:rsidR="00297D9F" w:rsidRDefault="00297D9F" w:rsidP="001E1036">
            <w:pPr>
              <w:pStyle w:val="Tabletext"/>
            </w:pPr>
            <w:r>
              <w:t>Aisne</w:t>
            </w:r>
          </w:p>
        </w:tc>
        <w:tc>
          <w:tcPr>
            <w:tcW w:w="2468" w:type="dxa"/>
          </w:tcPr>
          <w:p w14:paraId="05CBE3FE" w14:textId="5BA556B0" w:rsidR="00297D9F" w:rsidRDefault="008B6D1F" w:rsidP="00F30753">
            <w:pPr>
              <w:pStyle w:val="Tabletext"/>
              <w:jc w:val="center"/>
            </w:pPr>
            <w:r>
              <w:t>16,5%</w:t>
            </w:r>
          </w:p>
        </w:tc>
        <w:tc>
          <w:tcPr>
            <w:tcW w:w="2468" w:type="dxa"/>
          </w:tcPr>
          <w:p w14:paraId="79F63593" w14:textId="1FE16C0F" w:rsidR="00297D9F" w:rsidRDefault="008B6D1F" w:rsidP="00F30753">
            <w:pPr>
              <w:pStyle w:val="Tabletext"/>
              <w:jc w:val="center"/>
            </w:pPr>
            <w:r>
              <w:t>25,2%</w:t>
            </w:r>
          </w:p>
        </w:tc>
        <w:tc>
          <w:tcPr>
            <w:tcW w:w="2063" w:type="dxa"/>
          </w:tcPr>
          <w:p w14:paraId="2C1E8ADA" w14:textId="073DC2F1" w:rsidR="00297D9F" w:rsidRDefault="008B6D1F" w:rsidP="00F30753">
            <w:pPr>
              <w:pStyle w:val="Tabletext"/>
              <w:jc w:val="center"/>
            </w:pPr>
            <w:r>
              <w:t>41,7%</w:t>
            </w:r>
          </w:p>
        </w:tc>
      </w:tr>
      <w:tr w:rsidR="00297D9F" w14:paraId="442EB421" w14:textId="77777777" w:rsidTr="001E1036">
        <w:trPr>
          <w:cnfStyle w:val="000000010000" w:firstRow="0" w:lastRow="0" w:firstColumn="0" w:lastColumn="0" w:oddVBand="0" w:evenVBand="0" w:oddHBand="0" w:evenHBand="1" w:firstRowFirstColumn="0" w:firstRowLastColumn="0" w:lastRowFirstColumn="0" w:lastRowLastColumn="0"/>
        </w:trPr>
        <w:tc>
          <w:tcPr>
            <w:tcW w:w="2063" w:type="dxa"/>
          </w:tcPr>
          <w:p w14:paraId="34E89718" w14:textId="46DF8E09" w:rsidR="00297D9F" w:rsidRDefault="008B6D1F" w:rsidP="001E1036">
            <w:pPr>
              <w:pStyle w:val="Tabletext"/>
            </w:pPr>
            <w:r>
              <w:t>Nord</w:t>
            </w:r>
          </w:p>
        </w:tc>
        <w:tc>
          <w:tcPr>
            <w:tcW w:w="2468" w:type="dxa"/>
          </w:tcPr>
          <w:p w14:paraId="59F94670" w14:textId="1E8AE25C" w:rsidR="00297D9F" w:rsidRDefault="008B6D1F" w:rsidP="00F30753">
            <w:pPr>
              <w:pStyle w:val="Tabletext"/>
              <w:jc w:val="center"/>
            </w:pPr>
            <w:r>
              <w:t>14,8%</w:t>
            </w:r>
          </w:p>
        </w:tc>
        <w:tc>
          <w:tcPr>
            <w:tcW w:w="2468" w:type="dxa"/>
          </w:tcPr>
          <w:p w14:paraId="4B1024E8" w14:textId="124AA283" w:rsidR="00297D9F" w:rsidRDefault="008B6D1F" w:rsidP="00F30753">
            <w:pPr>
              <w:pStyle w:val="Tabletext"/>
              <w:jc w:val="center"/>
            </w:pPr>
            <w:r>
              <w:t>22,1%</w:t>
            </w:r>
          </w:p>
        </w:tc>
        <w:tc>
          <w:tcPr>
            <w:tcW w:w="2063" w:type="dxa"/>
          </w:tcPr>
          <w:p w14:paraId="4564B98A" w14:textId="710AFC55" w:rsidR="00297D9F" w:rsidRDefault="008B6D1F" w:rsidP="00F30753">
            <w:pPr>
              <w:pStyle w:val="Tabletext"/>
              <w:jc w:val="center"/>
            </w:pPr>
            <w:r>
              <w:t>36,9%</w:t>
            </w:r>
          </w:p>
        </w:tc>
      </w:tr>
      <w:tr w:rsidR="008B6D1F" w14:paraId="0EF23945" w14:textId="77777777" w:rsidTr="001E1036">
        <w:trPr>
          <w:cnfStyle w:val="000000100000" w:firstRow="0" w:lastRow="0" w:firstColumn="0" w:lastColumn="0" w:oddVBand="0" w:evenVBand="0" w:oddHBand="1" w:evenHBand="0" w:firstRowFirstColumn="0" w:firstRowLastColumn="0" w:lastRowFirstColumn="0" w:lastRowLastColumn="0"/>
        </w:trPr>
        <w:tc>
          <w:tcPr>
            <w:tcW w:w="2063" w:type="dxa"/>
          </w:tcPr>
          <w:p w14:paraId="681275B0" w14:textId="105A73C1" w:rsidR="008B6D1F" w:rsidRDefault="008B6D1F" w:rsidP="001E1036">
            <w:pPr>
              <w:pStyle w:val="Tabletext"/>
            </w:pPr>
            <w:r>
              <w:t>Oise</w:t>
            </w:r>
          </w:p>
        </w:tc>
        <w:tc>
          <w:tcPr>
            <w:tcW w:w="2468" w:type="dxa"/>
          </w:tcPr>
          <w:p w14:paraId="2739DE25" w14:textId="11E2B4DE" w:rsidR="008B6D1F" w:rsidRDefault="008B6D1F" w:rsidP="00F30753">
            <w:pPr>
              <w:pStyle w:val="Tabletext"/>
              <w:jc w:val="center"/>
            </w:pPr>
            <w:r>
              <w:t>12,8%</w:t>
            </w:r>
          </w:p>
        </w:tc>
        <w:tc>
          <w:tcPr>
            <w:tcW w:w="2468" w:type="dxa"/>
          </w:tcPr>
          <w:p w14:paraId="720BF8EC" w14:textId="2DDD56F0" w:rsidR="008B6D1F" w:rsidRDefault="008B6D1F" w:rsidP="00F30753">
            <w:pPr>
              <w:pStyle w:val="Tabletext"/>
              <w:jc w:val="center"/>
            </w:pPr>
            <w:r>
              <w:t>15,6%</w:t>
            </w:r>
          </w:p>
        </w:tc>
        <w:tc>
          <w:tcPr>
            <w:tcW w:w="2063" w:type="dxa"/>
          </w:tcPr>
          <w:p w14:paraId="50595A83" w14:textId="0131DA13" w:rsidR="008B6D1F" w:rsidRDefault="008B6D1F" w:rsidP="00F30753">
            <w:pPr>
              <w:pStyle w:val="Tabletext"/>
              <w:jc w:val="center"/>
            </w:pPr>
            <w:r>
              <w:t>28,4%</w:t>
            </w:r>
          </w:p>
        </w:tc>
      </w:tr>
      <w:tr w:rsidR="008B6D1F" w14:paraId="694895DD" w14:textId="77777777" w:rsidTr="001E1036">
        <w:trPr>
          <w:cnfStyle w:val="000000010000" w:firstRow="0" w:lastRow="0" w:firstColumn="0" w:lastColumn="0" w:oddVBand="0" w:evenVBand="0" w:oddHBand="0" w:evenHBand="1" w:firstRowFirstColumn="0" w:firstRowLastColumn="0" w:lastRowFirstColumn="0" w:lastRowLastColumn="0"/>
        </w:trPr>
        <w:tc>
          <w:tcPr>
            <w:tcW w:w="2063" w:type="dxa"/>
          </w:tcPr>
          <w:p w14:paraId="7A08FC0F" w14:textId="0D992CB8" w:rsidR="008B6D1F" w:rsidRDefault="008B6D1F" w:rsidP="001E1036">
            <w:pPr>
              <w:pStyle w:val="Tabletext"/>
            </w:pPr>
            <w:r>
              <w:t>Pas-de-Calais</w:t>
            </w:r>
          </w:p>
        </w:tc>
        <w:tc>
          <w:tcPr>
            <w:tcW w:w="2468" w:type="dxa"/>
          </w:tcPr>
          <w:p w14:paraId="45BAC163" w14:textId="5665FBFC" w:rsidR="008B6D1F" w:rsidRDefault="008B6D1F" w:rsidP="00F30753">
            <w:pPr>
              <w:pStyle w:val="Tabletext"/>
              <w:jc w:val="center"/>
            </w:pPr>
            <w:r>
              <w:t>15,4%</w:t>
            </w:r>
          </w:p>
        </w:tc>
        <w:tc>
          <w:tcPr>
            <w:tcW w:w="2468" w:type="dxa"/>
          </w:tcPr>
          <w:p w14:paraId="2899C936" w14:textId="1AC29FCD" w:rsidR="008B6D1F" w:rsidRDefault="008B6D1F" w:rsidP="00F30753">
            <w:pPr>
              <w:pStyle w:val="Tabletext"/>
              <w:jc w:val="center"/>
            </w:pPr>
            <w:r>
              <w:t>24,7%</w:t>
            </w:r>
          </w:p>
        </w:tc>
        <w:tc>
          <w:tcPr>
            <w:tcW w:w="2063" w:type="dxa"/>
          </w:tcPr>
          <w:p w14:paraId="2EC8D2B7" w14:textId="3404DA00" w:rsidR="008B6D1F" w:rsidRDefault="008B6D1F" w:rsidP="00F30753">
            <w:pPr>
              <w:pStyle w:val="Tabletext"/>
              <w:jc w:val="center"/>
            </w:pPr>
            <w:r>
              <w:t>40,1%</w:t>
            </w:r>
          </w:p>
        </w:tc>
      </w:tr>
      <w:tr w:rsidR="008B6D1F" w14:paraId="4F8785E3" w14:textId="77777777" w:rsidTr="001E1036">
        <w:trPr>
          <w:cnfStyle w:val="000000100000" w:firstRow="0" w:lastRow="0" w:firstColumn="0" w:lastColumn="0" w:oddVBand="0" w:evenVBand="0" w:oddHBand="1" w:evenHBand="0" w:firstRowFirstColumn="0" w:firstRowLastColumn="0" w:lastRowFirstColumn="0" w:lastRowLastColumn="0"/>
        </w:trPr>
        <w:tc>
          <w:tcPr>
            <w:tcW w:w="2063" w:type="dxa"/>
          </w:tcPr>
          <w:p w14:paraId="74E87E1D" w14:textId="3BC2EDAB" w:rsidR="008B6D1F" w:rsidRDefault="008B6D1F" w:rsidP="001E1036">
            <w:pPr>
              <w:pStyle w:val="Tabletext"/>
            </w:pPr>
            <w:r>
              <w:t>Somme</w:t>
            </w:r>
          </w:p>
        </w:tc>
        <w:tc>
          <w:tcPr>
            <w:tcW w:w="2468" w:type="dxa"/>
          </w:tcPr>
          <w:p w14:paraId="163B2077" w14:textId="6E7766F1" w:rsidR="008B6D1F" w:rsidRDefault="008B6D1F" w:rsidP="00F30753">
            <w:pPr>
              <w:pStyle w:val="Tabletext"/>
              <w:jc w:val="center"/>
            </w:pPr>
            <w:r>
              <w:t>15,5%</w:t>
            </w:r>
          </w:p>
        </w:tc>
        <w:tc>
          <w:tcPr>
            <w:tcW w:w="2468" w:type="dxa"/>
          </w:tcPr>
          <w:p w14:paraId="75592781" w14:textId="0EAA3B27" w:rsidR="008B6D1F" w:rsidRDefault="008B6D1F" w:rsidP="00F30753">
            <w:pPr>
              <w:pStyle w:val="Tabletext"/>
              <w:jc w:val="center"/>
            </w:pPr>
            <w:r>
              <w:t>23%</w:t>
            </w:r>
          </w:p>
        </w:tc>
        <w:tc>
          <w:tcPr>
            <w:tcW w:w="2063" w:type="dxa"/>
          </w:tcPr>
          <w:p w14:paraId="784D7B7E" w14:textId="79133B35" w:rsidR="008B6D1F" w:rsidRDefault="008B6D1F" w:rsidP="00F30753">
            <w:pPr>
              <w:pStyle w:val="Tabletext"/>
              <w:jc w:val="center"/>
            </w:pPr>
            <w:r>
              <w:t>38,6%</w:t>
            </w:r>
          </w:p>
        </w:tc>
      </w:tr>
    </w:tbl>
    <w:p w14:paraId="33C36F37" w14:textId="65B36DF4" w:rsidR="00297D9F" w:rsidRDefault="0090692F" w:rsidP="0090692F">
      <w:pPr>
        <w:pStyle w:val="Source"/>
      </w:pPr>
      <w:r>
        <w:t>Source : Préfecture des Hauts-de-</w:t>
      </w:r>
      <w:r w:rsidR="00472669">
        <w:t>France</w:t>
      </w:r>
    </w:p>
    <w:p w14:paraId="2F8E158A" w14:textId="276FDD45" w:rsidR="00020F88" w:rsidRPr="00020F88" w:rsidRDefault="007F47DD" w:rsidP="00020F88">
      <w:pPr>
        <w:pStyle w:val="BodyText"/>
      </w:pPr>
      <w:r>
        <w:t xml:space="preserve">En Hauts-de-France, </w:t>
      </w:r>
      <w:r w:rsidR="00020F88">
        <w:t>19% des ménages sont en situation de précarité énergétique (contre 11,7% en France)</w:t>
      </w:r>
      <w:r>
        <w:t xml:space="preserve"> – ce qui classe la région troisième derrière le Grand-Est et la Bourgogne-Franche-Comté</w:t>
      </w:r>
      <w:r w:rsidR="00020F88">
        <w:t xml:space="preserve">. </w:t>
      </w:r>
      <w:r w:rsidR="00AF4721">
        <w:t xml:space="preserve">Cela est notamment dû à un fort taux de chômage (10% en 2019, contre 8,2% en France) et </w:t>
      </w:r>
      <w:r w:rsidR="0016438E">
        <w:t xml:space="preserve">un taux de pauvreté important (18,6% en 2019, contre 14% sur le reste du territoire). </w:t>
      </w:r>
      <w:r w:rsidR="00DD7E19">
        <w:t>De</w:t>
      </w:r>
      <w:r w:rsidR="0016438E">
        <w:t xml:space="preserve"> plus, l</w:t>
      </w:r>
      <w:r w:rsidR="00020F88">
        <w:t>a consommation énergétique est supérieure de 11% par rapport à la moyenne nationale</w:t>
      </w:r>
      <w:r w:rsidR="005407A8">
        <w:t>, à cause des températures plus froides</w:t>
      </w:r>
      <w:r w:rsidR="00AF4721">
        <w:t xml:space="preserve"> connues sur le territoire</w:t>
      </w:r>
      <w:r w:rsidR="00E25C7A">
        <w:rPr>
          <w:rStyle w:val="FootnoteReference"/>
        </w:rPr>
        <w:footnoteReference w:id="107"/>
      </w:r>
      <w:r w:rsidR="00E25C7A">
        <w:t>.</w:t>
      </w:r>
    </w:p>
    <w:p w14:paraId="40EDDCDC" w14:textId="7385E789" w:rsidR="006047D8" w:rsidRDefault="006E5A5F" w:rsidP="00472669">
      <w:pPr>
        <w:pStyle w:val="BodyText"/>
      </w:pPr>
      <w:r>
        <w:t>Entre juin 2014 et fin 2019, 1</w:t>
      </w:r>
      <w:r w:rsidR="00B45686">
        <w:t xml:space="preserve"> </w:t>
      </w:r>
      <w:r>
        <w:t>643 logements privés ont été rénovés, dont 1</w:t>
      </w:r>
      <w:r w:rsidR="00B45686">
        <w:t xml:space="preserve"> </w:t>
      </w:r>
      <w:r>
        <w:t>008 en copropriété</w:t>
      </w:r>
      <w:r w:rsidR="00F3747A">
        <w:t xml:space="preserve">, ce qui a permis de générer </w:t>
      </w:r>
      <w:r w:rsidR="00264417">
        <w:t>46% d’économies d’énergie.</w:t>
      </w:r>
      <w:r w:rsidR="007914F8">
        <w:t xml:space="preserve"> </w:t>
      </w:r>
      <w:r w:rsidR="00B46D49">
        <w:t>Près</w:t>
      </w:r>
      <w:r w:rsidR="007914F8">
        <w:t xml:space="preserve"> de la moitié des projets</w:t>
      </w:r>
      <w:r w:rsidR="008D5CD9">
        <w:t xml:space="preserve"> étaient éligibles aux aides de l’ANAH (45%)</w:t>
      </w:r>
      <w:r w:rsidR="00ED2C1B">
        <w:t xml:space="preserve">. Le </w:t>
      </w:r>
      <w:r w:rsidR="001E2D1E">
        <w:t xml:space="preserve">financement moyen des projets, </w:t>
      </w:r>
      <w:r w:rsidR="0050074D">
        <w:t>à hauteur de 32K€,</w:t>
      </w:r>
      <w:r w:rsidR="00ED2C1B">
        <w:t xml:space="preserve"> était en majorité (83%) financé par des prêts longue durée (25 ans)</w:t>
      </w:r>
      <w:r w:rsidR="0050074D">
        <w:t>.</w:t>
      </w:r>
      <w:r w:rsidR="002A35D4">
        <w:t xml:space="preserve"> Toutefois, </w:t>
      </w:r>
      <w:r w:rsidR="00F56F99">
        <w:t>les économies d’énergie réalisées ne permettent généralement de couvrir que 70% des mensualités de remboursement des prêts contractés</w:t>
      </w:r>
      <w:r w:rsidR="00F56F99">
        <w:rPr>
          <w:rStyle w:val="FootnoteReference"/>
        </w:rPr>
        <w:footnoteReference w:id="108"/>
      </w:r>
      <w:r w:rsidR="00F56F99">
        <w:t>.</w:t>
      </w:r>
    </w:p>
    <w:p w14:paraId="3CE20E60" w14:textId="1AAD7C72" w:rsidR="00E25BD9" w:rsidRDefault="009B5943" w:rsidP="00E25BD9">
      <w:pPr>
        <w:pStyle w:val="BodyText"/>
      </w:pPr>
      <w:r>
        <w:t>De manière générale, l</w:t>
      </w:r>
      <w:r w:rsidR="00A40A0E">
        <w:t xml:space="preserve">es copropriétés </w:t>
      </w:r>
      <w:r>
        <w:t>ont</w:t>
      </w:r>
      <w:r w:rsidR="00A40A0E">
        <w:t xml:space="preserve"> moins de difficultés à s’auto-financer que les propriétaires de logements diffus. </w:t>
      </w:r>
      <w:r w:rsidR="0027346A">
        <w:t>L</w:t>
      </w:r>
      <w:r w:rsidR="00E25BD9">
        <w:t>es rénovations globales représentent une organisation des travaux qui peut être conséquente</w:t>
      </w:r>
      <w:r w:rsidR="0027346A">
        <w:t> : outre les travaux d’économie d’énergie, elles incluent des travaux « annexes » (finitions, peinture, faïence, etc.), qui ne sont pas éligibles aux différentes aides proposées mais qui</w:t>
      </w:r>
      <w:r w:rsidR="00B14636">
        <w:t xml:space="preserve"> font augmenter les frais.</w:t>
      </w:r>
      <w:r w:rsidR="0027346A">
        <w:t xml:space="preserve"> </w:t>
      </w:r>
      <w:r w:rsidR="00F57CC7">
        <w:t xml:space="preserve">Le SPEE accompagne tous les ménages, mais dans une mesure différente : si le montant de des travaux annexes représente plus de 30% du montant global des travaux, l’accompagnement financier partiel et les ménages bénéficiaires complètent le financement de la partie non-énergétique avec un auto-financement. </w:t>
      </w:r>
      <w:r w:rsidR="00CB6D96">
        <w:t xml:space="preserve">Il est alors </w:t>
      </w:r>
      <w:r w:rsidR="00CB6D96" w:rsidRPr="000A533D">
        <w:rPr>
          <w:b/>
          <w:bCs/>
        </w:rPr>
        <w:t>difficile de savoir si le frei</w:t>
      </w:r>
      <w:r w:rsidR="00CB6D96">
        <w:rPr>
          <w:b/>
          <w:bCs/>
        </w:rPr>
        <w:t>n</w:t>
      </w:r>
      <w:r w:rsidR="00CB6D96" w:rsidRPr="000A533D">
        <w:rPr>
          <w:b/>
          <w:bCs/>
        </w:rPr>
        <w:t>, pour les ménages non éligibles aux aides de l’ANAH, est technique ou financier</w:t>
      </w:r>
      <w:r w:rsidR="00417FA5" w:rsidRPr="00B14636">
        <w:rPr>
          <w:rStyle w:val="FootnoteReference"/>
        </w:rPr>
        <w:footnoteReference w:id="109"/>
      </w:r>
      <w:r w:rsidR="00417FA5">
        <w:t>.</w:t>
      </w:r>
      <w:r w:rsidR="0052672D" w:rsidRPr="0052672D">
        <w:t xml:space="preserve"> </w:t>
      </w:r>
      <w:r w:rsidR="0052672D">
        <w:t xml:space="preserve">Une autre difficulté concerne le financement des travaux de ventilation : aujourd’hui, la réglementation oblige le recours à un artisan RGE alors que ceux-ci sont peu nombreux sur le territoire. </w:t>
      </w:r>
      <w:r w:rsidR="00F3480F">
        <w:t>L’</w:t>
      </w:r>
      <w:proofErr w:type="spellStart"/>
      <w:r w:rsidR="00F3480F">
        <w:t>éco-conditionnalité</w:t>
      </w:r>
      <w:proofErr w:type="spellEnd"/>
      <w:r w:rsidR="00F3480F">
        <w:t xml:space="preserve"> a augmenté les prix des interventions, alors qu’il s’agit d’un poste de dépense qui n’est pas pris en compte dans les études énergétiques et donc par l’accompagnement financier du SPEE ou de l’ANAH</w:t>
      </w:r>
      <w:r w:rsidR="00F3480F" w:rsidDel="000C715C">
        <w:t xml:space="preserve"> </w:t>
      </w:r>
      <w:r w:rsidR="00F3480F">
        <w:t>.</w:t>
      </w:r>
    </w:p>
    <w:p w14:paraId="48FECCE8" w14:textId="77777777" w:rsidR="00B63456" w:rsidRDefault="00B63456" w:rsidP="00B63456">
      <w:pPr>
        <w:pStyle w:val="BodyText"/>
      </w:pPr>
      <w:r>
        <w:t xml:space="preserve">De plus, le soutien financier de l’AMO reste encore insuffisant pour être incitatif vis-à-vis des travaux d’accompagnement qui seront menés par le SPEE et d’autres acteurs (associations, bureaux d’études) pour </w:t>
      </w:r>
      <w:r w:rsidRPr="0087206A">
        <w:rPr>
          <w:b/>
          <w:bCs/>
        </w:rPr>
        <w:t>les ménages non éligibles aux aides de l’ANAH, qui sont moins disposés à investir sur l’AMO</w:t>
      </w:r>
      <w:r w:rsidRPr="00B14636">
        <w:rPr>
          <w:rStyle w:val="FootnoteReference"/>
        </w:rPr>
        <w:footnoteReference w:id="110"/>
      </w:r>
      <w:r>
        <w:t>. L’AMO de l’ANAH est, pour sa part, prise en charge par une subvention ou en totalité par les collectivités en cas d'OPAH ou de PIG. Mais cette AMO est plus légère que l'AMO réalisée par le SPEE, qui a un coût forfaitaire. Les difficultés sont alors :</w:t>
      </w:r>
    </w:p>
    <w:p w14:paraId="7207B745" w14:textId="77777777" w:rsidR="00B63456" w:rsidRDefault="00B63456" w:rsidP="00B63456">
      <w:pPr>
        <w:pStyle w:val="Bullet1"/>
        <w:numPr>
          <w:ilvl w:val="0"/>
          <w:numId w:val="37"/>
        </w:numPr>
      </w:pPr>
      <w:r>
        <w:t>D'articuler AMO du SPEE et AMO ANAH pour diminuer le coût global de l'AMO ;</w:t>
      </w:r>
    </w:p>
    <w:p w14:paraId="2D0ECDD9" w14:textId="77777777" w:rsidR="00B63456" w:rsidRDefault="00B63456" w:rsidP="00B63456">
      <w:pPr>
        <w:pStyle w:val="Bullet1"/>
        <w:numPr>
          <w:ilvl w:val="0"/>
          <w:numId w:val="37"/>
        </w:numPr>
      </w:pPr>
      <w:r>
        <w:t xml:space="preserve">De financer le plus efficacement possible l'AMO SPEE pour réduire le cout forfaitaire parfois jugé trop élevé par les ménages. </w:t>
      </w:r>
    </w:p>
    <w:p w14:paraId="3C8B3FAE" w14:textId="79D2A127" w:rsidR="004C4CFB" w:rsidRDefault="004025B8" w:rsidP="00E25BD9">
      <w:pPr>
        <w:pStyle w:val="BodyText"/>
      </w:pPr>
      <w:r>
        <w:t xml:space="preserve">Aujourd’hui, le SPEE est financé au travers du FEDER, de l’INTERREG (dans le cadre de la participation à des projets européens qui touchent à leur fin en juin 2021) et de la BEI (en 2014 et en 2017 à hauteur de 35M€). </w:t>
      </w:r>
      <w:r w:rsidR="00631946">
        <w:t xml:space="preserve">Il </w:t>
      </w:r>
      <w:r w:rsidR="00655461">
        <w:t>peut</w:t>
      </w:r>
      <w:r w:rsidR="00631946">
        <w:t xml:space="preserve">, en outre, recourir à des fonds H2020 </w:t>
      </w:r>
      <w:r w:rsidR="00655461" w:rsidRPr="00655461">
        <w:rPr>
          <w:i/>
          <w:iCs/>
        </w:rPr>
        <w:t>via</w:t>
      </w:r>
      <w:r w:rsidR="00655461">
        <w:t xml:space="preserve"> </w:t>
      </w:r>
      <w:r w:rsidR="00AE5CA2">
        <w:t>le projet ORFEE (</w:t>
      </w:r>
      <w:r w:rsidR="00AE5CA2" w:rsidRPr="00AE5CA2">
        <w:t xml:space="preserve">Office de Rénovation et de Financement de l'Efficacité </w:t>
      </w:r>
      <w:r w:rsidR="00655461" w:rsidRPr="00AE5CA2">
        <w:t>Énergétique</w:t>
      </w:r>
      <w:r w:rsidR="00655461">
        <w:t xml:space="preserve">). </w:t>
      </w:r>
      <w:r w:rsidR="005B1D62">
        <w:t xml:space="preserve">En ce qui concerne le recours à des fonds structurels européens, le SPEE a </w:t>
      </w:r>
      <w:r w:rsidR="006D1F7F">
        <w:t xml:space="preserve">regretté les exigences administratives </w:t>
      </w:r>
      <w:r w:rsidR="001E3E08">
        <w:t>strictes</w:t>
      </w:r>
      <w:r w:rsidR="002E3118">
        <w:t xml:space="preserve"> </w:t>
      </w:r>
      <w:r w:rsidR="001E3E08">
        <w:t>qui allongent les délais d’instruction</w:t>
      </w:r>
      <w:r w:rsidR="005C3E88">
        <w:t xml:space="preserve">. </w:t>
      </w:r>
      <w:r>
        <w:t xml:space="preserve">Le prêt de la BEI touchant à sa fin en juin 2023, un </w:t>
      </w:r>
      <w:r w:rsidR="00631946">
        <w:t>refinancement de l’ordre de 35M€ sera à prévoir pour le SPEE</w:t>
      </w:r>
      <w:r w:rsidR="00655461">
        <w:t xml:space="preserve">. A ce stade, un refinancement </w:t>
      </w:r>
      <w:r w:rsidR="00D05A71">
        <w:t>de</w:t>
      </w:r>
      <w:r w:rsidR="00655461">
        <w:t xml:space="preserve"> la BEI est envisagé</w:t>
      </w:r>
      <w:r w:rsidRPr="00B14636">
        <w:rPr>
          <w:rStyle w:val="FootnoteReference"/>
        </w:rPr>
        <w:footnoteReference w:id="111"/>
      </w:r>
      <w:r w:rsidR="00875940">
        <w:t>.</w:t>
      </w:r>
    </w:p>
    <w:p w14:paraId="3A72E2BD" w14:textId="45BAFE08" w:rsidR="00C43C1D" w:rsidRPr="00370190" w:rsidRDefault="00C43C1D" w:rsidP="00536470">
      <w:pPr>
        <w:pStyle w:val="Heading3"/>
      </w:pPr>
      <w:bookmarkStart w:id="114" w:name="_Toc93390290"/>
      <w:r>
        <w:t>Bilan des forces et faiblesses des porteurs de projets des Hauts de France</w:t>
      </w:r>
      <w:bookmarkEnd w:id="114"/>
    </w:p>
    <w:p w14:paraId="64712D52" w14:textId="77777777" w:rsidR="00C43C1D" w:rsidRDefault="00C43C1D" w:rsidP="00E72DF0">
      <w:pPr>
        <w:pStyle w:val="BodyText"/>
      </w:pPr>
      <w:r>
        <w:t xml:space="preserve">Nous présentons ci-dessous une analyse AFOM des porteurs de projets sur le territoire : </w:t>
      </w:r>
    </w:p>
    <w:p w14:paraId="64E499A0" w14:textId="207D3CA5" w:rsidR="00C43C1D" w:rsidRDefault="00C43C1D" w:rsidP="00C43C1D">
      <w:pPr>
        <w:pStyle w:val="Caption"/>
      </w:pPr>
      <w:bookmarkStart w:id="115" w:name="_Toc88842107"/>
      <w:r>
        <w:t xml:space="preserve">Tableau </w:t>
      </w:r>
      <w:r>
        <w:fldChar w:fldCharType="begin"/>
      </w:r>
      <w:r>
        <w:instrText xml:space="preserve"> SEQ Tableau \* ARABIC </w:instrText>
      </w:r>
      <w:r>
        <w:fldChar w:fldCharType="separate"/>
      </w:r>
      <w:r w:rsidR="009F0282">
        <w:rPr>
          <w:noProof/>
        </w:rPr>
        <w:t>19</w:t>
      </w:r>
      <w:r>
        <w:fldChar w:fldCharType="end"/>
      </w:r>
      <w:r>
        <w:t xml:space="preserve"> AFOM de l’économie sur le territoire</w:t>
      </w:r>
      <w:bookmarkEnd w:id="115"/>
    </w:p>
    <w:tbl>
      <w:tblPr>
        <w:tblStyle w:val="TechnopolisLight"/>
        <w:tblpPr w:leftFromText="180" w:rightFromText="180" w:topFromText="60" w:vertAnchor="text" w:horzAnchor="margin" w:tblpY="173"/>
        <w:tblW w:w="0" w:type="auto"/>
        <w:tblLayout w:type="fixed"/>
        <w:tblLook w:val="0480" w:firstRow="0" w:lastRow="0" w:firstColumn="1" w:lastColumn="0" w:noHBand="0" w:noVBand="1"/>
      </w:tblPr>
      <w:tblGrid>
        <w:gridCol w:w="4535"/>
        <w:gridCol w:w="4535"/>
      </w:tblGrid>
      <w:tr w:rsidR="00C43C1D" w14:paraId="35595EBA" w14:textId="77777777" w:rsidTr="00A32B2F">
        <w:trPr>
          <w:trHeight w:val="208"/>
        </w:trPr>
        <w:tc>
          <w:tcPr>
            <w:tcW w:w="4535" w:type="dxa"/>
            <w:tcBorders>
              <w:top w:val="nil"/>
              <w:left w:val="nil"/>
              <w:bottom w:val="single" w:sz="4" w:space="0" w:color="A69EC1" w:themeColor="accent4"/>
              <w:right w:val="single" w:sz="4" w:space="0" w:color="A69EC1" w:themeColor="accent4"/>
            </w:tcBorders>
            <w:hideMark/>
          </w:tcPr>
          <w:p w14:paraId="30E66C1D" w14:textId="77777777" w:rsidR="00C43C1D" w:rsidRPr="00C031D3" w:rsidRDefault="00C43C1D" w:rsidP="00C031D3">
            <w:pPr>
              <w:pStyle w:val="Tabletext"/>
              <w:rPr>
                <w:b/>
                <w:bCs/>
              </w:rPr>
            </w:pPr>
            <w:r w:rsidRPr="00C031D3">
              <w:rPr>
                <w:b/>
                <w:bCs/>
              </w:rPr>
              <w:t>Forces</w:t>
            </w:r>
          </w:p>
          <w:p w14:paraId="19E5E8D6" w14:textId="04DD0FFB" w:rsidR="00A32B2F" w:rsidRDefault="00A32B2F" w:rsidP="00460EBA">
            <w:pPr>
              <w:pStyle w:val="Tablebullet1"/>
              <w:rPr>
                <w:iCs/>
              </w:rPr>
            </w:pPr>
            <w:r>
              <w:rPr>
                <w:iCs/>
              </w:rPr>
              <w:t>Présence des conseillers en énergie partagée sur une partie du territoire</w:t>
            </w:r>
          </w:p>
          <w:p w14:paraId="1111B138" w14:textId="60377294" w:rsidR="00A32B2F" w:rsidRPr="00A32B2F" w:rsidRDefault="00C031D3" w:rsidP="00A32B2F">
            <w:pPr>
              <w:pStyle w:val="Tablebullet1"/>
              <w:rPr>
                <w:iCs/>
              </w:rPr>
            </w:pPr>
            <w:r>
              <w:rPr>
                <w:iCs/>
              </w:rPr>
              <w:t>Régie publique qui propose un accompagnement technique et financier aux particuliers pour leurs travaux de rénovation énergétiqu</w:t>
            </w:r>
            <w:r w:rsidR="00A32B2F">
              <w:rPr>
                <w:iCs/>
              </w:rPr>
              <w:t>e</w:t>
            </w:r>
          </w:p>
        </w:tc>
        <w:tc>
          <w:tcPr>
            <w:tcW w:w="4535" w:type="dxa"/>
            <w:tcBorders>
              <w:top w:val="nil"/>
              <w:left w:val="single" w:sz="4" w:space="0" w:color="A69EC1" w:themeColor="accent4"/>
              <w:bottom w:val="single" w:sz="4" w:space="0" w:color="A69EC1" w:themeColor="accent4"/>
              <w:right w:val="nil"/>
            </w:tcBorders>
            <w:hideMark/>
          </w:tcPr>
          <w:p w14:paraId="6EC868F0" w14:textId="77777777" w:rsidR="00C43C1D" w:rsidRPr="003065DB" w:rsidRDefault="00C43C1D" w:rsidP="003065DB">
            <w:pPr>
              <w:pStyle w:val="Tabletext"/>
              <w:rPr>
                <w:b/>
                <w:bCs/>
              </w:rPr>
            </w:pPr>
            <w:r w:rsidRPr="003065DB">
              <w:rPr>
                <w:b/>
                <w:bCs/>
              </w:rPr>
              <w:t>Faiblesses</w:t>
            </w:r>
          </w:p>
          <w:p w14:paraId="4CF60757" w14:textId="466A17C8" w:rsidR="009A1405" w:rsidRDefault="009A1405" w:rsidP="00C43C1D">
            <w:pPr>
              <w:pStyle w:val="Tablebullet1"/>
            </w:pPr>
            <w:r>
              <w:t xml:space="preserve">Déséquilibre en matière d’ingénierie </w:t>
            </w:r>
            <w:r w:rsidR="00003EC0">
              <w:t>dédiée au</w:t>
            </w:r>
            <w:r w:rsidR="00A32B2F">
              <w:t xml:space="preserve"> sein des collectivités et de présence des conseillers en énergie partagée sur les territoires</w:t>
            </w:r>
            <w:r>
              <w:t xml:space="preserve">, ce qui donne un accès inégal aux financements disponibles </w:t>
            </w:r>
          </w:p>
          <w:p w14:paraId="1A2E440C" w14:textId="4FBE2749" w:rsidR="00DC6285" w:rsidRDefault="00DC6285" w:rsidP="00C43C1D">
            <w:pPr>
              <w:pStyle w:val="Tablebullet1"/>
            </w:pPr>
            <w:r>
              <w:t>Fonds européens peu attractifs au regard des exigences administratives et en gains énergétiques</w:t>
            </w:r>
          </w:p>
          <w:p w14:paraId="196EB6DA" w14:textId="5D261CDD" w:rsidR="00C43C1D" w:rsidRDefault="00F867BF" w:rsidP="00C43C1D">
            <w:pPr>
              <w:pStyle w:val="Tablebullet1"/>
            </w:pPr>
            <w:r>
              <w:t>Soutien financier pour l’AMO insuffisants pour inciter les ménages à investir</w:t>
            </w:r>
          </w:p>
          <w:p w14:paraId="15A79AF4" w14:textId="6AF3FDC9" w:rsidR="00F867BF" w:rsidRDefault="00F867BF" w:rsidP="00C43C1D">
            <w:pPr>
              <w:pStyle w:val="Tablebullet1"/>
            </w:pPr>
            <w:r>
              <w:t>Manque de prise en compte des travaux « annexes » dans le cadre des rénovations globales</w:t>
            </w:r>
          </w:p>
          <w:p w14:paraId="17D25CE7" w14:textId="7773A07C" w:rsidR="00680D9D" w:rsidRDefault="00680D9D" w:rsidP="00C43C1D">
            <w:pPr>
              <w:pStyle w:val="Tablebullet1"/>
            </w:pPr>
            <w:r>
              <w:t>Difficile augmentation des fonds propres des bailleurs sociaux, ce qui limite leur capacité d’emprunt</w:t>
            </w:r>
          </w:p>
          <w:p w14:paraId="47697FD1" w14:textId="77777777" w:rsidR="00C43C1D" w:rsidRPr="00FA5CA5" w:rsidRDefault="00C43C1D" w:rsidP="00D70F6D">
            <w:pPr>
              <w:pStyle w:val="Tablebullet1"/>
              <w:numPr>
                <w:ilvl w:val="0"/>
                <w:numId w:val="0"/>
              </w:numPr>
              <w:ind w:left="596" w:hanging="360"/>
            </w:pPr>
          </w:p>
        </w:tc>
      </w:tr>
      <w:tr w:rsidR="00C43C1D" w14:paraId="775BFF77" w14:textId="77777777" w:rsidTr="00A32B2F">
        <w:trPr>
          <w:trHeight w:val="1350"/>
        </w:trPr>
        <w:tc>
          <w:tcPr>
            <w:tcW w:w="4535" w:type="dxa"/>
            <w:tcBorders>
              <w:top w:val="single" w:sz="4" w:space="0" w:color="A69EC1" w:themeColor="accent4"/>
              <w:left w:val="nil"/>
              <w:bottom w:val="nil"/>
              <w:right w:val="single" w:sz="4" w:space="0" w:color="A69EC1" w:themeColor="accent4"/>
            </w:tcBorders>
            <w:hideMark/>
          </w:tcPr>
          <w:p w14:paraId="4093CB54" w14:textId="77777777" w:rsidR="00C43C1D" w:rsidRDefault="00C43C1D" w:rsidP="00C031D3">
            <w:pPr>
              <w:pStyle w:val="Tabletext"/>
              <w:rPr>
                <w:b/>
                <w:bCs/>
              </w:rPr>
            </w:pPr>
            <w:r w:rsidRPr="00C031D3">
              <w:rPr>
                <w:b/>
                <w:bCs/>
              </w:rPr>
              <w:t>Opportunités</w:t>
            </w:r>
          </w:p>
          <w:p w14:paraId="0B71C58A" w14:textId="00970995" w:rsidR="00C031D3" w:rsidRDefault="00C031D3" w:rsidP="00C031D3">
            <w:pPr>
              <w:pStyle w:val="Tabletext"/>
              <w:rPr>
                <w:b/>
                <w:bCs/>
              </w:rPr>
            </w:pPr>
            <w:r>
              <w:rPr>
                <w:b/>
                <w:bCs/>
              </w:rPr>
              <w:t>Bâti tertiaire public</w:t>
            </w:r>
          </w:p>
          <w:p w14:paraId="584B11AE" w14:textId="54C9702A" w:rsidR="00C031D3" w:rsidRDefault="00A32B2F" w:rsidP="00A32B2F">
            <w:pPr>
              <w:pStyle w:val="Tablebullet1"/>
            </w:pPr>
            <w:r>
              <w:t>Harmonisation de la présence des conseillers en énergie partagée sur le territoire</w:t>
            </w:r>
          </w:p>
          <w:p w14:paraId="4C971388" w14:textId="17C33A39" w:rsidR="00C031D3" w:rsidRPr="00C031D3" w:rsidRDefault="00C031D3" w:rsidP="00C031D3">
            <w:pPr>
              <w:pStyle w:val="Tabletext"/>
              <w:rPr>
                <w:b/>
                <w:bCs/>
              </w:rPr>
            </w:pPr>
            <w:r>
              <w:rPr>
                <w:b/>
                <w:bCs/>
              </w:rPr>
              <w:t>Bâti résidentiel social</w:t>
            </w:r>
          </w:p>
          <w:p w14:paraId="0C40ABBF" w14:textId="28096474" w:rsidR="00460EBA" w:rsidRDefault="00460EBA" w:rsidP="00C43C1D">
            <w:pPr>
              <w:pStyle w:val="Tablebullet1"/>
            </w:pPr>
            <w:r>
              <w:t>Harmonisation des garanties aux emprunts à disposition des bailleurs sociaux</w:t>
            </w:r>
          </w:p>
          <w:p w14:paraId="23B6A6F6" w14:textId="338FE7E7" w:rsidR="00C031D3" w:rsidRDefault="00C031D3" w:rsidP="00C43C1D">
            <w:pPr>
              <w:pStyle w:val="Tablebullet1"/>
            </w:pPr>
            <w:r>
              <w:t>Mise en place d’un calendrier des AMI et AAP du territoire pour donner une meilleure visibilité sur les financements disponibles</w:t>
            </w:r>
          </w:p>
          <w:p w14:paraId="1754D846" w14:textId="7DAF1BB2" w:rsidR="00C031D3" w:rsidRDefault="00C031D3" w:rsidP="00C43C1D">
            <w:pPr>
              <w:pStyle w:val="Tablebullet1"/>
            </w:pPr>
            <w:r>
              <w:t xml:space="preserve">Mise en place d’un guichet unique pour accéder aux </w:t>
            </w:r>
            <w:r w:rsidR="00A32B2F">
              <w:t>financements (régionaux, européens, territoriaux)</w:t>
            </w:r>
          </w:p>
          <w:p w14:paraId="38F7E7F0" w14:textId="7E6CDE56" w:rsidR="00C031D3" w:rsidRPr="00C031D3" w:rsidRDefault="00C031D3" w:rsidP="00C031D3">
            <w:pPr>
              <w:pStyle w:val="Tabletext"/>
              <w:rPr>
                <w:b/>
                <w:bCs/>
              </w:rPr>
            </w:pPr>
            <w:r>
              <w:rPr>
                <w:b/>
                <w:bCs/>
              </w:rPr>
              <w:t>Bâti résidentiel privé</w:t>
            </w:r>
          </w:p>
          <w:p w14:paraId="00EC337B" w14:textId="565B6BBA" w:rsidR="00C43C1D" w:rsidRDefault="00AE2549" w:rsidP="00C43C1D">
            <w:pPr>
              <w:pStyle w:val="Tablebullet1"/>
            </w:pPr>
            <w:r>
              <w:t>Mettre à disposition des fonds FEDER aux travaux d’efficacité énergétique du bâti résidentiel privé,</w:t>
            </w:r>
            <w:r w:rsidR="00AC6D89">
              <w:t xml:space="preserve"> sans critère de ressources, sur la base de critères en économie d’énergie, qui</w:t>
            </w:r>
            <w:r>
              <w:t xml:space="preserve"> </w:t>
            </w:r>
            <w:r w:rsidRPr="00AE2549">
              <w:t>permett</w:t>
            </w:r>
            <w:r>
              <w:t>raie</w:t>
            </w:r>
            <w:r w:rsidRPr="00AE2549">
              <w:t xml:space="preserve">nt d’accompagner de la même manière tous les ménages sur de l’AMO, </w:t>
            </w:r>
            <w:r>
              <w:t>l’assistance technique et</w:t>
            </w:r>
            <w:r w:rsidRPr="00AE2549">
              <w:t xml:space="preserve"> </w:t>
            </w:r>
            <w:r>
              <w:t>l’</w:t>
            </w:r>
            <w:r w:rsidRPr="00AE2549">
              <w:t>accompagnement financier</w:t>
            </w:r>
          </w:p>
          <w:p w14:paraId="60C99676" w14:textId="5DB09289" w:rsidR="00BD1D9B" w:rsidRPr="00240A00" w:rsidRDefault="00B160E5" w:rsidP="00240A00">
            <w:pPr>
              <w:pStyle w:val="Tablebullet1"/>
            </w:pPr>
            <w:r>
              <w:t xml:space="preserve">Ouvrir l’accompagnement financier en tiers-financement aux différents types de travaux </w:t>
            </w:r>
            <w:r w:rsidR="0021762B">
              <w:t>(énergétiques et non-énergétiques)</w:t>
            </w:r>
            <w:r w:rsidR="00726CE1">
              <w:t xml:space="preserve"> dans le cadre des rénovations globales</w:t>
            </w:r>
          </w:p>
          <w:p w14:paraId="007FA09F" w14:textId="77777777" w:rsidR="00C43C1D" w:rsidRPr="00D73F63" w:rsidRDefault="00C43C1D" w:rsidP="00D70F6D">
            <w:pPr>
              <w:pStyle w:val="BodyText0"/>
              <w:spacing w:line="256" w:lineRule="auto"/>
              <w:ind w:left="360"/>
              <w:jc w:val="left"/>
              <w:rPr>
                <w:b/>
                <w:sz w:val="16"/>
                <w:szCs w:val="16"/>
              </w:rPr>
            </w:pPr>
          </w:p>
        </w:tc>
        <w:tc>
          <w:tcPr>
            <w:tcW w:w="4535" w:type="dxa"/>
            <w:tcBorders>
              <w:top w:val="single" w:sz="4" w:space="0" w:color="A69EC1" w:themeColor="accent4"/>
              <w:left w:val="single" w:sz="4" w:space="0" w:color="A69EC1" w:themeColor="accent4"/>
              <w:bottom w:val="nil"/>
              <w:right w:val="nil"/>
            </w:tcBorders>
            <w:hideMark/>
          </w:tcPr>
          <w:p w14:paraId="3B41AA50" w14:textId="77777777" w:rsidR="00C43C1D" w:rsidRPr="003065DB" w:rsidRDefault="00C43C1D" w:rsidP="003065DB">
            <w:pPr>
              <w:pStyle w:val="Tabletext"/>
              <w:rPr>
                <w:b/>
                <w:bCs/>
              </w:rPr>
            </w:pPr>
            <w:r w:rsidRPr="003065DB">
              <w:rPr>
                <w:b/>
                <w:bCs/>
              </w:rPr>
              <w:t>Menaces</w:t>
            </w:r>
          </w:p>
          <w:p w14:paraId="5DD26148" w14:textId="77777777" w:rsidR="009A1405" w:rsidRDefault="00FF7474" w:rsidP="009A1405">
            <w:pPr>
              <w:pStyle w:val="Tablebullet1"/>
            </w:pPr>
            <w:r>
              <w:t>Peu d’artisans éligibles RGE</w:t>
            </w:r>
            <w:r w:rsidR="00821F49">
              <w:t xml:space="preserve">, ce qui augmente les prix </w:t>
            </w:r>
            <w:r w:rsidR="003065DB">
              <w:t>et qui peut amener</w:t>
            </w:r>
            <w:r w:rsidR="00821F49">
              <w:t xml:space="preserve"> le SPEE à retirer l’aide financière</w:t>
            </w:r>
          </w:p>
          <w:p w14:paraId="612F8707" w14:textId="6DDB09E4" w:rsidR="00C415BB" w:rsidRPr="009A1405" w:rsidRDefault="00C415BB" w:rsidP="009A1405">
            <w:pPr>
              <w:pStyle w:val="Tablebullet1"/>
            </w:pPr>
            <w:r>
              <w:t xml:space="preserve">Inflation des prix des matières premières </w:t>
            </w:r>
            <w:proofErr w:type="spellStart"/>
            <w:r>
              <w:t>bio-sourcées</w:t>
            </w:r>
            <w:proofErr w:type="spellEnd"/>
            <w:r>
              <w:t xml:space="preserve">, </w:t>
            </w:r>
            <w:r w:rsidR="001A4083">
              <w:t>alors que leur usage deviendra la norme à partir de 2022</w:t>
            </w:r>
          </w:p>
        </w:tc>
      </w:tr>
    </w:tbl>
    <w:p w14:paraId="6C0E3069" w14:textId="77777777" w:rsidR="00C43C1D" w:rsidRPr="00390A65" w:rsidRDefault="00C43C1D" w:rsidP="00C43C1D">
      <w:pPr>
        <w:pStyle w:val="BodyText"/>
      </w:pPr>
    </w:p>
    <w:p w14:paraId="7764285F" w14:textId="77777777" w:rsidR="00C43C1D" w:rsidRDefault="00C43C1D" w:rsidP="00536470">
      <w:pPr>
        <w:pStyle w:val="Heading3"/>
      </w:pPr>
      <w:bookmarkStart w:id="116" w:name="_Toc93390291"/>
      <w:r w:rsidRPr="00D4726B">
        <w:t>Besoin de financement et défaillances de marché</w:t>
      </w:r>
      <w:bookmarkEnd w:id="116"/>
    </w:p>
    <w:p w14:paraId="538D11DA" w14:textId="364B09BB" w:rsidR="000F369E" w:rsidRDefault="00996FDE" w:rsidP="00732DEC">
      <w:pPr>
        <w:pStyle w:val="BodyText"/>
      </w:pPr>
      <w:r>
        <w:t>Les besoins sont différents selon la cible</w:t>
      </w:r>
      <w:r w:rsidR="000F369E">
        <w:t> :</w:t>
      </w:r>
    </w:p>
    <w:p w14:paraId="3B47D2EC" w14:textId="77777777" w:rsidR="000F369E" w:rsidRDefault="00996FDE" w:rsidP="00883491">
      <w:pPr>
        <w:pStyle w:val="Bullet1"/>
      </w:pPr>
      <w:r>
        <w:t>Les collectivités territoriales rencontrent des difficultés à avoir une vision d’ensemble des financements à leur disposition, et donc à y avoir accès</w:t>
      </w:r>
      <w:r w:rsidR="000F369E">
        <w:t> ;</w:t>
      </w:r>
    </w:p>
    <w:p w14:paraId="0711E75E" w14:textId="10435788" w:rsidR="00C43C1D" w:rsidRDefault="00996FDE" w:rsidP="00883491">
      <w:pPr>
        <w:pStyle w:val="Bullet1"/>
      </w:pPr>
      <w:r>
        <w:t xml:space="preserve">Les bailleurs sociaux sont, quant à eux, dans la recherche de subventions pour compenser </w:t>
      </w:r>
      <w:r w:rsidR="00732DEC">
        <w:t>des fonds propres contraints.</w:t>
      </w:r>
      <w:r w:rsidR="006E4B3C">
        <w:t xml:space="preserve"> </w:t>
      </w:r>
      <w:r w:rsidR="00883491">
        <w:t>En outre, les déséquilibres en termes de soutien disponible d’un territoire à un autre peut amener à une situation de rénovation énergétique à deux vitesses ;</w:t>
      </w:r>
    </w:p>
    <w:p w14:paraId="479DDC3C" w14:textId="6835196F" w:rsidR="00883491" w:rsidRDefault="00883491" w:rsidP="00883491">
      <w:pPr>
        <w:pStyle w:val="Bullet1"/>
      </w:pPr>
      <w:r>
        <w:t xml:space="preserve">Les particuliers </w:t>
      </w:r>
      <w:r w:rsidR="008D7A98">
        <w:t>bénéficient du soutien de la régie publique et de l’ANAH, selon leurs ressources. Cependant, faire appel à l’AMO du SPEE peut s’avérer coûteux, tout comme inclure des travaux « annexes », pourtant nécessaires dans le cadre d’une rénovation globale.</w:t>
      </w:r>
    </w:p>
    <w:p w14:paraId="44229743" w14:textId="7F8C59EF" w:rsidR="00732DEC" w:rsidRDefault="00732DEC" w:rsidP="00732DEC">
      <w:pPr>
        <w:pStyle w:val="Caption"/>
      </w:pPr>
      <w:bookmarkStart w:id="117" w:name="_Toc88842108"/>
      <w:r>
        <w:t xml:space="preserve">Tableau </w:t>
      </w:r>
      <w:r>
        <w:fldChar w:fldCharType="begin"/>
      </w:r>
      <w:r>
        <w:instrText xml:space="preserve"> SEQ Tableau \* ARABIC </w:instrText>
      </w:r>
      <w:r>
        <w:fldChar w:fldCharType="separate"/>
      </w:r>
      <w:r w:rsidR="009F0282">
        <w:rPr>
          <w:noProof/>
        </w:rPr>
        <w:t>20</w:t>
      </w:r>
      <w:r>
        <w:fldChar w:fldCharType="end"/>
      </w:r>
      <w:r>
        <w:t xml:space="preserve"> </w:t>
      </w:r>
      <w:r w:rsidRPr="00D15FDD">
        <w:t>Niveau de couverture des besoins par l’offre régionale</w:t>
      </w:r>
      <w:bookmarkEnd w:id="117"/>
    </w:p>
    <w:tbl>
      <w:tblPr>
        <w:tblStyle w:val="TechnopolisTable20"/>
        <w:tblW w:w="5000" w:type="pct"/>
        <w:tblLook w:val="04A0" w:firstRow="1" w:lastRow="0" w:firstColumn="1" w:lastColumn="0" w:noHBand="0" w:noVBand="1"/>
      </w:tblPr>
      <w:tblGrid>
        <w:gridCol w:w="1411"/>
        <w:gridCol w:w="1416"/>
        <w:gridCol w:w="1416"/>
        <w:gridCol w:w="1680"/>
        <w:gridCol w:w="1630"/>
        <w:gridCol w:w="1509"/>
      </w:tblGrid>
      <w:tr w:rsidR="00C031D3" w14:paraId="415F471D" w14:textId="14745A47" w:rsidTr="00500A75">
        <w:trPr>
          <w:cnfStyle w:val="100000000000" w:firstRow="1" w:lastRow="0" w:firstColumn="0" w:lastColumn="0" w:oddVBand="0" w:evenVBand="0" w:oddHBand="0" w:evenHBand="0" w:firstRowFirstColumn="0" w:firstRowLastColumn="0" w:lastRowFirstColumn="0" w:lastRowLastColumn="0"/>
        </w:trPr>
        <w:tc>
          <w:tcPr>
            <w:tcW w:w="788" w:type="pct"/>
          </w:tcPr>
          <w:p w14:paraId="54E5BA3E" w14:textId="353B91BF" w:rsidR="00C031D3" w:rsidRPr="005C3761" w:rsidRDefault="00C031D3" w:rsidP="005C3761">
            <w:pPr>
              <w:pStyle w:val="Tabletext"/>
              <w:jc w:val="center"/>
            </w:pPr>
            <w:r w:rsidRPr="005C3761">
              <w:t>Secteur</w:t>
            </w:r>
          </w:p>
        </w:tc>
        <w:tc>
          <w:tcPr>
            <w:tcW w:w="790" w:type="pct"/>
          </w:tcPr>
          <w:p w14:paraId="75B65A8B" w14:textId="603AABAF" w:rsidR="00500A75" w:rsidRDefault="00500A75" w:rsidP="005C3761">
            <w:pPr>
              <w:pStyle w:val="Tabletext"/>
              <w:jc w:val="center"/>
            </w:pPr>
            <w:r>
              <w:t>Estimation des investissements nécessaires</w:t>
            </w:r>
          </w:p>
        </w:tc>
        <w:tc>
          <w:tcPr>
            <w:tcW w:w="790" w:type="pct"/>
          </w:tcPr>
          <w:p w14:paraId="0C26C61A" w14:textId="5CDCD4F9" w:rsidR="00C031D3" w:rsidRPr="005C3761" w:rsidRDefault="00C031D3" w:rsidP="005C3761">
            <w:pPr>
              <w:pStyle w:val="Tabletext"/>
              <w:jc w:val="center"/>
            </w:pPr>
            <w:r w:rsidRPr="005C3761">
              <w:t>Couverture des besoins</w:t>
            </w:r>
          </w:p>
        </w:tc>
        <w:tc>
          <w:tcPr>
            <w:tcW w:w="936" w:type="pct"/>
          </w:tcPr>
          <w:p w14:paraId="468A844C" w14:textId="1EE33D95" w:rsidR="00C031D3" w:rsidRPr="005C3761" w:rsidRDefault="00C031D3" w:rsidP="005C3761">
            <w:pPr>
              <w:pStyle w:val="Tabletext"/>
              <w:jc w:val="center"/>
            </w:pPr>
            <w:r w:rsidRPr="005C3761">
              <w:t>Défaillances</w:t>
            </w:r>
          </w:p>
        </w:tc>
        <w:tc>
          <w:tcPr>
            <w:tcW w:w="908" w:type="pct"/>
          </w:tcPr>
          <w:p w14:paraId="4B0241EF" w14:textId="12C7C8A1" w:rsidR="00C031D3" w:rsidRPr="005C3761" w:rsidRDefault="00C031D3" w:rsidP="005C3761">
            <w:pPr>
              <w:pStyle w:val="Tabletext"/>
              <w:jc w:val="center"/>
            </w:pPr>
            <w:r w:rsidRPr="005C3761">
              <w:t>Types d’IF</w:t>
            </w:r>
          </w:p>
        </w:tc>
        <w:tc>
          <w:tcPr>
            <w:tcW w:w="790" w:type="pct"/>
          </w:tcPr>
          <w:p w14:paraId="7290809A" w14:textId="775DECE3" w:rsidR="00500A75" w:rsidRDefault="00500A75" w:rsidP="005C3761">
            <w:pPr>
              <w:pStyle w:val="Tabletext"/>
              <w:jc w:val="center"/>
            </w:pPr>
            <w:r>
              <w:t>Autres défaillances et freins non financiers</w:t>
            </w:r>
          </w:p>
        </w:tc>
      </w:tr>
      <w:tr w:rsidR="00C031D3" w14:paraId="05477138" w14:textId="356DC864" w:rsidTr="00500A75">
        <w:trPr>
          <w:cnfStyle w:val="000000100000" w:firstRow="0" w:lastRow="0" w:firstColumn="0" w:lastColumn="0" w:oddVBand="0" w:evenVBand="0" w:oddHBand="1" w:evenHBand="0" w:firstRowFirstColumn="0" w:firstRowLastColumn="0" w:lastRowFirstColumn="0" w:lastRowLastColumn="0"/>
        </w:trPr>
        <w:tc>
          <w:tcPr>
            <w:tcW w:w="788" w:type="pct"/>
          </w:tcPr>
          <w:p w14:paraId="7F37F774" w14:textId="7491FD1F" w:rsidR="00C031D3" w:rsidRPr="005C3761" w:rsidRDefault="00C031D3" w:rsidP="00003EC0">
            <w:pPr>
              <w:pStyle w:val="Tabletext"/>
              <w:jc w:val="center"/>
              <w:rPr>
                <w:b/>
                <w:bCs/>
              </w:rPr>
            </w:pPr>
            <w:r w:rsidRPr="005C3761">
              <w:rPr>
                <w:b/>
                <w:bCs/>
              </w:rPr>
              <w:t>Bâti tertiaire public</w:t>
            </w:r>
          </w:p>
        </w:tc>
        <w:tc>
          <w:tcPr>
            <w:tcW w:w="790" w:type="pct"/>
            <w:shd w:val="clear" w:color="auto" w:fill="auto"/>
          </w:tcPr>
          <w:p w14:paraId="174D1592" w14:textId="3DA36AC4" w:rsidR="00160D64" w:rsidRPr="009A298C" w:rsidRDefault="009A298C" w:rsidP="005C3761">
            <w:pPr>
              <w:pStyle w:val="Tabletext"/>
              <w:jc w:val="center"/>
            </w:pPr>
            <w:r>
              <w:t xml:space="preserve">Variable en fonction de la surface </w:t>
            </w:r>
            <w:r w:rsidR="00F77689">
              <w:t>et du territoire</w:t>
            </w:r>
          </w:p>
        </w:tc>
        <w:tc>
          <w:tcPr>
            <w:tcW w:w="790" w:type="pct"/>
            <w:shd w:val="clear" w:color="auto" w:fill="92D050"/>
          </w:tcPr>
          <w:p w14:paraId="211D07C4" w14:textId="59CE9E94" w:rsidR="00C031D3" w:rsidRPr="005C3761" w:rsidRDefault="00C031D3" w:rsidP="005C3761">
            <w:pPr>
              <w:pStyle w:val="Tabletext"/>
              <w:jc w:val="center"/>
            </w:pPr>
            <w:r w:rsidRPr="005C3761">
              <w:t>Bonne</w:t>
            </w:r>
          </w:p>
        </w:tc>
        <w:tc>
          <w:tcPr>
            <w:tcW w:w="936" w:type="pct"/>
            <w:shd w:val="clear" w:color="auto" w:fill="auto"/>
          </w:tcPr>
          <w:p w14:paraId="71BFAFF5" w14:textId="79A1424C" w:rsidR="00C031D3" w:rsidRPr="005C3761" w:rsidRDefault="00003EC0" w:rsidP="00DC6285">
            <w:pPr>
              <w:pStyle w:val="Tablebullet1"/>
            </w:pPr>
            <w:r>
              <w:t>Financement de l’ingénierie technique et financière</w:t>
            </w:r>
          </w:p>
        </w:tc>
        <w:tc>
          <w:tcPr>
            <w:tcW w:w="908" w:type="pct"/>
            <w:shd w:val="clear" w:color="auto" w:fill="auto"/>
          </w:tcPr>
          <w:p w14:paraId="61CE4E53" w14:textId="275310DB" w:rsidR="00C031D3" w:rsidRPr="005C3761" w:rsidRDefault="00003EC0" w:rsidP="00462A7B">
            <w:pPr>
              <w:pStyle w:val="Tablebullet1"/>
            </w:pPr>
            <w:r>
              <w:t>N.A.</w:t>
            </w:r>
          </w:p>
        </w:tc>
        <w:tc>
          <w:tcPr>
            <w:tcW w:w="790" w:type="pct"/>
          </w:tcPr>
          <w:p w14:paraId="77B0D041" w14:textId="77777777" w:rsidR="00500A75" w:rsidRDefault="00BB67F9" w:rsidP="00462A7B">
            <w:pPr>
              <w:pStyle w:val="Tablebullet1"/>
            </w:pPr>
            <w:r>
              <w:t xml:space="preserve">Exigences de performance énergétique trop importante </w:t>
            </w:r>
            <w:r w:rsidR="00160D64">
              <w:t>limitant la massification</w:t>
            </w:r>
          </w:p>
          <w:p w14:paraId="65E8773B" w14:textId="183FD85A" w:rsidR="00160D64" w:rsidRDefault="00160D64" w:rsidP="00462A7B">
            <w:pPr>
              <w:pStyle w:val="Tablebullet1"/>
            </w:pPr>
            <w:r>
              <w:t>Démarches administratives complexes et à réitérer</w:t>
            </w:r>
          </w:p>
          <w:p w14:paraId="6080D663" w14:textId="77777777" w:rsidR="00160D64" w:rsidRDefault="00160D64" w:rsidP="00462A7B">
            <w:pPr>
              <w:pStyle w:val="Tablebullet1"/>
            </w:pPr>
            <w:r>
              <w:t>Longs délais d’instruction des subventions</w:t>
            </w:r>
          </w:p>
          <w:p w14:paraId="6347B076" w14:textId="13291978" w:rsidR="00BB67F9" w:rsidRDefault="00160D64" w:rsidP="00462A7B">
            <w:pPr>
              <w:pStyle w:val="Tablebullet1"/>
            </w:pPr>
            <w:r>
              <w:t>Inadéquation de l’offre aux besoins territoriaux</w:t>
            </w:r>
          </w:p>
        </w:tc>
      </w:tr>
      <w:tr w:rsidR="00C031D3" w14:paraId="08E5E07D" w14:textId="5C37283C" w:rsidTr="00500A75">
        <w:trPr>
          <w:cnfStyle w:val="000000010000" w:firstRow="0" w:lastRow="0" w:firstColumn="0" w:lastColumn="0" w:oddVBand="0" w:evenVBand="0" w:oddHBand="0" w:evenHBand="1" w:firstRowFirstColumn="0" w:firstRowLastColumn="0" w:lastRowFirstColumn="0" w:lastRowLastColumn="0"/>
        </w:trPr>
        <w:tc>
          <w:tcPr>
            <w:tcW w:w="788" w:type="pct"/>
          </w:tcPr>
          <w:p w14:paraId="20CF2592" w14:textId="09ED5FE5" w:rsidR="00C031D3" w:rsidRPr="005C3761" w:rsidRDefault="00C031D3" w:rsidP="00003EC0">
            <w:pPr>
              <w:pStyle w:val="Tabletext"/>
              <w:jc w:val="center"/>
              <w:rPr>
                <w:b/>
                <w:bCs/>
              </w:rPr>
            </w:pPr>
            <w:r w:rsidRPr="005C3761">
              <w:rPr>
                <w:b/>
                <w:bCs/>
              </w:rPr>
              <w:t>Bâti résidentiel social</w:t>
            </w:r>
          </w:p>
        </w:tc>
        <w:tc>
          <w:tcPr>
            <w:tcW w:w="790" w:type="pct"/>
            <w:shd w:val="clear" w:color="auto" w:fill="auto"/>
          </w:tcPr>
          <w:p w14:paraId="32BD863C" w14:textId="61F154B9" w:rsidR="00500A75" w:rsidRDefault="001E7469" w:rsidP="005C3761">
            <w:pPr>
              <w:pStyle w:val="Tabletext"/>
              <w:jc w:val="center"/>
            </w:pPr>
            <w:r>
              <w:t>70K€/logement</w:t>
            </w:r>
            <w:r w:rsidR="00B856E4">
              <w:t xml:space="preserve"> pour Oise Habitat</w:t>
            </w:r>
          </w:p>
          <w:p w14:paraId="5767D8F2" w14:textId="4DCA377F" w:rsidR="00B856E4" w:rsidRDefault="00680D9D" w:rsidP="005C3761">
            <w:pPr>
              <w:pStyle w:val="Tabletext"/>
              <w:jc w:val="center"/>
            </w:pPr>
            <w:r>
              <w:t>Emprunt moyen de 1</w:t>
            </w:r>
            <w:r w:rsidR="00B856E4">
              <w:t>M</w:t>
            </w:r>
            <w:r>
              <w:t>€</w:t>
            </w:r>
            <w:r w:rsidR="00B856E4">
              <w:t xml:space="preserve"> pour </w:t>
            </w:r>
            <w:proofErr w:type="spellStart"/>
            <w:r w:rsidR="00B856E4">
              <w:t>Vilogia</w:t>
            </w:r>
            <w:proofErr w:type="spellEnd"/>
            <w:r w:rsidR="00ED3E56">
              <w:t xml:space="preserve">, </w:t>
            </w:r>
            <w:r>
              <w:t>avec un volume total de 20M€</w:t>
            </w:r>
          </w:p>
        </w:tc>
        <w:tc>
          <w:tcPr>
            <w:tcW w:w="790" w:type="pct"/>
            <w:shd w:val="clear" w:color="auto" w:fill="FCE7BC" w:themeFill="accent3" w:themeFillTint="66"/>
          </w:tcPr>
          <w:p w14:paraId="45E11CAB" w14:textId="0C2C31EC" w:rsidR="00C031D3" w:rsidRPr="005C3761" w:rsidRDefault="00C031D3" w:rsidP="005C3761">
            <w:pPr>
              <w:pStyle w:val="Tabletext"/>
              <w:jc w:val="center"/>
            </w:pPr>
            <w:r>
              <w:t>Assez b</w:t>
            </w:r>
            <w:r w:rsidRPr="005C3761">
              <w:t>onne</w:t>
            </w:r>
          </w:p>
        </w:tc>
        <w:tc>
          <w:tcPr>
            <w:tcW w:w="936" w:type="pct"/>
            <w:shd w:val="clear" w:color="auto" w:fill="auto"/>
          </w:tcPr>
          <w:p w14:paraId="5B07B9C3" w14:textId="77777777" w:rsidR="00C031D3" w:rsidRDefault="00C031D3" w:rsidP="009C51FA">
            <w:pPr>
              <w:pStyle w:val="Tablebullet1"/>
            </w:pPr>
            <w:r w:rsidRPr="005C3761">
              <w:t>Financement des travaux « annexes »</w:t>
            </w:r>
          </w:p>
          <w:p w14:paraId="11CF6547" w14:textId="77777777" w:rsidR="00500A75" w:rsidRDefault="00C031D3" w:rsidP="000E5D02">
            <w:pPr>
              <w:pStyle w:val="Tablebullet1"/>
            </w:pPr>
            <w:r>
              <w:t>Fonds propres grignotés par des frais de fonctionnement</w:t>
            </w:r>
          </w:p>
          <w:p w14:paraId="6815A2A9" w14:textId="3D9226A1" w:rsidR="00003EC0" w:rsidRPr="000E5D02" w:rsidRDefault="00302B40" w:rsidP="000E5D02">
            <w:pPr>
              <w:pStyle w:val="Tablebullet1"/>
            </w:pPr>
            <w:r>
              <w:t>Structuration des filières industrielles (EnergieSprong)</w:t>
            </w:r>
          </w:p>
        </w:tc>
        <w:tc>
          <w:tcPr>
            <w:tcW w:w="908" w:type="pct"/>
            <w:shd w:val="clear" w:color="auto" w:fill="auto"/>
          </w:tcPr>
          <w:p w14:paraId="02C80618" w14:textId="0E156AED" w:rsidR="00C031D3" w:rsidRDefault="00C031D3" w:rsidP="00462A7B">
            <w:pPr>
              <w:pStyle w:val="Tablebullet1"/>
            </w:pPr>
            <w:r>
              <w:t>Garantie aux emprunts</w:t>
            </w:r>
          </w:p>
          <w:p w14:paraId="210E25BB" w14:textId="06197B6C" w:rsidR="00C031D3" w:rsidRPr="005C3761" w:rsidRDefault="00C031D3" w:rsidP="00462A7B">
            <w:pPr>
              <w:pStyle w:val="Tablebullet1"/>
            </w:pPr>
            <w:r>
              <w:t xml:space="preserve">Soutien financier </w:t>
            </w:r>
            <w:r w:rsidR="003B3DBD">
              <w:t>adapté</w:t>
            </w:r>
            <w:r>
              <w:t xml:space="preserve"> pour accompagner la démarche EnergieSprong</w:t>
            </w:r>
          </w:p>
        </w:tc>
        <w:tc>
          <w:tcPr>
            <w:tcW w:w="790" w:type="pct"/>
          </w:tcPr>
          <w:p w14:paraId="36423B04" w14:textId="26CEC380" w:rsidR="00500A75" w:rsidRDefault="000D0964" w:rsidP="00462A7B">
            <w:pPr>
              <w:pStyle w:val="Tablebullet1"/>
            </w:pPr>
            <w:r>
              <w:t>Incohérence entre dispositifs</w:t>
            </w:r>
            <w:r w:rsidR="001B3C41">
              <w:t xml:space="preserve"> au niveau des assiettes</w:t>
            </w:r>
          </w:p>
          <w:p w14:paraId="10027D6C" w14:textId="77777777" w:rsidR="000D0964" w:rsidRDefault="000D0964" w:rsidP="00462A7B">
            <w:pPr>
              <w:pStyle w:val="Tablebullet1"/>
            </w:pPr>
            <w:r>
              <w:t>Manque de visibilité et de communication des AAP et AMI</w:t>
            </w:r>
          </w:p>
          <w:p w14:paraId="51AB24BE" w14:textId="77777777" w:rsidR="000D0964" w:rsidRDefault="001B3C41" w:rsidP="00462A7B">
            <w:pPr>
              <w:pStyle w:val="Tablebullet1"/>
            </w:pPr>
            <w:r>
              <w:t>Hétérogénéité de l’offre sur le territoire</w:t>
            </w:r>
          </w:p>
          <w:p w14:paraId="6FC1F8B8" w14:textId="43989169" w:rsidR="000D0964" w:rsidRDefault="001B3C41" w:rsidP="00462A7B">
            <w:pPr>
              <w:pStyle w:val="Tablebullet1"/>
            </w:pPr>
            <w:r>
              <w:t>Complexité administrative du FEDER et délais longs</w:t>
            </w:r>
          </w:p>
        </w:tc>
      </w:tr>
      <w:tr w:rsidR="00C031D3" w14:paraId="0664532D" w14:textId="021CC2B4" w:rsidTr="00500A75">
        <w:trPr>
          <w:cnfStyle w:val="000000100000" w:firstRow="0" w:lastRow="0" w:firstColumn="0" w:lastColumn="0" w:oddVBand="0" w:evenVBand="0" w:oddHBand="1" w:evenHBand="0" w:firstRowFirstColumn="0" w:firstRowLastColumn="0" w:lastRowFirstColumn="0" w:lastRowLastColumn="0"/>
        </w:trPr>
        <w:tc>
          <w:tcPr>
            <w:tcW w:w="788" w:type="pct"/>
          </w:tcPr>
          <w:p w14:paraId="75E1C24C" w14:textId="44F9CB7B" w:rsidR="00C031D3" w:rsidRPr="005C3761" w:rsidRDefault="00C031D3" w:rsidP="00003EC0">
            <w:pPr>
              <w:pStyle w:val="Tabletext"/>
              <w:jc w:val="center"/>
              <w:rPr>
                <w:b/>
                <w:bCs/>
              </w:rPr>
            </w:pPr>
            <w:r w:rsidRPr="005C3761">
              <w:rPr>
                <w:b/>
                <w:bCs/>
              </w:rPr>
              <w:t>Bâti résidentiel privé</w:t>
            </w:r>
          </w:p>
        </w:tc>
        <w:tc>
          <w:tcPr>
            <w:tcW w:w="790" w:type="pct"/>
            <w:shd w:val="clear" w:color="auto" w:fill="auto"/>
          </w:tcPr>
          <w:p w14:paraId="4AC4BD5D" w14:textId="4530DEC2" w:rsidR="00500A75" w:rsidRPr="009A298C" w:rsidRDefault="009A298C" w:rsidP="005C3761">
            <w:pPr>
              <w:pStyle w:val="Tabletext"/>
              <w:jc w:val="center"/>
              <w:rPr>
                <w:iCs/>
              </w:rPr>
            </w:pPr>
            <w:r>
              <w:rPr>
                <w:iCs/>
              </w:rPr>
              <w:t>Environ 40-45k€ par logement</w:t>
            </w:r>
          </w:p>
        </w:tc>
        <w:tc>
          <w:tcPr>
            <w:tcW w:w="790" w:type="pct"/>
            <w:shd w:val="clear" w:color="auto" w:fill="92D050"/>
          </w:tcPr>
          <w:p w14:paraId="70E7C1DC" w14:textId="49FBEEF7" w:rsidR="00C031D3" w:rsidRPr="005C3761" w:rsidRDefault="00C031D3" w:rsidP="005C3761">
            <w:pPr>
              <w:pStyle w:val="Tabletext"/>
              <w:jc w:val="center"/>
            </w:pPr>
            <w:r w:rsidRPr="005C3761">
              <w:t>Très bonne</w:t>
            </w:r>
          </w:p>
        </w:tc>
        <w:tc>
          <w:tcPr>
            <w:tcW w:w="936" w:type="pct"/>
            <w:shd w:val="clear" w:color="auto" w:fill="auto"/>
          </w:tcPr>
          <w:p w14:paraId="1121A5F5" w14:textId="77777777" w:rsidR="00C031D3" w:rsidRDefault="00C031D3" w:rsidP="00F00E17">
            <w:pPr>
              <w:pStyle w:val="Tablebullet1"/>
            </w:pPr>
            <w:r>
              <w:t>Particuliers peu enclins à investir dans l’AMO</w:t>
            </w:r>
          </w:p>
          <w:p w14:paraId="060516A0" w14:textId="0C690FA2" w:rsidR="00C031D3" w:rsidRPr="00C031D3" w:rsidRDefault="00C031D3" w:rsidP="00C031D3">
            <w:pPr>
              <w:pStyle w:val="Tablebullet1"/>
            </w:pPr>
            <w:r w:rsidRPr="005C3761">
              <w:t>Financement des travaux « annexes »</w:t>
            </w:r>
          </w:p>
        </w:tc>
        <w:tc>
          <w:tcPr>
            <w:tcW w:w="908" w:type="pct"/>
            <w:shd w:val="clear" w:color="auto" w:fill="auto"/>
          </w:tcPr>
          <w:p w14:paraId="0C41BBCA" w14:textId="4663176A" w:rsidR="00C031D3" w:rsidRPr="005C3761" w:rsidRDefault="00E96490" w:rsidP="00462A7B">
            <w:pPr>
              <w:pStyle w:val="Tablebullet1"/>
            </w:pPr>
            <w:r>
              <w:t xml:space="preserve">Refinancement du </w:t>
            </w:r>
            <w:r w:rsidR="0066580C">
              <w:t xml:space="preserve">prêt à taux bonifié du </w:t>
            </w:r>
            <w:r>
              <w:t>SPEE à prévoir</w:t>
            </w:r>
            <w:r w:rsidR="0066580C">
              <w:t xml:space="preserve"> (éco-PTZ)</w:t>
            </w:r>
          </w:p>
        </w:tc>
        <w:tc>
          <w:tcPr>
            <w:tcW w:w="790" w:type="pct"/>
          </w:tcPr>
          <w:p w14:paraId="27640F41" w14:textId="6CE1B951" w:rsidR="003A5C82" w:rsidRDefault="003A5C82" w:rsidP="00462A7B">
            <w:pPr>
              <w:pStyle w:val="Tablebullet1"/>
            </w:pPr>
            <w:r>
              <w:t>Organisation des travaux complexe</w:t>
            </w:r>
          </w:p>
        </w:tc>
      </w:tr>
    </w:tbl>
    <w:p w14:paraId="7DC6F068" w14:textId="77777777" w:rsidR="00124057" w:rsidRDefault="00124057" w:rsidP="00DD3EE3">
      <w:pPr>
        <w:pStyle w:val="BodyText"/>
      </w:pPr>
      <w:bookmarkStart w:id="118" w:name="_Toc93390292"/>
    </w:p>
    <w:p w14:paraId="60D64028" w14:textId="77777777" w:rsidR="00124057" w:rsidRDefault="00124057">
      <w:pPr>
        <w:rPr>
          <w:rFonts w:asciiTheme="majorHAnsi" w:eastAsiaTheme="majorEastAsia" w:hAnsiTheme="majorHAnsi" w:cstheme="majorBidi"/>
          <w:color w:val="CF342C" w:themeColor="text2"/>
          <w:sz w:val="22"/>
          <w:szCs w:val="26"/>
        </w:rPr>
      </w:pPr>
      <w:r>
        <w:br w:type="page"/>
      </w:r>
    </w:p>
    <w:p w14:paraId="329B8355" w14:textId="5401B6FF" w:rsidR="00C43C1D" w:rsidRDefault="00C43C1D" w:rsidP="00536470">
      <w:pPr>
        <w:pStyle w:val="Heading2"/>
      </w:pPr>
      <w:bookmarkStart w:id="119" w:name="_Ref94026601"/>
      <w:r>
        <w:t>Besoins et défaillances de financement du recyclage du foncier</w:t>
      </w:r>
      <w:bookmarkEnd w:id="118"/>
      <w:bookmarkEnd w:id="119"/>
    </w:p>
    <w:tbl>
      <w:tblPr>
        <w:tblStyle w:val="TableGrid"/>
        <w:tblW w:w="0" w:type="auto"/>
        <w:tblLook w:val="04A0" w:firstRow="1" w:lastRow="0" w:firstColumn="1" w:lastColumn="0" w:noHBand="0" w:noVBand="1"/>
      </w:tblPr>
      <w:tblGrid>
        <w:gridCol w:w="9062"/>
      </w:tblGrid>
      <w:tr w:rsidR="00C43C1D" w:rsidRPr="0059485A" w14:paraId="08F34F08" w14:textId="77777777" w:rsidTr="00D70F6D">
        <w:tc>
          <w:tcPr>
            <w:tcW w:w="9062" w:type="dxa"/>
            <w:tcBorders>
              <w:top w:val="single" w:sz="4" w:space="0" w:color="CF342C" w:themeColor="text2"/>
              <w:left w:val="single" w:sz="4" w:space="0" w:color="CF342C" w:themeColor="text2"/>
              <w:bottom w:val="single" w:sz="4" w:space="0" w:color="CF342C" w:themeColor="text2"/>
              <w:right w:val="single" w:sz="4" w:space="0" w:color="CF342C" w:themeColor="text2"/>
            </w:tcBorders>
          </w:tcPr>
          <w:p w14:paraId="186392AF" w14:textId="77777777" w:rsidR="00C43C1D" w:rsidRPr="0015280E" w:rsidRDefault="00C43C1D" w:rsidP="00AC1E8D">
            <w:pPr>
              <w:pStyle w:val="Tabletext"/>
              <w:jc w:val="both"/>
              <w:rPr>
                <w:b/>
                <w:bCs/>
              </w:rPr>
            </w:pPr>
            <w:r w:rsidRPr="0015280E">
              <w:rPr>
                <w:b/>
                <w:bCs/>
              </w:rPr>
              <w:t xml:space="preserve">Points clefs à retenir : </w:t>
            </w:r>
          </w:p>
          <w:p w14:paraId="3EFF0D4E" w14:textId="77777777" w:rsidR="00C43C1D" w:rsidRPr="00ED7931" w:rsidRDefault="0015153E" w:rsidP="00A22B4E">
            <w:pPr>
              <w:pStyle w:val="Tablebullet1"/>
              <w:tabs>
                <w:tab w:val="clear" w:pos="227"/>
              </w:tabs>
              <w:ind w:left="720" w:hanging="360"/>
              <w:rPr>
                <w:b/>
              </w:rPr>
            </w:pPr>
            <w:r>
              <w:t xml:space="preserve">Des objectifs ambitieux à l’échelle nationale et régional de zéro artificialisation nette qui induisent des </w:t>
            </w:r>
            <w:r w:rsidRPr="00ED7931">
              <w:rPr>
                <w:b/>
              </w:rPr>
              <w:t>besoins importants de financement de réhabilitation de friches</w:t>
            </w:r>
            <w:r w:rsidR="00DE4DD5" w:rsidRPr="00ED7931">
              <w:rPr>
                <w:b/>
              </w:rPr>
              <w:t xml:space="preserve">. </w:t>
            </w:r>
          </w:p>
          <w:p w14:paraId="59AE38FC" w14:textId="77777777" w:rsidR="0015153E" w:rsidRDefault="00B76CE8" w:rsidP="00101815">
            <w:pPr>
              <w:pStyle w:val="Tablebullet1"/>
              <w:tabs>
                <w:tab w:val="clear" w:pos="227"/>
              </w:tabs>
              <w:ind w:left="720" w:hanging="360"/>
            </w:pPr>
            <w:r>
              <w:t>Des besoins importants en subventions qui ne sont pas</w:t>
            </w:r>
            <w:r w:rsidR="00F15941">
              <w:t xml:space="preserve"> tous</w:t>
            </w:r>
            <w:r>
              <w:t xml:space="preserve"> couverts</w:t>
            </w:r>
            <w:r w:rsidR="00101815">
              <w:t xml:space="preserve">. </w:t>
            </w:r>
            <w:r w:rsidR="00AC1E8D">
              <w:t>Par exemple, dans le cadre de l’appel à projets du Fonds Friches, il y a eu 54 projets lauréats pour un montant de 35</w:t>
            </w:r>
            <w:r w:rsidR="00A24B49">
              <w:t>,5</w:t>
            </w:r>
            <w:r w:rsidR="00DF5D2D">
              <w:t>M€ sur les 140 dossiers déposés pour un montant de 185 M€.</w:t>
            </w:r>
          </w:p>
          <w:p w14:paraId="0BCCF89C" w14:textId="5ACF7E41" w:rsidR="00AC1E8D" w:rsidRDefault="0074266B" w:rsidP="00AC1E8D">
            <w:pPr>
              <w:pStyle w:val="Tablebullet1"/>
              <w:tabs>
                <w:tab w:val="clear" w:pos="227"/>
              </w:tabs>
              <w:ind w:left="720" w:hanging="360"/>
            </w:pPr>
            <w:r>
              <w:t>Certaine</w:t>
            </w:r>
            <w:r w:rsidR="00AC1E8D">
              <w:t xml:space="preserve">s opérations de réhabilitation de friches apparaissent comme structurellement déficitaires du fait de coût de dépollution et de démolition qui alourdissent de façon importante le bilan d’aménagement de ces opérations. Il y a donc un </w:t>
            </w:r>
            <w:r w:rsidR="00AC1E8D" w:rsidRPr="001E3193">
              <w:rPr>
                <w:b/>
                <w:bCs/>
              </w:rPr>
              <w:t>besoin de subventions pour les acteurs impliqués</w:t>
            </w:r>
            <w:r w:rsidR="00AC1E8D">
              <w:t xml:space="preserve"> (collectivités territoriales, EPF</w:t>
            </w:r>
            <w:r w:rsidR="00AC1E8D" w:rsidRPr="00B45605">
              <w:rPr>
                <w:rStyle w:val="CommentReference"/>
                <w:kern w:val="0"/>
              </w:rPr>
              <w:t>,</w:t>
            </w:r>
            <w:r w:rsidR="00AC1E8D">
              <w:rPr>
                <w:rStyle w:val="CommentReference"/>
              </w:rPr>
              <w:t xml:space="preserve"> aménageurs, promoteurs e</w:t>
            </w:r>
            <w:r w:rsidR="00AC1E8D">
              <w:t xml:space="preserve">t les bailleurs sociaux). La </w:t>
            </w:r>
            <w:r w:rsidR="00AC1E8D" w:rsidRPr="001E3193">
              <w:rPr>
                <w:b/>
                <w:bCs/>
              </w:rPr>
              <w:t>rentabilité des projets de réhabilitation de friches diffère également en fonction de la localisation de la friche.</w:t>
            </w:r>
            <w:r w:rsidR="00AC1E8D">
              <w:t xml:space="preserve"> Les opérations en zone tendue parviennent à être viable plus facilement que les opérations en zone détendu ou rurale. </w:t>
            </w:r>
          </w:p>
          <w:p w14:paraId="516A4313" w14:textId="77777777" w:rsidR="00AC1E8D" w:rsidRDefault="00AC1E8D" w:rsidP="00AC1E8D">
            <w:pPr>
              <w:pStyle w:val="Tablebullet1"/>
              <w:tabs>
                <w:tab w:val="clear" w:pos="227"/>
              </w:tabs>
              <w:ind w:left="720" w:hanging="360"/>
            </w:pPr>
            <w:r>
              <w:t xml:space="preserve">La programmation des projets de réhabilitation influe également sur la viabilité des projets. Les demandes de collectivités pour des équipements public ou pour des logements sociaux peuvent rentrer certaines opérations déficitaires. </w:t>
            </w:r>
          </w:p>
          <w:p w14:paraId="749C17E6" w14:textId="77777777" w:rsidR="00AC1E8D" w:rsidRPr="003A49DD" w:rsidRDefault="00DF5D2D" w:rsidP="00AC1E8D">
            <w:pPr>
              <w:pStyle w:val="Tablebullet1"/>
              <w:ind w:left="720" w:hanging="360"/>
            </w:pPr>
            <w:r>
              <w:t xml:space="preserve">Des </w:t>
            </w:r>
            <w:r w:rsidR="003C57DD" w:rsidRPr="00A20FA4">
              <w:rPr>
                <w:b/>
                <w:bCs/>
              </w:rPr>
              <w:t>disparités</w:t>
            </w:r>
            <w:r w:rsidRPr="00A20FA4">
              <w:rPr>
                <w:b/>
                <w:bCs/>
              </w:rPr>
              <w:t xml:space="preserve"> </w:t>
            </w:r>
            <w:r w:rsidR="003C57DD" w:rsidRPr="00A20FA4">
              <w:rPr>
                <w:b/>
                <w:bCs/>
              </w:rPr>
              <w:t>territoriales</w:t>
            </w:r>
            <w:r>
              <w:t xml:space="preserve"> importantes existent dans le </w:t>
            </w:r>
            <w:r w:rsidR="003C57DD">
              <w:t>traitement</w:t>
            </w:r>
            <w:r>
              <w:t xml:space="preserve"> des friches notamment du fait de l’absence d’EPF sur le territoire </w:t>
            </w:r>
            <w:r w:rsidR="00286DA0">
              <w:t xml:space="preserve">de la </w:t>
            </w:r>
            <w:r w:rsidR="000C5262">
              <w:t>Somme</w:t>
            </w:r>
            <w:r w:rsidR="00286DA0">
              <w:t xml:space="preserve"> et </w:t>
            </w:r>
            <w:r w:rsidR="00AC1E8D">
              <w:t xml:space="preserve">sur une partie </w:t>
            </w:r>
            <w:r w:rsidR="00286DA0">
              <w:t>de l’Aisne.</w:t>
            </w:r>
            <w:r>
              <w:t xml:space="preserve"> </w:t>
            </w:r>
          </w:p>
          <w:p w14:paraId="073B4C85" w14:textId="14E71864" w:rsidR="00DF5D2D" w:rsidRPr="003A49DD" w:rsidRDefault="00DF5D2D" w:rsidP="00AC1E8D">
            <w:pPr>
              <w:pStyle w:val="Tablebullet1"/>
              <w:numPr>
                <w:ilvl w:val="0"/>
                <w:numId w:val="0"/>
              </w:numPr>
              <w:ind w:left="360"/>
            </w:pPr>
          </w:p>
        </w:tc>
      </w:tr>
    </w:tbl>
    <w:p w14:paraId="1627131E" w14:textId="176E3CB1" w:rsidR="00C43C1D" w:rsidRDefault="003D08DA" w:rsidP="00C43C1D">
      <w:pPr>
        <w:pStyle w:val="Heading3"/>
      </w:pPr>
      <w:bookmarkStart w:id="120" w:name="_Toc93390293"/>
      <w:r>
        <w:t xml:space="preserve">Données structurelles du territoire </w:t>
      </w:r>
      <w:r w:rsidR="0063440D">
        <w:t>et stratégies régionales</w:t>
      </w:r>
      <w:bookmarkEnd w:id="120"/>
    </w:p>
    <w:p w14:paraId="2BDF6FF4" w14:textId="77777777" w:rsidR="00AB4A30" w:rsidRPr="00A45EB0" w:rsidRDefault="00AB4A30" w:rsidP="00AB4A30">
      <w:pPr>
        <w:pStyle w:val="BodyText"/>
      </w:pPr>
      <w:r>
        <w:t xml:space="preserve">En Hauts-de-France, la production de logements constitue le premier vecteur d’artificialisation des espaces agricoles, naturels et forestiers, bien avant l’activité économique et commerciale ou les infrastructures : plus de 50 % des 15 000 ha </w:t>
      </w:r>
      <w:r w:rsidRPr="00A45EB0">
        <w:t>artificialisés en région entre 2009 et 2017 l’ont été pour le logement (8000 ha)</w:t>
      </w:r>
      <w:r w:rsidRPr="00A45EB0">
        <w:rPr>
          <w:rStyle w:val="FootnoteReference"/>
        </w:rPr>
        <w:footnoteReference w:id="112"/>
      </w:r>
      <w:r w:rsidRPr="00A45EB0">
        <w:t xml:space="preserve">. L’objectif national de zéro artificialisation nette a été transposés dans le SRADDET (objectif 24 : Réduire la consommation des surfaces agricoles, naturelles et forestières ; objectif 25 : privilégier le renouvellement urbain à l’extension urbaine). </w:t>
      </w:r>
      <w:r w:rsidRPr="00A20FA4">
        <w:rPr>
          <w:b/>
          <w:bCs/>
        </w:rPr>
        <w:t>A notre connaissance il n’existe pas à ce jour de recensement régional des friches à réhabiliter.</w:t>
      </w:r>
      <w:r w:rsidRPr="00A45EB0">
        <w:t xml:space="preserve"> </w:t>
      </w:r>
    </w:p>
    <w:p w14:paraId="35D6BF6E" w14:textId="77777777" w:rsidR="00AB4A30" w:rsidRDefault="00AB4A30" w:rsidP="00AB4A30">
      <w:pPr>
        <w:pStyle w:val="BodyText"/>
      </w:pPr>
      <w:r w:rsidRPr="00A45EB0">
        <w:t xml:space="preserve">Les bases de données du Ministère montrent que la Région Hauts-de-France compte plus de </w:t>
      </w:r>
      <w:r w:rsidRPr="00A20FA4">
        <w:rPr>
          <w:b/>
          <w:bCs/>
        </w:rPr>
        <w:t>28 000 anciens sites industriels et activités de service, de taille variable, dont 44% dans le département du Nord,</w:t>
      </w:r>
      <w:r w:rsidRPr="00A45EB0">
        <w:t xml:space="preserve"> le reste étant équitablement réparti</w:t>
      </w:r>
      <w:r w:rsidRPr="00C63921">
        <w:t xml:space="preserve"> entre les quatre autres départements. Parmi ces sites, ceux dont le niveau de pollution réel ou supposé impose une action des pouvoirs publics représentent 13,3% des sites et sols pollués de la France métropolitaine et outre-mer</w:t>
      </w:r>
      <w:r>
        <w:t xml:space="preserve">. </w:t>
      </w:r>
    </w:p>
    <w:p w14:paraId="0A7AA5FF" w14:textId="00B03E9C" w:rsidR="00AB4A30" w:rsidRDefault="00AB4A30" w:rsidP="00AB4A30">
      <w:pPr>
        <w:pStyle w:val="BodyText"/>
      </w:pPr>
      <w:r>
        <w:t xml:space="preserve">L’outil </w:t>
      </w:r>
      <w:proofErr w:type="spellStart"/>
      <w:r>
        <w:t>Cartofriches</w:t>
      </w:r>
      <w:proofErr w:type="spellEnd"/>
      <w:r>
        <w:t xml:space="preserve"> développé par le CEREMA en version béta</w:t>
      </w:r>
      <w:r>
        <w:rPr>
          <w:rStyle w:val="FootnoteReference"/>
        </w:rPr>
        <w:footnoteReference w:id="113"/>
      </w:r>
      <w:r>
        <w:t xml:space="preserve"> recense </w:t>
      </w:r>
      <w:r w:rsidR="008E5159">
        <w:t>308</w:t>
      </w:r>
      <w:r w:rsidRPr="00D759C0">
        <w:t xml:space="preserve"> friches</w:t>
      </w:r>
      <w:r>
        <w:t xml:space="preserve"> sur le territoire des Hauts de France</w:t>
      </w:r>
      <w:r w:rsidR="008E5159">
        <w:rPr>
          <w:rStyle w:val="FootnoteReference"/>
        </w:rPr>
        <w:footnoteReference w:id="114"/>
      </w:r>
      <w:r>
        <w:t xml:space="preserve">. Le recensement de l’outil </w:t>
      </w:r>
      <w:proofErr w:type="spellStart"/>
      <w:r>
        <w:t>Cartofriches</w:t>
      </w:r>
      <w:proofErr w:type="spellEnd"/>
      <w:r>
        <w:t xml:space="preserve"> ne semble donc pas à ce jour complet et à vocation à être complétées dans les mois à venir.</w:t>
      </w:r>
    </w:p>
    <w:p w14:paraId="1E3EE29C" w14:textId="77777777" w:rsidR="00AB4A30" w:rsidRPr="001D38E7" w:rsidRDefault="00AB4A30" w:rsidP="00AB4A30">
      <w:pPr>
        <w:pStyle w:val="BodyText"/>
        <w:rPr>
          <w:rStyle w:val="normaltextrun"/>
          <w:rFonts w:ascii="Century Gothic" w:hAnsi="Century Gothic" w:cs="Segoe UI"/>
          <w:szCs w:val="20"/>
        </w:rPr>
      </w:pPr>
      <w:r w:rsidRPr="009D1588">
        <w:rPr>
          <w:rStyle w:val="normaltextrun"/>
          <w:rFonts w:ascii="Century Gothic" w:hAnsi="Century Gothic" w:cs="Segoe UI"/>
          <w:szCs w:val="20"/>
        </w:rPr>
        <w:t>Le nombre de dossiers déposés</w:t>
      </w:r>
      <w:r>
        <w:rPr>
          <w:rStyle w:val="normaltextrun"/>
          <w:rFonts w:ascii="Century Gothic" w:hAnsi="Century Gothic" w:cs="Segoe UI"/>
          <w:szCs w:val="20"/>
        </w:rPr>
        <w:t xml:space="preserve"> à l’appel à projets du Fonds Friches</w:t>
      </w:r>
      <w:r w:rsidRPr="009D1588">
        <w:rPr>
          <w:rStyle w:val="normaltextrun"/>
          <w:rFonts w:ascii="Century Gothic" w:hAnsi="Century Gothic" w:cs="Segoe UI"/>
          <w:szCs w:val="20"/>
        </w:rPr>
        <w:t xml:space="preserve"> permet d’avoir une idée des besoins de financements</w:t>
      </w:r>
      <w:r>
        <w:rPr>
          <w:rStyle w:val="normaltextrun"/>
          <w:rFonts w:ascii="Century Gothic" w:hAnsi="Century Gothic" w:cs="Segoe UI"/>
          <w:szCs w:val="20"/>
        </w:rPr>
        <w:t xml:space="preserve"> sur certains types de projets. En effet, les critères d’éligibilités de l’appel à projets « Recyclage fonciers » sont strictes et ne concernent qu’une seule petite partie des friches du territoire. </w:t>
      </w:r>
      <w:r w:rsidRPr="00A45EB0">
        <w:rPr>
          <w:rStyle w:val="normaltextrun"/>
          <w:rFonts w:ascii="Century Gothic" w:hAnsi="Century Gothic" w:cs="Segoe UI"/>
          <w:szCs w:val="20"/>
        </w:rPr>
        <w:t>Il y a eu 140 dossiers déposés pour les Hauts-de-France avec un montant sollicité de 185M€. </w:t>
      </w:r>
    </w:p>
    <w:p w14:paraId="6D882C46" w14:textId="77777777" w:rsidR="00AB4A30" w:rsidRPr="00D1751F" w:rsidRDefault="00AB4A30" w:rsidP="00AB4A30">
      <w:pPr>
        <w:pStyle w:val="BodyText"/>
        <w:rPr>
          <w:b/>
        </w:rPr>
      </w:pPr>
    </w:p>
    <w:p w14:paraId="1C175CB6" w14:textId="77777777" w:rsidR="00AB4A30" w:rsidRDefault="00AB4A30" w:rsidP="00AB4A30">
      <w:pPr>
        <w:pStyle w:val="BodyText"/>
      </w:pPr>
      <w:r>
        <w:t xml:space="preserve">De plus, l’appel à projets du Plan de Relance finançait des projets matures dont les travaux pouvaient commencer à partir de 2021. Il existe également </w:t>
      </w:r>
      <w:r w:rsidRPr="00413909">
        <w:rPr>
          <w:b/>
          <w:bCs/>
        </w:rPr>
        <w:t>un besoin de financement sur les études de faisabilité, dépollution, et études de marché ainsi qu’un accompagnement spécifique pour le bâti inscrits ou classés</w:t>
      </w:r>
      <w:r>
        <w:t>. La réhabilitation de ce type de bâtiments induit un surcoût important.</w:t>
      </w:r>
    </w:p>
    <w:p w14:paraId="474C7F85" w14:textId="77777777" w:rsidR="00031E44" w:rsidRDefault="009D1588" w:rsidP="0035131F">
      <w:pPr>
        <w:pStyle w:val="BodyText"/>
      </w:pPr>
      <w:r w:rsidRPr="009D1588">
        <w:t>Sur</w:t>
      </w:r>
      <w:r w:rsidR="0035131F" w:rsidRPr="009D1588">
        <w:t xml:space="preserve"> les </w:t>
      </w:r>
      <w:r w:rsidR="00BB7A21" w:rsidRPr="009D1588">
        <w:t>544</w:t>
      </w:r>
      <w:r w:rsidR="0035131F" w:rsidRPr="009D1588">
        <w:t xml:space="preserve"> projets lauréats de l’appel</w:t>
      </w:r>
      <w:r w:rsidR="0035131F">
        <w:t xml:space="preserve"> à projets du Fonds Friches, </w:t>
      </w:r>
      <w:r w:rsidR="00AB4A30">
        <w:t>54</w:t>
      </w:r>
      <w:r w:rsidR="00031E44">
        <w:t xml:space="preserve"> </w:t>
      </w:r>
      <w:r w:rsidR="0035131F">
        <w:t>s</w:t>
      </w:r>
      <w:r w:rsidR="00031E44" w:rsidRPr="00DA4B02">
        <w:t xml:space="preserve">ont </w:t>
      </w:r>
      <w:r w:rsidR="0035131F">
        <w:t>situés en Hauts-</w:t>
      </w:r>
      <w:r w:rsidR="00CC0035">
        <w:t>d</w:t>
      </w:r>
      <w:r w:rsidR="0035131F">
        <w:t xml:space="preserve">e-France </w:t>
      </w:r>
      <w:r w:rsidR="00031E44" w:rsidRPr="00DA4B02">
        <w:t xml:space="preserve">pour une enveloppe totale de </w:t>
      </w:r>
      <w:r w:rsidR="00AB4A30">
        <w:t>35,</w:t>
      </w:r>
      <w:r w:rsidR="00AB4A30" w:rsidRPr="00DA4B02">
        <w:t>5 M€.</w:t>
      </w:r>
      <w:r w:rsidR="00BB7A21">
        <w:t xml:space="preserve"> La carte ci-dessous présente </w:t>
      </w:r>
      <w:r>
        <w:t>les projets lauréats</w:t>
      </w:r>
      <w:r w:rsidR="00BB7A21">
        <w:t xml:space="preserve"> du fonds friches en Hauts-de-France.</w:t>
      </w:r>
    </w:p>
    <w:p w14:paraId="5CC4DD24" w14:textId="4F56EAB1" w:rsidR="00031E44" w:rsidRDefault="00031E44" w:rsidP="00031E44">
      <w:pPr>
        <w:pStyle w:val="Caption"/>
      </w:pPr>
      <w:bookmarkStart w:id="121" w:name="_Toc88842123"/>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rsidR="009F0282">
        <w:rPr>
          <w:noProof/>
        </w:rPr>
        <w:t>10</w:t>
      </w:r>
      <w:r>
        <w:rPr>
          <w:color w:val="2B579A"/>
          <w:shd w:val="clear" w:color="auto" w:fill="E6E6E6"/>
        </w:rPr>
        <w:fldChar w:fldCharType="end"/>
      </w:r>
      <w:r>
        <w:t xml:space="preserve"> Carte des projets lauréats du fonds pour le recyclage des friches en Hauts-de-France</w:t>
      </w:r>
      <w:bookmarkEnd w:id="121"/>
    </w:p>
    <w:p w14:paraId="0764A764" w14:textId="77777777" w:rsidR="00031E44" w:rsidRDefault="00AB4A30" w:rsidP="00E72DF0">
      <w:pPr>
        <w:pStyle w:val="BodyText"/>
      </w:pPr>
      <w:r>
        <w:rPr>
          <w:noProof/>
          <w:color w:val="2B579A"/>
          <w:shd w:val="clear" w:color="auto" w:fill="E6E6E6"/>
          <w:lang w:eastAsia="fr-FR"/>
        </w:rPr>
        <w:drawing>
          <wp:inline distT="0" distB="0" distL="0" distR="0" wp14:anchorId="46F67D77" wp14:editId="79381059">
            <wp:extent cx="6047899" cy="3764604"/>
            <wp:effectExtent l="0" t="0" r="0" b="0"/>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4">
                      <a:extLst>
                        <a:ext uri="{28A0092B-C50C-407E-A947-70E740481C1C}">
                          <a14:useLocalDpi xmlns:a14="http://schemas.microsoft.com/office/drawing/2010/main" val="0"/>
                        </a:ext>
                      </a:extLst>
                    </a:blip>
                    <a:stretch>
                      <a:fillRect/>
                    </a:stretch>
                  </pic:blipFill>
                  <pic:spPr>
                    <a:xfrm>
                      <a:off x="0" y="0"/>
                      <a:ext cx="6052994" cy="3767775"/>
                    </a:xfrm>
                    <a:prstGeom prst="rect">
                      <a:avLst/>
                    </a:prstGeom>
                  </pic:spPr>
                </pic:pic>
              </a:graphicData>
            </a:graphic>
          </wp:inline>
        </w:drawing>
      </w:r>
    </w:p>
    <w:p w14:paraId="3B765DBA" w14:textId="77777777" w:rsidR="00031E44" w:rsidRDefault="00031E44" w:rsidP="00031E44">
      <w:pPr>
        <w:pStyle w:val="Source"/>
      </w:pPr>
      <w:r>
        <w:t>Source : Ministère de la Transition Écologique, les Lauréats du fonds pour le recyclage des friches</w:t>
      </w:r>
    </w:p>
    <w:p w14:paraId="673CE451" w14:textId="401A89CC" w:rsidR="00794753" w:rsidRDefault="0063440D" w:rsidP="00C43C1D">
      <w:pPr>
        <w:pStyle w:val="Heading3"/>
      </w:pPr>
      <w:bookmarkStart w:id="122" w:name="_Toc93390294"/>
      <w:r>
        <w:t>Les besoins de financement du recyclage foncier</w:t>
      </w:r>
      <w:bookmarkEnd w:id="122"/>
      <w:r>
        <w:t xml:space="preserve"> </w:t>
      </w:r>
    </w:p>
    <w:p w14:paraId="6032CF0C" w14:textId="6D5CFC71" w:rsidR="00A74B83" w:rsidRPr="00D759C0" w:rsidRDefault="00A74B83" w:rsidP="00A74B83">
      <w:pPr>
        <w:pStyle w:val="BodyText"/>
      </w:pPr>
      <w:r w:rsidRPr="00D759C0">
        <w:t>Un récent rapport parlementaire sur la réhabilitation des friches industrielles</w:t>
      </w:r>
      <w:r w:rsidR="00F41821">
        <w:rPr>
          <w:rStyle w:val="FootnoteReference"/>
        </w:rPr>
        <w:footnoteReference w:id="115"/>
      </w:r>
      <w:r w:rsidRPr="00D759C0">
        <w:t xml:space="preserve"> estime que le cout de la </w:t>
      </w:r>
      <w:r w:rsidRPr="00F41821">
        <w:rPr>
          <w:b/>
          <w:bCs/>
        </w:rPr>
        <w:t>dépollution de friches dépend de la taille de la friche et se situe en moyenne autour d’1 M€ par hectare</w:t>
      </w:r>
      <w:r w:rsidRPr="00D759C0">
        <w:t>.  Cette estimation a été confirmé par d’autres acteurs</w:t>
      </w:r>
      <w:r w:rsidR="00F41821">
        <w:rPr>
          <w:rStyle w:val="FootnoteReference"/>
        </w:rPr>
        <w:footnoteReference w:id="116"/>
      </w:r>
      <w:r w:rsidRPr="00D759C0">
        <w:t xml:space="preserve">. </w:t>
      </w:r>
    </w:p>
    <w:p w14:paraId="67888D1F" w14:textId="2A43AB1B" w:rsidR="00FE6B08" w:rsidRPr="00D759C0" w:rsidRDefault="00FE6B08" w:rsidP="00810C3B">
      <w:pPr>
        <w:pStyle w:val="CommentText"/>
      </w:pPr>
      <w:r>
        <w:t xml:space="preserve">Au regard des indicateurs de l’ANCT (RCO 038), il est indiqué une valeur moyenne de coût de réhabilitation de l’ordre de 0,5 M€ à l’échelle nationale avec toutefois la </w:t>
      </w:r>
      <w:r w:rsidRPr="00664934">
        <w:t>recommand</w:t>
      </w:r>
      <w:r>
        <w:t>ation que chaque Région</w:t>
      </w:r>
      <w:r w:rsidRPr="00664934">
        <w:t xml:space="preserve"> calcule ses propres coûts unitaires régiona</w:t>
      </w:r>
      <w:r>
        <w:t>ux au regard des résultats 2014-</w:t>
      </w:r>
      <w:r w:rsidRPr="00664934">
        <w:t>2020</w:t>
      </w:r>
      <w:r>
        <w:t>.Le coût de réhabilitation calculé pour les Hauts de France est de 1 119 664 € / hectare</w:t>
      </w:r>
      <w:r w:rsidR="00810C3B">
        <w:t xml:space="preserve"> pour l’ensemble de l’opération de réhabilitation. </w:t>
      </w:r>
    </w:p>
    <w:p w14:paraId="183DE2B8" w14:textId="77777777" w:rsidR="00A74B83" w:rsidRPr="00D759C0" w:rsidRDefault="00A74B83" w:rsidP="00A74B83">
      <w:pPr>
        <w:pStyle w:val="BodyText"/>
      </w:pPr>
    </w:p>
    <w:p w14:paraId="192F5AC7" w14:textId="135E4F32" w:rsidR="00A74B83" w:rsidRPr="00D759C0" w:rsidRDefault="00A74B83" w:rsidP="00A74B83">
      <w:pPr>
        <w:pStyle w:val="BodyText"/>
      </w:pPr>
      <w:r>
        <w:t>Certains acteurs de l’écosystème</w:t>
      </w:r>
      <w:r w:rsidR="00F41821">
        <w:rPr>
          <w:rStyle w:val="FootnoteReference"/>
        </w:rPr>
        <w:footnoteReference w:id="117"/>
      </w:r>
      <w:r>
        <w:t xml:space="preserve"> insistent sur le </w:t>
      </w:r>
      <w:r w:rsidRPr="00D759C0">
        <w:t xml:space="preserve">caractère structurellement déficitaire des opérations de réhabilitations des friches dans certains secteurs dues aux </w:t>
      </w:r>
      <w:r w:rsidRPr="005776B8">
        <w:rPr>
          <w:b/>
          <w:bCs/>
        </w:rPr>
        <w:t>coûts de dépollution très élevée.</w:t>
      </w:r>
      <w:r>
        <w:t xml:space="preserve"> Même si le cout de l’acquisition du foncier est faible, les couts de dépollution, démolition et l’éventuel désamiantage sont très élevés. C’est le cas par exemple de l’ancienne usine de la société </w:t>
      </w:r>
      <w:r w:rsidRPr="0090092D">
        <w:t>Caterpillar</w:t>
      </w:r>
      <w:r>
        <w:t xml:space="preserve"> par situé à proximité de la gare de </w:t>
      </w:r>
      <w:r w:rsidRPr="0090092D">
        <w:t xml:space="preserve">Rantigny </w:t>
      </w:r>
      <w:r>
        <w:t>–</w:t>
      </w:r>
      <w:r w:rsidRPr="0090092D">
        <w:t xml:space="preserve"> Liancourt</w:t>
      </w:r>
      <w:r>
        <w:t xml:space="preserve"> qui a été acquise par l’EPFLO (Établissement Public Foncier Local de l’Oise) pour 1€ mais pour lequel les couts de dépollution s’élèvent à 1,2 M€.  </w:t>
      </w:r>
      <w:r w:rsidRPr="00D759C0">
        <w:t>Les besoins en subventions selon les Établissements Public Foncier sont de l’ordre d’1 M€ par friche</w:t>
      </w:r>
      <w:r>
        <w:t xml:space="preserve">. </w:t>
      </w:r>
      <w:r w:rsidRPr="00D759C0">
        <w:t>Pour les bailleurs sociaux, les besoins sont importants en subventions. Les avances de trésorerie apparaissent comme moins nécessaires car les comptes de résultat des bailleurs leur permettent de ne pas avoir besoin de garantie de prêt.</w:t>
      </w:r>
    </w:p>
    <w:p w14:paraId="48BA4508" w14:textId="77777777" w:rsidR="00A74B83" w:rsidRDefault="00A74B83" w:rsidP="00A74B83">
      <w:pPr>
        <w:pStyle w:val="BodyText"/>
      </w:pPr>
      <w:r w:rsidRPr="00D759C0">
        <w:t xml:space="preserve">Sur certains sites industriels il existe un </w:t>
      </w:r>
      <w:r w:rsidRPr="00E03DE9">
        <w:rPr>
          <w:b/>
          <w:bCs/>
        </w:rPr>
        <w:t>blocage du fait de l’application du principe du pollueur-payeur</w:t>
      </w:r>
      <w:r w:rsidRPr="00D759C0">
        <w:t>, qui implique la prise en charge des couts de dépollution par l’industriel responsable de la pollution. Dans certains cas, les propriétaires préfèrent ne pas céder les terrains à l’EPF du fait des coûts importants de dépollution qui devraient supporter, rendant donc toute action impossible sur certains sites. Dans le cas de propriétaire inconnu, disparu ou insolvable, le fonds alimenté par la taxe sur les déchets industriels spéciaux, géré par l’ADEME, prend en charge le traitement du site, à une échéance dépendant du degré d’urgence et du rang sur la liste d’attente</w:t>
      </w:r>
      <w:r w:rsidRPr="004570C2">
        <w:t>.</w:t>
      </w:r>
    </w:p>
    <w:p w14:paraId="2CF71B59" w14:textId="77777777" w:rsidR="00A74B83" w:rsidRPr="00522753" w:rsidRDefault="00A74B83" w:rsidP="00A74B83">
      <w:pPr>
        <w:pStyle w:val="BodyText"/>
      </w:pPr>
      <w:r>
        <w:t xml:space="preserve">L’application de la </w:t>
      </w:r>
      <w:r w:rsidRPr="00E03DE9">
        <w:rPr>
          <w:b/>
          <w:bCs/>
        </w:rPr>
        <w:t>procédure du tiers-demandeur</w:t>
      </w:r>
      <w:r>
        <w:t xml:space="preserve"> instauré dans la loi ALUR du 24 mars 2014 apporte une réponse intéressante au traitement des sites pollués. Elle permet au préfet </w:t>
      </w:r>
      <w:r w:rsidRPr="00F17F0B">
        <w:t>e prescrire à un tiers qui en fait la demande les obligations de réhabilitation d’une installation classée pour la protection de l’environnement, en substitution du dernier exploitant.</w:t>
      </w:r>
      <w:r>
        <w:t xml:space="preserve"> Elle est </w:t>
      </w:r>
      <w:r w:rsidRPr="00E03DE9">
        <w:rPr>
          <w:b/>
          <w:bCs/>
        </w:rPr>
        <w:t xml:space="preserve">mobilisée par les fonds d’investissements comme </w:t>
      </w:r>
      <w:proofErr w:type="spellStart"/>
      <w:r w:rsidRPr="00E03DE9">
        <w:rPr>
          <w:b/>
          <w:bCs/>
        </w:rPr>
        <w:t>Brownfields</w:t>
      </w:r>
      <w:proofErr w:type="spellEnd"/>
      <w:r w:rsidRPr="00E03DE9">
        <w:rPr>
          <w:b/>
          <w:bCs/>
        </w:rPr>
        <w:t>,</w:t>
      </w:r>
      <w:r>
        <w:t xml:space="preserve"> mais la procédure est complexe à mettre en place car les banques demandent des garanties financières importantes. </w:t>
      </w:r>
    </w:p>
    <w:p w14:paraId="1EE0FE33" w14:textId="77777777" w:rsidR="00A74B83" w:rsidRDefault="00A74B83" w:rsidP="00A74B83">
      <w:pPr>
        <w:pStyle w:val="BodyText"/>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 xml:space="preserve">Pour les promoteurs privés, les éventuels coûts de dépollution complémentaire ne semble pas être un frein au projet de réhabilitation. Les principaux coûts de dépollution ont déjà été pris en charge par l’aménageur. Les éléments de programmation (équipements publics) et la localisation de la friche sont des éléments plus importants pour les promoteurs et peuvent bloquer la sortie de certains projets. </w:t>
      </w:r>
    </w:p>
    <w:p w14:paraId="3884AE57" w14:textId="57298AAA" w:rsidR="00A74B83" w:rsidRDefault="00A74B83" w:rsidP="00A74B83">
      <w:pPr>
        <w:pStyle w:val="BodyText"/>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 xml:space="preserve">Pour pallier l’incertitude liée aux pollutions, la Région et l’ADEME avaient étudier en 2016 la possibilité de créer un </w:t>
      </w:r>
      <w:r w:rsidRPr="00CC1EBA">
        <w:rPr>
          <w:rFonts w:ascii="Century Gothic" w:eastAsia="Times New Roman" w:hAnsi="Century Gothic" w:cs="Times New Roman"/>
          <w:b/>
          <w:szCs w:val="20"/>
          <w:lang w:eastAsia="fr-FR"/>
        </w:rPr>
        <w:t>fonds de garantie dans le cadre d’une Fiducie dont l’objectif est de rassurer les porteurs de projets en apportant une garantie en cas de nouvelle pollution découverte.</w:t>
      </w:r>
      <w:r>
        <w:rPr>
          <w:rFonts w:ascii="Century Gothic" w:eastAsia="Times New Roman" w:hAnsi="Century Gothic" w:cs="Times New Roman"/>
          <w:szCs w:val="20"/>
          <w:lang w:eastAsia="fr-FR"/>
        </w:rPr>
        <w:t xml:space="preserve"> Ce fonds n’avait finalement pas été mis en place.</w:t>
      </w:r>
      <w:r w:rsidR="00F05900">
        <w:rPr>
          <w:rFonts w:ascii="Century Gothic" w:eastAsia="Times New Roman" w:hAnsi="Century Gothic" w:cs="Times New Roman"/>
          <w:szCs w:val="20"/>
          <w:lang w:eastAsia="fr-FR"/>
        </w:rPr>
        <w:t xml:space="preserve"> Un tel mécanisme pourrait être intéressant pour les projets sur des sols très pollués pour inciter les acteurs privés. </w:t>
      </w:r>
    </w:p>
    <w:p w14:paraId="552101D7" w14:textId="1960D6EB" w:rsidR="00A74B83" w:rsidRDefault="00901E27" w:rsidP="00A74B83">
      <w:pPr>
        <w:pStyle w:val="BodyText"/>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Les</w:t>
      </w:r>
      <w:r w:rsidR="00A74B83">
        <w:rPr>
          <w:rFonts w:ascii="Century Gothic" w:eastAsia="Times New Roman" w:hAnsi="Century Gothic" w:cs="Times New Roman"/>
          <w:szCs w:val="20"/>
          <w:lang w:eastAsia="fr-FR"/>
        </w:rPr>
        <w:t xml:space="preserve"> opérations réalisées en zone tendue parviennent à être rentable si le prix de sortie est suffisamment élevé selon les fonds d’investissement (Gingko). Cependant, certains projets doivent répondre à des demandes de la collectivité territoriale notamment concernant le pourcentage de logements sociaux. C’est ce critère de logements sociaux qui a nécessité à Gingko (dans une autre région) de demander des subventions pour parvenir à l’équilibre sur une opération qui était auparavant autoporteuse et ne nécessitait pas de subventions. </w:t>
      </w:r>
    </w:p>
    <w:p w14:paraId="68E51E90" w14:textId="67374886" w:rsidR="001D2EA8" w:rsidRDefault="00E23B33" w:rsidP="00A74B83">
      <w:pPr>
        <w:pStyle w:val="BodyText"/>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 xml:space="preserve">Des </w:t>
      </w:r>
      <w:proofErr w:type="spellStart"/>
      <w:r>
        <w:rPr>
          <w:rFonts w:ascii="Century Gothic" w:eastAsia="Times New Roman" w:hAnsi="Century Gothic" w:cs="Times New Roman"/>
          <w:szCs w:val="20"/>
          <w:lang w:eastAsia="fr-FR"/>
        </w:rPr>
        <w:t>besois</w:t>
      </w:r>
      <w:proofErr w:type="spellEnd"/>
      <w:r>
        <w:rPr>
          <w:rFonts w:ascii="Century Gothic" w:eastAsia="Times New Roman" w:hAnsi="Century Gothic" w:cs="Times New Roman"/>
          <w:szCs w:val="20"/>
          <w:lang w:eastAsia="fr-FR"/>
        </w:rPr>
        <w:t xml:space="preserve"> dans le portage de projets dans leur intégralité ont été identifié, notamment du fait d’une difficulté d’identifier des opérateurs locaux en capacité de porter des projets complexes</w:t>
      </w:r>
      <w:r w:rsidR="005F6BB4">
        <w:rPr>
          <w:rFonts w:ascii="Century Gothic" w:eastAsia="Times New Roman" w:hAnsi="Century Gothic" w:cs="Times New Roman"/>
          <w:szCs w:val="20"/>
          <w:lang w:eastAsia="fr-FR"/>
        </w:rPr>
        <w:t xml:space="preserve"> et de la difficulté d’associer des investisseurs sur les modèles à faible rentabilité économique</w:t>
      </w:r>
      <w:r w:rsidR="003242F9">
        <w:rPr>
          <w:rStyle w:val="FootnoteReference"/>
          <w:rFonts w:ascii="Century Gothic" w:eastAsia="Times New Roman" w:hAnsi="Century Gothic" w:cs="Times New Roman"/>
          <w:szCs w:val="20"/>
          <w:lang w:eastAsia="fr-FR"/>
        </w:rPr>
        <w:footnoteReference w:id="118"/>
      </w:r>
      <w:r w:rsidR="005F6BB4">
        <w:rPr>
          <w:rFonts w:ascii="Century Gothic" w:eastAsia="Times New Roman" w:hAnsi="Century Gothic" w:cs="Times New Roman"/>
          <w:szCs w:val="20"/>
          <w:lang w:eastAsia="fr-FR"/>
        </w:rPr>
        <w:t xml:space="preserve">. </w:t>
      </w:r>
    </w:p>
    <w:p w14:paraId="6E5084D2" w14:textId="77777777" w:rsidR="00A74B83" w:rsidRDefault="00A74B83" w:rsidP="00A74B83">
      <w:pPr>
        <w:pStyle w:val="BodyText"/>
        <w:rPr>
          <w:rFonts w:ascii="Century Gothic" w:eastAsia="Times New Roman" w:hAnsi="Century Gothic" w:cs="Times New Roman"/>
          <w:szCs w:val="20"/>
          <w:lang w:eastAsia="fr-FR"/>
        </w:rPr>
      </w:pPr>
    </w:p>
    <w:p w14:paraId="220465D3" w14:textId="3BFAA322" w:rsidR="00A74B83" w:rsidRDefault="00A74B83" w:rsidP="00A74B83">
      <w:pPr>
        <w:pStyle w:val="BodyText"/>
        <w:rPr>
          <w:rFonts w:ascii="Century Gothic" w:eastAsia="Times New Roman" w:hAnsi="Century Gothic" w:cs="Times New Roman"/>
          <w:szCs w:val="20"/>
          <w:lang w:eastAsia="fr-FR"/>
        </w:rPr>
      </w:pPr>
      <w:r w:rsidRPr="00D759C0">
        <w:rPr>
          <w:rFonts w:ascii="Century Gothic" w:eastAsia="Times New Roman" w:hAnsi="Century Gothic" w:cs="Times New Roman"/>
          <w:szCs w:val="20"/>
          <w:lang w:eastAsia="fr-FR"/>
        </w:rPr>
        <w:t xml:space="preserve">En dehors des subventions, certains acteurs ont fait part de leur intérêt pour des instruments financiers innovants comme la </w:t>
      </w:r>
      <w:r w:rsidRPr="00D759C0">
        <w:rPr>
          <w:rFonts w:ascii="Century Gothic" w:eastAsia="Times New Roman" w:hAnsi="Century Gothic" w:cs="Times New Roman"/>
          <w:b/>
          <w:bCs/>
          <w:szCs w:val="20"/>
          <w:lang w:eastAsia="fr-FR"/>
        </w:rPr>
        <w:t>promesse de prise à bail.</w:t>
      </w:r>
      <w:r>
        <w:rPr>
          <w:rFonts w:ascii="Century Gothic" w:eastAsia="Times New Roman" w:hAnsi="Century Gothic" w:cs="Times New Roman"/>
          <w:szCs w:val="20"/>
          <w:lang w:eastAsia="fr-FR"/>
        </w:rPr>
        <w:t xml:space="preserve"> </w:t>
      </w:r>
      <w:r w:rsidRPr="00D759C0">
        <w:rPr>
          <w:rFonts w:ascii="Century Gothic" w:eastAsia="Times New Roman" w:hAnsi="Century Gothic" w:cs="Times New Roman"/>
          <w:szCs w:val="20"/>
          <w:lang w:eastAsia="fr-FR"/>
        </w:rPr>
        <w:t>La SEM Ville Renouvelé</w:t>
      </w:r>
      <w:r w:rsidR="00A174A7">
        <w:rPr>
          <w:rFonts w:ascii="Century Gothic" w:eastAsia="Times New Roman" w:hAnsi="Century Gothic" w:cs="Times New Roman"/>
          <w:szCs w:val="20"/>
          <w:lang w:eastAsia="fr-FR"/>
        </w:rPr>
        <w:t>e</w:t>
      </w:r>
      <w:r w:rsidRPr="00D759C0">
        <w:rPr>
          <w:rFonts w:ascii="Century Gothic" w:eastAsia="Times New Roman" w:hAnsi="Century Gothic" w:cs="Times New Roman"/>
          <w:szCs w:val="20"/>
          <w:lang w:eastAsia="fr-FR"/>
        </w:rPr>
        <w:t xml:space="preserve"> a expérimenté cet instrument avec la MEL à Roubaix pour le projet de Plaine Image. Grâce à ce mécanisme, la MEL garantit 50 % d’occupation à l’opérateur aménageur ce qui lui permet d’attirer plus facilement des investisseurs</w:t>
      </w:r>
      <w:r>
        <w:rPr>
          <w:rFonts w:ascii="Century Gothic" w:eastAsia="Times New Roman" w:hAnsi="Century Gothic" w:cs="Times New Roman"/>
          <w:szCs w:val="20"/>
          <w:lang w:eastAsia="fr-FR"/>
        </w:rPr>
        <w:t xml:space="preserve">. Par exemple pour le projet de Plaine Image, le coût total du projet était de 5,3 M€, la MEL s’est engagée à louer 50% des surfaces valorisés à travers la promesse de prise de bail. </w:t>
      </w:r>
      <w:r w:rsidRPr="004D1F58">
        <w:rPr>
          <w:rFonts w:ascii="Century Gothic" w:eastAsia="Times New Roman" w:hAnsi="Century Gothic" w:cs="Times New Roman"/>
          <w:szCs w:val="20"/>
          <w:lang w:eastAsia="fr-FR"/>
        </w:rPr>
        <w:t xml:space="preserve">Ces promesses </w:t>
      </w:r>
      <w:r>
        <w:rPr>
          <w:rFonts w:ascii="Century Gothic" w:eastAsia="Times New Roman" w:hAnsi="Century Gothic" w:cs="Times New Roman"/>
          <w:szCs w:val="20"/>
          <w:lang w:eastAsia="fr-FR"/>
        </w:rPr>
        <w:t>comprennent</w:t>
      </w:r>
      <w:r w:rsidRPr="004D1F58">
        <w:rPr>
          <w:rFonts w:ascii="Century Gothic" w:eastAsia="Times New Roman" w:hAnsi="Century Gothic" w:cs="Times New Roman"/>
          <w:szCs w:val="20"/>
          <w:lang w:eastAsia="fr-FR"/>
        </w:rPr>
        <w:t xml:space="preserve"> une clause de désengagement progressive permettant à des entreprises de se substituer à l'établissement dans son engagement à hauteur des surfaces qu'elles auront louées.</w:t>
      </w:r>
      <w:r>
        <w:rPr>
          <w:rFonts w:ascii="Century Gothic" w:eastAsia="Times New Roman" w:hAnsi="Century Gothic" w:cs="Times New Roman"/>
          <w:szCs w:val="20"/>
          <w:lang w:eastAsia="fr-FR"/>
        </w:rPr>
        <w:t xml:space="preserve"> </w:t>
      </w:r>
      <w:r w:rsidRPr="004D1F58">
        <w:rPr>
          <w:rFonts w:ascii="Century Gothic" w:eastAsia="Times New Roman" w:hAnsi="Century Gothic" w:cs="Times New Roman"/>
          <w:szCs w:val="20"/>
          <w:lang w:eastAsia="fr-FR"/>
        </w:rPr>
        <w:t xml:space="preserve">Par conséquent, </w:t>
      </w:r>
      <w:r w:rsidRPr="00D759C0">
        <w:rPr>
          <w:rFonts w:ascii="Century Gothic" w:eastAsia="Times New Roman" w:hAnsi="Century Gothic" w:cs="Times New Roman"/>
          <w:szCs w:val="20"/>
          <w:lang w:eastAsia="fr-FR"/>
        </w:rPr>
        <w:t>entre le lancement de l'opération et la livraison du bâtiment, les surfaces commercialisées par l'investisseur contribueront à diminuer progressivement l'engagement pris par la MEL. A la livraison des bâtiments, si la surface a trouvé preneur, la MEL ne deviendra pas locataire de l'opération, les entreprises venant se substituer aux engagements pris par la Métropole. Dans le cas inverse, si la surface, objet de la promesse, n'est que partiellement commercialisée, l'engagement de la Métropole prendra effet pour la partie non commercialisée. La Métropole deviendra donc locataire, mais pourra se désengager au fur et à mesure par voie de cession ou de résiliation partielle du bail en fonction des entreprises qui décideraient de s'y implanter. En complément de la commercialisation engagée sur l'ensemble de l'opération, la Métropole pourra commercialiser elle-même les surfaces sur lesquelles elle est engagée. Ce mécanisme permet de rassurer les investisseurs sur la rentabilité et de l’opération</w:t>
      </w:r>
      <w:r>
        <w:rPr>
          <w:rFonts w:ascii="Century Gothic" w:eastAsia="Times New Roman" w:hAnsi="Century Gothic" w:cs="Times New Roman"/>
          <w:szCs w:val="20"/>
          <w:lang w:eastAsia="fr-FR"/>
        </w:rPr>
        <w:t xml:space="preserve"> et de diminuer le risque pour l’aménageur. </w:t>
      </w:r>
    </w:p>
    <w:p w14:paraId="1DC31B1C" w14:textId="26297A19" w:rsidR="00A74B83" w:rsidRDefault="00A74B83" w:rsidP="00A74B83">
      <w:pPr>
        <w:pStyle w:val="BodyText"/>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 xml:space="preserve">Les promoteurs pourraient être intéressés par un </w:t>
      </w:r>
      <w:r w:rsidRPr="00901E27">
        <w:rPr>
          <w:rFonts w:ascii="Century Gothic" w:eastAsia="Times New Roman" w:hAnsi="Century Gothic" w:cs="Times New Roman"/>
          <w:b/>
          <w:bCs/>
          <w:szCs w:val="20"/>
          <w:lang w:eastAsia="fr-FR"/>
        </w:rPr>
        <w:t>mécanisme de garanti sur les loyers</w:t>
      </w:r>
      <w:r>
        <w:rPr>
          <w:rFonts w:ascii="Century Gothic" w:eastAsia="Times New Roman" w:hAnsi="Century Gothic" w:cs="Times New Roman"/>
          <w:szCs w:val="20"/>
          <w:lang w:eastAsia="fr-FR"/>
        </w:rPr>
        <w:t xml:space="preserve"> dans la même logique que la promesse de prise à bail qui permettrait d’assurer aux investisseurs que les bâtiments seraient occupés. Ils sont également intéressés par une aide sur les mesures d’accompagnement aux utilisateurs. Pour certains projets notamment d’immobilier tertiaire, les promoteurs proposent des mesures d’accompagnements aux futurs utilisateurs en proposant par exemple 6 mois ou 1 an de gratuité en échange de la signature d’un bail sur 6 ans. Une intervention publique sur ces mesures d’accompagnement pourrait être intéressante pour les promoteurs, qui dans certains cas n’arrive pas à trouver la viabilité économique </w:t>
      </w:r>
      <w:r w:rsidR="007152DF">
        <w:rPr>
          <w:rFonts w:ascii="Century Gothic" w:eastAsia="Times New Roman" w:hAnsi="Century Gothic" w:cs="Times New Roman"/>
          <w:szCs w:val="20"/>
          <w:lang w:eastAsia="fr-FR"/>
        </w:rPr>
        <w:t xml:space="preserve">du projet d’aménagement </w:t>
      </w:r>
      <w:r>
        <w:rPr>
          <w:rFonts w:ascii="Century Gothic" w:eastAsia="Times New Roman" w:hAnsi="Century Gothic" w:cs="Times New Roman"/>
          <w:szCs w:val="20"/>
          <w:lang w:eastAsia="fr-FR"/>
        </w:rPr>
        <w:t xml:space="preserve">du fait de ces mesures d’accompagnement. </w:t>
      </w:r>
    </w:p>
    <w:p w14:paraId="7FE4BBCB" w14:textId="4BB5D4BB" w:rsidR="00A74B83" w:rsidRDefault="00A74B83" w:rsidP="00A74B83">
      <w:pPr>
        <w:pStyle w:val="BodyText"/>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Certains acteurs</w:t>
      </w:r>
      <w:r>
        <w:rPr>
          <w:rStyle w:val="FootnoteReference"/>
          <w:rFonts w:ascii="Century Gothic" w:eastAsia="Times New Roman" w:hAnsi="Century Gothic" w:cs="Times New Roman"/>
          <w:szCs w:val="20"/>
          <w:lang w:eastAsia="fr-FR"/>
        </w:rPr>
        <w:footnoteReference w:id="119"/>
      </w:r>
      <w:r>
        <w:rPr>
          <w:rFonts w:ascii="Century Gothic" w:eastAsia="Times New Roman" w:hAnsi="Century Gothic" w:cs="Times New Roman"/>
          <w:szCs w:val="20"/>
          <w:lang w:eastAsia="fr-FR"/>
        </w:rPr>
        <w:t xml:space="preserve"> ont rappelé </w:t>
      </w:r>
      <w:r w:rsidRPr="007152DF">
        <w:rPr>
          <w:rFonts w:ascii="Century Gothic" w:eastAsia="Times New Roman" w:hAnsi="Century Gothic" w:cs="Times New Roman"/>
          <w:b/>
          <w:bCs/>
          <w:szCs w:val="20"/>
          <w:lang w:eastAsia="fr-FR"/>
        </w:rPr>
        <w:t>l’importance du portage financier</w:t>
      </w:r>
      <w:r>
        <w:rPr>
          <w:rFonts w:ascii="Century Gothic" w:eastAsia="Times New Roman" w:hAnsi="Century Gothic" w:cs="Times New Roman"/>
          <w:szCs w:val="20"/>
          <w:lang w:eastAsia="fr-FR"/>
        </w:rPr>
        <w:t xml:space="preserve"> pour permettre la mise en œuvre de projets de réhabilitation dans les zones moins attractives. La création d’une foncière en plus de l’EPF a été évoqué comme un outil permettant un portage foncier sur le plus long terme tout en garantissant un usage transitoire.  </w:t>
      </w:r>
    </w:p>
    <w:p w14:paraId="05055422" w14:textId="19AEDD2E" w:rsidR="00A74B83" w:rsidRPr="00D759C0" w:rsidRDefault="00A74B83" w:rsidP="00A74B83">
      <w:pPr>
        <w:pStyle w:val="BodyText"/>
      </w:pPr>
      <w:r w:rsidRPr="00D759C0">
        <w:rPr>
          <w:b/>
          <w:bCs/>
        </w:rPr>
        <w:t>Les difficultés de financement sont renforcées pour les friches de petites taille (moins d’un hectare</w:t>
      </w:r>
      <w:r w:rsidR="007152DF">
        <w:rPr>
          <w:b/>
          <w:bCs/>
        </w:rPr>
        <w:t>)</w:t>
      </w:r>
      <w:r w:rsidRPr="00D759C0">
        <w:rPr>
          <w:b/>
          <w:bCs/>
        </w:rPr>
        <w:t xml:space="preserve"> en zone</w:t>
      </w:r>
      <w:r w:rsidRPr="00D759C0">
        <w:t xml:space="preserve"> détendue. Sur les zones urbaines denses, les développeurs immobiliers parviennent dans certains cas à trouver un équilibre financier du fait du prix du foncier à la sortie de l’opération mais ce n’est pas le cas des projets en périphérie de bourgs ou en zone péri-urbaine détendue. Les bailleurs sociaux ont également fait part de leurs difficultés à se positionner sur des friches très étendues (plus de 10 ha) en zone détendue où il est compliqué pour eux d’investir sans partenaire. </w:t>
      </w:r>
    </w:p>
    <w:p w14:paraId="387959B8" w14:textId="77777777" w:rsidR="0032371B" w:rsidRDefault="0032371B" w:rsidP="00E72DF0">
      <w:pPr>
        <w:pStyle w:val="BodyText"/>
      </w:pPr>
      <w:r w:rsidRPr="00D759C0">
        <w:t xml:space="preserve">En zone tendue, les projets </w:t>
      </w:r>
      <w:r w:rsidR="00007D48" w:rsidRPr="00D759C0">
        <w:t xml:space="preserve">qui ont </w:t>
      </w:r>
      <w:r w:rsidR="00007D48" w:rsidRPr="00D759C0">
        <w:rPr>
          <w:b/>
          <w:bCs/>
        </w:rPr>
        <w:t xml:space="preserve">vocation à </w:t>
      </w:r>
      <w:r w:rsidR="00A74B83" w:rsidRPr="00D759C0">
        <w:rPr>
          <w:b/>
          <w:bCs/>
        </w:rPr>
        <w:t xml:space="preserve">être renaturer ou à proposer des programmes urbains peu denses sont </w:t>
      </w:r>
      <w:r w:rsidR="00A74B83" w:rsidRPr="00D759C0">
        <w:t xml:space="preserve"> également difficiles à financer.</w:t>
      </w:r>
      <w:r w:rsidR="00007D48">
        <w:t xml:space="preserve"> Ces projets en zone</w:t>
      </w:r>
      <w:r w:rsidR="001668F9">
        <w:t>s</w:t>
      </w:r>
      <w:r w:rsidR="00007D48">
        <w:t xml:space="preserve"> tendu</w:t>
      </w:r>
      <w:r w:rsidR="001668F9">
        <w:t>s</w:t>
      </w:r>
      <w:r w:rsidR="004F6208">
        <w:t xml:space="preserve"> sont sur des PLU e</w:t>
      </w:r>
      <w:r w:rsidR="001668F9">
        <w:t xml:space="preserve">n zone constructible mais si le choix est fait de </w:t>
      </w:r>
      <w:proofErr w:type="spellStart"/>
      <w:r w:rsidR="001668F9">
        <w:t>re</w:t>
      </w:r>
      <w:r w:rsidR="00CB6575">
        <w:t>-</w:t>
      </w:r>
      <w:r w:rsidR="001668F9">
        <w:t>naturaliser</w:t>
      </w:r>
      <w:proofErr w:type="spellEnd"/>
      <w:r w:rsidR="001668F9">
        <w:t xml:space="preserve"> plutôt que de construire entièrement (souvent à la demande des collectivités) l’équation financière est complexe à trouver car les recettes ne sont pas à la hauteur des dépenses. </w:t>
      </w:r>
    </w:p>
    <w:p w14:paraId="2273B89E" w14:textId="77777777" w:rsidR="00997127" w:rsidRDefault="00774912" w:rsidP="00774912">
      <w:pPr>
        <w:pStyle w:val="BodyText"/>
        <w:rPr>
          <w:rFonts w:ascii="Century Gothic" w:eastAsia="Times New Roman" w:hAnsi="Century Gothic" w:cs="Times New Roman"/>
          <w:szCs w:val="20"/>
          <w:lang w:eastAsia="fr-FR"/>
        </w:rPr>
      </w:pPr>
      <w:r>
        <w:t xml:space="preserve">Les </w:t>
      </w:r>
      <w:r w:rsidRPr="00997127">
        <w:rPr>
          <w:b/>
          <w:bCs/>
        </w:rPr>
        <w:t xml:space="preserve">acteurs publics ont fait part de leur difficulté et de leur manque </w:t>
      </w:r>
      <w:r w:rsidR="00C12394" w:rsidRPr="00997127">
        <w:rPr>
          <w:rFonts w:ascii="Century Gothic" w:eastAsia="Times New Roman" w:hAnsi="Century Gothic" w:cs="Times New Roman"/>
          <w:b/>
          <w:bCs/>
          <w:szCs w:val="20"/>
          <w:lang w:eastAsia="fr-FR"/>
        </w:rPr>
        <w:t>d’ingénierie</w:t>
      </w:r>
      <w:r w:rsidR="00C12394" w:rsidRPr="00C12394">
        <w:rPr>
          <w:rFonts w:ascii="Century Gothic" w:eastAsia="Times New Roman" w:hAnsi="Century Gothic" w:cs="Times New Roman"/>
          <w:szCs w:val="20"/>
          <w:lang w:eastAsia="fr-FR"/>
        </w:rPr>
        <w:t xml:space="preserve"> pour monter les dossiers et suivre le rythme des appels à projets</w:t>
      </w:r>
      <w:r>
        <w:rPr>
          <w:rFonts w:ascii="Century Gothic" w:eastAsia="Times New Roman" w:hAnsi="Century Gothic" w:cs="Times New Roman"/>
          <w:szCs w:val="20"/>
          <w:lang w:eastAsia="fr-FR"/>
        </w:rPr>
        <w:t xml:space="preserve">. Les projets financés par le plan de relance </w:t>
      </w:r>
      <w:r w:rsidR="00C450D4">
        <w:rPr>
          <w:rFonts w:ascii="Century Gothic" w:eastAsia="Times New Roman" w:hAnsi="Century Gothic" w:cs="Times New Roman"/>
          <w:szCs w:val="20"/>
          <w:lang w:eastAsia="fr-FR"/>
        </w:rPr>
        <w:t>devaient</w:t>
      </w:r>
      <w:r>
        <w:rPr>
          <w:rFonts w:ascii="Century Gothic" w:eastAsia="Times New Roman" w:hAnsi="Century Gothic" w:cs="Times New Roman"/>
          <w:szCs w:val="20"/>
          <w:lang w:eastAsia="fr-FR"/>
        </w:rPr>
        <w:t xml:space="preserve"> </w:t>
      </w:r>
      <w:r w:rsidR="00C450D4">
        <w:rPr>
          <w:rFonts w:ascii="Century Gothic" w:eastAsia="Times New Roman" w:hAnsi="Century Gothic" w:cs="Times New Roman"/>
          <w:szCs w:val="20"/>
          <w:lang w:eastAsia="fr-FR"/>
        </w:rPr>
        <w:t>être</w:t>
      </w:r>
      <w:r>
        <w:rPr>
          <w:rFonts w:ascii="Century Gothic" w:eastAsia="Times New Roman" w:hAnsi="Century Gothic" w:cs="Times New Roman"/>
          <w:szCs w:val="20"/>
          <w:lang w:eastAsia="fr-FR"/>
        </w:rPr>
        <w:t xml:space="preserve"> </w:t>
      </w:r>
      <w:r w:rsidR="00C450D4">
        <w:rPr>
          <w:rFonts w:ascii="Century Gothic" w:eastAsia="Times New Roman" w:hAnsi="Century Gothic" w:cs="Times New Roman"/>
          <w:szCs w:val="20"/>
          <w:lang w:eastAsia="fr-FR"/>
        </w:rPr>
        <w:t>suffisamment</w:t>
      </w:r>
      <w:r>
        <w:rPr>
          <w:rFonts w:ascii="Century Gothic" w:eastAsia="Times New Roman" w:hAnsi="Century Gothic" w:cs="Times New Roman"/>
          <w:szCs w:val="20"/>
          <w:lang w:eastAsia="fr-FR"/>
        </w:rPr>
        <w:t xml:space="preserve"> avancé</w:t>
      </w:r>
      <w:r w:rsidR="00D36F08">
        <w:rPr>
          <w:rFonts w:ascii="Century Gothic" w:eastAsia="Times New Roman" w:hAnsi="Century Gothic" w:cs="Times New Roman"/>
          <w:szCs w:val="20"/>
          <w:lang w:eastAsia="fr-FR"/>
        </w:rPr>
        <w:t>s</w:t>
      </w:r>
      <w:r>
        <w:rPr>
          <w:rFonts w:ascii="Century Gothic" w:eastAsia="Times New Roman" w:hAnsi="Century Gothic" w:cs="Times New Roman"/>
          <w:szCs w:val="20"/>
          <w:lang w:eastAsia="fr-FR"/>
        </w:rPr>
        <w:t xml:space="preserve"> pour pouvoir commencer les travaux en 2021. </w:t>
      </w:r>
      <w:r w:rsidR="00C450D4">
        <w:rPr>
          <w:rFonts w:ascii="Century Gothic" w:eastAsia="Times New Roman" w:hAnsi="Century Gothic" w:cs="Times New Roman"/>
          <w:szCs w:val="20"/>
          <w:lang w:eastAsia="fr-FR"/>
        </w:rPr>
        <w:t>Cependant</w:t>
      </w:r>
      <w:r>
        <w:rPr>
          <w:rFonts w:ascii="Century Gothic" w:eastAsia="Times New Roman" w:hAnsi="Century Gothic" w:cs="Times New Roman"/>
          <w:szCs w:val="20"/>
          <w:lang w:eastAsia="fr-FR"/>
        </w:rPr>
        <w:t xml:space="preserve">, souvent les collectivités n’arrivent pas à ce </w:t>
      </w:r>
      <w:r w:rsidR="00C450D4">
        <w:rPr>
          <w:rFonts w:ascii="Century Gothic" w:eastAsia="Times New Roman" w:hAnsi="Century Gothic" w:cs="Times New Roman"/>
          <w:szCs w:val="20"/>
          <w:lang w:eastAsia="fr-FR"/>
        </w:rPr>
        <w:t>niveau-là</w:t>
      </w:r>
      <w:r>
        <w:rPr>
          <w:rFonts w:ascii="Century Gothic" w:eastAsia="Times New Roman" w:hAnsi="Century Gothic" w:cs="Times New Roman"/>
          <w:szCs w:val="20"/>
          <w:lang w:eastAsia="fr-FR"/>
        </w:rPr>
        <w:t xml:space="preserve"> de programmation du projet car le déficit d’opération est trop important. </w:t>
      </w:r>
    </w:p>
    <w:p w14:paraId="4C7E57E5" w14:textId="77777777" w:rsidR="00774912" w:rsidRDefault="0091647A" w:rsidP="00774912">
      <w:pPr>
        <w:pStyle w:val="BodyText"/>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 xml:space="preserve">Enfin </w:t>
      </w:r>
      <w:r w:rsidRPr="00D759C0">
        <w:rPr>
          <w:rFonts w:ascii="Century Gothic" w:eastAsia="Times New Roman" w:hAnsi="Century Gothic" w:cs="Times New Roman"/>
          <w:szCs w:val="20"/>
          <w:lang w:eastAsia="fr-FR"/>
        </w:rPr>
        <w:t xml:space="preserve">il existe </w:t>
      </w:r>
      <w:r w:rsidRPr="00D759C0">
        <w:rPr>
          <w:rFonts w:ascii="Century Gothic" w:eastAsia="Times New Roman" w:hAnsi="Century Gothic" w:cs="Times New Roman"/>
          <w:b/>
          <w:bCs/>
          <w:szCs w:val="20"/>
          <w:lang w:eastAsia="fr-FR"/>
        </w:rPr>
        <w:t>d’importantes disparités territoriales</w:t>
      </w:r>
      <w:r w:rsidRPr="00D759C0">
        <w:rPr>
          <w:rFonts w:ascii="Century Gothic" w:eastAsia="Times New Roman" w:hAnsi="Century Gothic" w:cs="Times New Roman"/>
          <w:szCs w:val="20"/>
          <w:lang w:eastAsia="fr-FR"/>
        </w:rPr>
        <w:t xml:space="preserve"> dans le traitement des friches</w:t>
      </w:r>
      <w:r>
        <w:rPr>
          <w:rFonts w:ascii="Century Gothic" w:eastAsia="Times New Roman" w:hAnsi="Century Gothic" w:cs="Times New Roman"/>
          <w:szCs w:val="20"/>
          <w:lang w:eastAsia="fr-FR"/>
        </w:rPr>
        <w:t xml:space="preserve">. En effet, sur le territoire de </w:t>
      </w:r>
      <w:r w:rsidR="007839F1">
        <w:rPr>
          <w:rFonts w:ascii="Century Gothic" w:eastAsia="Times New Roman" w:hAnsi="Century Gothic" w:cs="Times New Roman"/>
          <w:szCs w:val="20"/>
          <w:lang w:eastAsia="fr-FR"/>
        </w:rPr>
        <w:t>la Somme</w:t>
      </w:r>
      <w:r>
        <w:rPr>
          <w:rFonts w:ascii="Century Gothic" w:eastAsia="Times New Roman" w:hAnsi="Century Gothic" w:cs="Times New Roman"/>
          <w:szCs w:val="20"/>
          <w:lang w:eastAsia="fr-FR"/>
        </w:rPr>
        <w:t xml:space="preserve"> et de l’Aisne, il n’y </w:t>
      </w:r>
      <w:r w:rsidR="00761234">
        <w:rPr>
          <w:rFonts w:ascii="Century Gothic" w:eastAsia="Times New Roman" w:hAnsi="Century Gothic" w:cs="Times New Roman"/>
          <w:szCs w:val="20"/>
          <w:lang w:eastAsia="fr-FR"/>
        </w:rPr>
        <w:t>a pas d’</w:t>
      </w:r>
      <w:r w:rsidR="00E92278">
        <w:rPr>
          <w:rFonts w:ascii="Century Gothic" w:eastAsia="Times New Roman" w:hAnsi="Century Gothic" w:cs="Times New Roman"/>
          <w:szCs w:val="20"/>
          <w:lang w:eastAsia="fr-FR"/>
        </w:rPr>
        <w:t>Établissement</w:t>
      </w:r>
      <w:r w:rsidR="00761234">
        <w:rPr>
          <w:rFonts w:ascii="Century Gothic" w:eastAsia="Times New Roman" w:hAnsi="Century Gothic" w:cs="Times New Roman"/>
          <w:szCs w:val="20"/>
          <w:lang w:eastAsia="fr-FR"/>
        </w:rPr>
        <w:t xml:space="preserve"> Public Foncier, donc pas d’outil de portage foncier dédié à la reconversion des friches. D’autre part, la localisation du territoire entre Paris et Lille</w:t>
      </w:r>
      <w:r w:rsidR="00852920">
        <w:rPr>
          <w:rFonts w:ascii="Century Gothic" w:eastAsia="Times New Roman" w:hAnsi="Century Gothic" w:cs="Times New Roman"/>
          <w:szCs w:val="20"/>
          <w:lang w:eastAsia="fr-FR"/>
        </w:rPr>
        <w:t>, implique u</w:t>
      </w:r>
      <w:r w:rsidR="00E72B72">
        <w:rPr>
          <w:rFonts w:ascii="Century Gothic" w:eastAsia="Times New Roman" w:hAnsi="Century Gothic" w:cs="Times New Roman"/>
          <w:szCs w:val="20"/>
          <w:lang w:eastAsia="fr-FR"/>
        </w:rPr>
        <w:t>n marché immobilier moins tendu</w:t>
      </w:r>
      <w:r w:rsidR="00852920">
        <w:rPr>
          <w:rFonts w:ascii="Century Gothic" w:eastAsia="Times New Roman" w:hAnsi="Century Gothic" w:cs="Times New Roman"/>
          <w:szCs w:val="20"/>
          <w:lang w:eastAsia="fr-FR"/>
        </w:rPr>
        <w:t xml:space="preserve"> qui incite moins les acteurs privés et publics à se préoccuper du foncier disponible. </w:t>
      </w:r>
      <w:r w:rsidR="006823E4">
        <w:rPr>
          <w:rFonts w:ascii="Century Gothic" w:eastAsia="Times New Roman" w:hAnsi="Century Gothic" w:cs="Times New Roman"/>
          <w:szCs w:val="20"/>
          <w:lang w:eastAsia="fr-FR"/>
        </w:rPr>
        <w:t>La zone d’action de l’EPF Nord-Pas-de-Calais devrait être étendu</w:t>
      </w:r>
      <w:r w:rsidR="00E07882">
        <w:rPr>
          <w:rFonts w:ascii="Century Gothic" w:eastAsia="Times New Roman" w:hAnsi="Century Gothic" w:cs="Times New Roman"/>
          <w:szCs w:val="20"/>
          <w:lang w:eastAsia="fr-FR"/>
        </w:rPr>
        <w:t>e</w:t>
      </w:r>
      <w:r w:rsidR="006823E4">
        <w:rPr>
          <w:rFonts w:ascii="Century Gothic" w:eastAsia="Times New Roman" w:hAnsi="Century Gothic" w:cs="Times New Roman"/>
          <w:szCs w:val="20"/>
          <w:lang w:eastAsia="fr-FR"/>
        </w:rPr>
        <w:t xml:space="preserve"> à la Somme d’ici la fin de l’année. Pour l’Aisne, les discussions sont encore en cours. </w:t>
      </w:r>
      <w:r w:rsidR="00A74B83">
        <w:rPr>
          <w:rFonts w:ascii="Century Gothic" w:eastAsia="Times New Roman" w:hAnsi="Century Gothic" w:cs="Times New Roman"/>
          <w:szCs w:val="20"/>
          <w:lang w:eastAsia="fr-FR"/>
        </w:rPr>
        <w:t xml:space="preserve">De plus, sur les subventions du FEDER mobilisés sur la programme 2014-2020, </w:t>
      </w:r>
      <w:r w:rsidR="00A74B83" w:rsidRPr="005D6284">
        <w:rPr>
          <w:rFonts w:ascii="Century Gothic" w:eastAsia="Times New Roman" w:hAnsi="Century Gothic" w:cs="Times New Roman"/>
          <w:szCs w:val="20"/>
          <w:lang w:eastAsia="fr-FR"/>
        </w:rPr>
        <w:t xml:space="preserve">la dotation en subventions pour la priorité 6-e pour la réhabilitation de friches était de 35M€ pour le Nord-Pas-de-Calais </w:t>
      </w:r>
      <w:r w:rsidR="00A74B83">
        <w:rPr>
          <w:rFonts w:ascii="Century Gothic" w:eastAsia="Times New Roman" w:hAnsi="Century Gothic" w:cs="Times New Roman"/>
          <w:szCs w:val="20"/>
          <w:lang w:eastAsia="fr-FR"/>
        </w:rPr>
        <w:t xml:space="preserve">. </w:t>
      </w:r>
      <w:r w:rsidR="00A74B83" w:rsidRPr="005D6284">
        <w:rPr>
          <w:rFonts w:ascii="Century Gothic" w:eastAsia="Times New Roman" w:hAnsi="Century Gothic" w:cs="Times New Roman"/>
          <w:szCs w:val="20"/>
          <w:lang w:eastAsia="fr-FR"/>
        </w:rPr>
        <w:t>Sur les 35 M disponible 24 M€ ont été programmé au bénéfice d’un seul territoire (la MEL)</w:t>
      </w:r>
      <w:r w:rsidR="00A74B83">
        <w:rPr>
          <w:rFonts w:ascii="Century Gothic" w:eastAsia="Times New Roman" w:hAnsi="Century Gothic" w:cs="Times New Roman"/>
          <w:szCs w:val="20"/>
          <w:lang w:eastAsia="fr-FR"/>
        </w:rPr>
        <w:t>, ce qui pose une</w:t>
      </w:r>
      <w:r w:rsidR="00A74B83" w:rsidRPr="005D6284">
        <w:rPr>
          <w:rFonts w:ascii="Century Gothic" w:eastAsia="Times New Roman" w:hAnsi="Century Gothic" w:cs="Times New Roman"/>
          <w:szCs w:val="20"/>
          <w:lang w:eastAsia="fr-FR"/>
        </w:rPr>
        <w:t xml:space="preserve"> question d’équité territoriale</w:t>
      </w:r>
      <w:r w:rsidR="00A74B83">
        <w:rPr>
          <w:rFonts w:ascii="Century Gothic" w:eastAsia="Times New Roman" w:hAnsi="Century Gothic" w:cs="Times New Roman"/>
          <w:szCs w:val="20"/>
          <w:lang w:eastAsia="fr-FR"/>
        </w:rPr>
        <w:t xml:space="preserve">. </w:t>
      </w:r>
    </w:p>
    <w:p w14:paraId="25FEC582" w14:textId="77777777" w:rsidR="00A74B83" w:rsidRDefault="00A74B83" w:rsidP="00A74B83">
      <w:pPr>
        <w:pStyle w:val="BodyText"/>
        <w:rPr>
          <w:rFonts w:ascii="Century Gothic" w:eastAsia="Times New Roman" w:hAnsi="Century Gothic" w:cs="Segoe UI"/>
          <w:szCs w:val="20"/>
          <w:lang w:eastAsia="fr-FR"/>
        </w:rPr>
      </w:pPr>
      <w:r>
        <w:t>De plus, selon certains acteurs, le</w:t>
      </w:r>
      <w:r w:rsidRPr="008D2E5F">
        <w:rPr>
          <w:rFonts w:ascii="Century Gothic" w:eastAsia="Times New Roman" w:hAnsi="Century Gothic" w:cs="Segoe UI"/>
          <w:b/>
          <w:bCs/>
          <w:szCs w:val="20"/>
          <w:lang w:eastAsia="fr-FR"/>
        </w:rPr>
        <w:t xml:space="preserve"> système d’appel à projet ne permet pas d’avoir une stratégie globale pour le territoire.</w:t>
      </w:r>
      <w:r w:rsidRPr="008D2E5F">
        <w:rPr>
          <w:rFonts w:ascii="Century Gothic" w:eastAsia="Times New Roman" w:hAnsi="Century Gothic" w:cs="Segoe UI"/>
          <w:szCs w:val="20"/>
          <w:lang w:eastAsia="fr-FR"/>
        </w:rPr>
        <w:t> </w:t>
      </w:r>
      <w:r>
        <w:rPr>
          <w:rFonts w:ascii="Century Gothic" w:eastAsia="Times New Roman" w:hAnsi="Century Gothic" w:cs="Segoe UI"/>
          <w:szCs w:val="20"/>
          <w:lang w:eastAsia="fr-FR"/>
        </w:rPr>
        <w:t xml:space="preserve">Par exemple sur le territoire d’Amiens dans le cadre d’un projet avec le département, l’agence d’urbanisme du grand amiénois a identifié 13 friches comme prioritaires. Ces projets identifiés ont été validés par les 12 intercommunalités du territoire. Pour la recherche de financements, les dossiers sont déposés de façon individuelle et ne permettent pas de prendre en compte les priorités définis à l’échelle du territoire. </w:t>
      </w:r>
    </w:p>
    <w:p w14:paraId="39EBD37C" w14:textId="77777777" w:rsidR="00A74B83" w:rsidRPr="00604B67" w:rsidRDefault="00A74B83" w:rsidP="00A74B83">
      <w:pPr>
        <w:pStyle w:val="BodyText"/>
        <w:rPr>
          <w:rStyle w:val="normaltextrun"/>
        </w:rPr>
      </w:pPr>
      <w:r>
        <w:t xml:space="preserve">Il existe une forte demande de la part des territoires pour </w:t>
      </w:r>
      <w:r w:rsidRPr="00167044">
        <w:rPr>
          <w:b/>
          <w:bCs/>
        </w:rPr>
        <w:t>l’implantation de projets de panneaux photovoltaïques</w:t>
      </w:r>
      <w:r>
        <w:t xml:space="preserve"> sur des friches industrielles. Cependant, la plupart de ses projets sont sur des surfaces trop petites présentant </w:t>
      </w:r>
      <w:r>
        <w:rPr>
          <w:rStyle w:val="normaltextrun"/>
          <w:rFonts w:ascii="Century Gothic" w:hAnsi="Century Gothic" w:cs="Segoe UI"/>
          <w:szCs w:val="20"/>
        </w:rPr>
        <w:t xml:space="preserve">un ensoleillement moyen et donc une productivité limitée, ce qui limite la rentabilité des investissements. Il existe cependant des mécanismes des conventions d’occupations pour éviter le rachat de la part des opérateurs. De plus, il existe des complexités administratives qui freinent l’émergence de ce type de projets. </w:t>
      </w:r>
      <w:r w:rsidRPr="00604B67">
        <w:rPr>
          <w:rStyle w:val="normaltextrun"/>
          <w:rFonts w:ascii="Century Gothic" w:hAnsi="Century Gothic" w:cs="Segoe UI"/>
          <w:szCs w:val="20"/>
        </w:rPr>
        <w:t>L’EPF du Nord-Pas-de-Calais a cependant fait part de son intérêt pour ce type de projets et des discussions en cours avec la SEM Énergie Hauts-de-France sur ce sujet. Les difficultés à ce stade sont dues à la rentabilité des projets : il serait nécessaire pour les opérateurs d’acquérir les friches de façon gratuite pour que les opérations d’implantation de panneaux solaires soient rentables ce qui n’est pas cependant pas possible à ce stade pour l’EPF</w:t>
      </w:r>
      <w:r>
        <w:rPr>
          <w:rStyle w:val="normaltextrun"/>
          <w:rFonts w:ascii="Century Gothic" w:hAnsi="Century Gothic" w:cs="Segoe UI"/>
          <w:szCs w:val="20"/>
        </w:rPr>
        <w:t xml:space="preserve">. Des solutions innovantes comme des parcs photovoltaïques mobiles sont également en discussion. Un soutien financier sur ce type de projets serait apprécié des EPF. </w:t>
      </w:r>
    </w:p>
    <w:p w14:paraId="6BC15278" w14:textId="77777777" w:rsidR="00A74B83" w:rsidRDefault="00A74B83" w:rsidP="00C43C1D">
      <w:pPr>
        <w:pStyle w:val="BodyText"/>
      </w:pPr>
    </w:p>
    <w:p w14:paraId="682ACD2A" w14:textId="77777777" w:rsidR="00C43C1D" w:rsidRPr="00370190" w:rsidRDefault="00C43C1D" w:rsidP="00536470">
      <w:pPr>
        <w:pStyle w:val="Heading3"/>
      </w:pPr>
      <w:bookmarkStart w:id="123" w:name="_Toc93390295"/>
      <w:r>
        <w:t>Bilan des forces et faiblesses des porteurs de projets des Hauts de France</w:t>
      </w:r>
      <w:bookmarkEnd w:id="123"/>
    </w:p>
    <w:p w14:paraId="39EDE987" w14:textId="77777777" w:rsidR="008D2E5F" w:rsidRDefault="00C43C1D" w:rsidP="00E72DF0">
      <w:pPr>
        <w:pStyle w:val="BodyText"/>
      </w:pPr>
      <w:r>
        <w:t xml:space="preserve">Nous présentons ci-dessous une analyse AFOM des porteurs de projets sur le territoire : </w:t>
      </w:r>
    </w:p>
    <w:p w14:paraId="7724BAEE" w14:textId="54765A32" w:rsidR="00C43C1D" w:rsidRDefault="00C43C1D" w:rsidP="00C43C1D">
      <w:pPr>
        <w:pStyle w:val="Caption"/>
      </w:pPr>
      <w:bookmarkStart w:id="124" w:name="_Toc88842109"/>
      <w:r>
        <w:t xml:space="preserve">Tableau </w:t>
      </w:r>
      <w:r>
        <w:rPr>
          <w:color w:val="2B579A"/>
          <w:shd w:val="clear" w:color="auto" w:fill="E6E6E6"/>
        </w:rPr>
        <w:fldChar w:fldCharType="begin"/>
      </w:r>
      <w:r>
        <w:instrText xml:space="preserve"> SEQ Tableau \* ARABIC </w:instrText>
      </w:r>
      <w:r>
        <w:rPr>
          <w:color w:val="2B579A"/>
          <w:shd w:val="clear" w:color="auto" w:fill="E6E6E6"/>
        </w:rPr>
        <w:fldChar w:fldCharType="separate"/>
      </w:r>
      <w:r w:rsidR="009F0282">
        <w:rPr>
          <w:noProof/>
        </w:rPr>
        <w:t>21</w:t>
      </w:r>
      <w:r>
        <w:rPr>
          <w:color w:val="2B579A"/>
          <w:shd w:val="clear" w:color="auto" w:fill="E6E6E6"/>
        </w:rPr>
        <w:fldChar w:fldCharType="end"/>
      </w:r>
      <w:r>
        <w:t xml:space="preserve"> AFOM de l’économie sur le territoire</w:t>
      </w:r>
      <w:bookmarkEnd w:id="124"/>
    </w:p>
    <w:tbl>
      <w:tblPr>
        <w:tblStyle w:val="TechnopolisLight"/>
        <w:tblpPr w:leftFromText="180" w:rightFromText="180" w:topFromText="60" w:vertAnchor="text" w:horzAnchor="margin" w:tblpY="173"/>
        <w:tblW w:w="9067" w:type="dxa"/>
        <w:tblLook w:val="0480" w:firstRow="0" w:lastRow="0" w:firstColumn="1" w:lastColumn="0" w:noHBand="0" w:noVBand="1"/>
      </w:tblPr>
      <w:tblGrid>
        <w:gridCol w:w="4395"/>
        <w:gridCol w:w="4672"/>
      </w:tblGrid>
      <w:tr w:rsidR="00B03FCB" w14:paraId="05394976" w14:textId="77777777" w:rsidTr="002B4F17">
        <w:trPr>
          <w:trHeight w:val="208"/>
        </w:trPr>
        <w:tc>
          <w:tcPr>
            <w:tcW w:w="4395" w:type="dxa"/>
            <w:tcBorders>
              <w:top w:val="nil"/>
              <w:left w:val="nil"/>
              <w:bottom w:val="single" w:sz="4" w:space="0" w:color="A69EC1" w:themeColor="accent4"/>
              <w:right w:val="single" w:sz="4" w:space="0" w:color="A69EC1" w:themeColor="accent4"/>
            </w:tcBorders>
            <w:hideMark/>
          </w:tcPr>
          <w:p w14:paraId="572422F6" w14:textId="77777777" w:rsidR="00B03FCB" w:rsidRPr="00604B67" w:rsidRDefault="00B03FCB" w:rsidP="002B4F17">
            <w:pPr>
              <w:pStyle w:val="Tabletext"/>
              <w:rPr>
                <w:b/>
              </w:rPr>
            </w:pPr>
            <w:r w:rsidRPr="00604B67">
              <w:rPr>
                <w:b/>
              </w:rPr>
              <w:t>Forces</w:t>
            </w:r>
          </w:p>
          <w:p w14:paraId="205E23CA" w14:textId="77777777" w:rsidR="00B03FCB" w:rsidRPr="00604B67" w:rsidRDefault="00B03FCB" w:rsidP="002B4F17">
            <w:pPr>
              <w:pStyle w:val="Tablebullet1"/>
            </w:pPr>
            <w:r w:rsidRPr="00604B67">
              <w:t xml:space="preserve">Deux EPF (Oise &amp; Nord-Pas-de-Calais) disposant d’une ingénierie importante et d’une bonne maitrise du sujet de la réhabilitation des friches </w:t>
            </w:r>
          </w:p>
          <w:p w14:paraId="568FCFDA" w14:textId="77777777" w:rsidR="00B03FCB" w:rsidRPr="00604B67" w:rsidRDefault="00B03FCB" w:rsidP="002B4F17">
            <w:pPr>
              <w:pStyle w:val="Tablebullet1"/>
            </w:pPr>
            <w:r w:rsidRPr="00604B67">
              <w:t xml:space="preserve">Des acteurs publics (départements, villes …) sensibilisés au sujet des friches </w:t>
            </w:r>
          </w:p>
          <w:p w14:paraId="6625C55F" w14:textId="77777777" w:rsidR="00B03FCB" w:rsidRPr="00604B67" w:rsidRDefault="00B03FCB" w:rsidP="002B4F17">
            <w:pPr>
              <w:pStyle w:val="BodyText0"/>
              <w:rPr>
                <w:iCs/>
                <w:sz w:val="16"/>
                <w:szCs w:val="16"/>
              </w:rPr>
            </w:pPr>
          </w:p>
        </w:tc>
        <w:tc>
          <w:tcPr>
            <w:tcW w:w="4672" w:type="dxa"/>
            <w:tcBorders>
              <w:top w:val="nil"/>
              <w:left w:val="single" w:sz="4" w:space="0" w:color="A69EC1" w:themeColor="accent4"/>
              <w:bottom w:val="single" w:sz="4" w:space="0" w:color="A69EC1" w:themeColor="accent4"/>
              <w:right w:val="nil"/>
            </w:tcBorders>
            <w:hideMark/>
          </w:tcPr>
          <w:p w14:paraId="5211ABEC" w14:textId="77777777" w:rsidR="00B03FCB" w:rsidRPr="00604B67" w:rsidRDefault="00B03FCB" w:rsidP="002B4F17">
            <w:pPr>
              <w:pStyle w:val="Tabletext"/>
              <w:rPr>
                <w:b/>
                <w:color w:val="000000" w:themeColor="text1"/>
              </w:rPr>
            </w:pPr>
            <w:r w:rsidRPr="00604B67">
              <w:rPr>
                <w:b/>
                <w:color w:val="000000" w:themeColor="text1"/>
              </w:rPr>
              <w:t>Faiblesses</w:t>
            </w:r>
          </w:p>
          <w:p w14:paraId="0AFD517B" w14:textId="77777777" w:rsidR="00B03FCB" w:rsidRPr="00604B67" w:rsidRDefault="00B03FCB" w:rsidP="002B4F17">
            <w:pPr>
              <w:pStyle w:val="Tablebullet1"/>
              <w:rPr>
                <w:color w:val="000000" w:themeColor="text1"/>
              </w:rPr>
            </w:pPr>
            <w:r w:rsidRPr="00604B67">
              <w:rPr>
                <w:color w:val="000000" w:themeColor="text1"/>
              </w:rPr>
              <w:t>Des disparités régionales importantes : il n’existe pas d’EPF sur le territoire de la Somme et de l’Aisne</w:t>
            </w:r>
          </w:p>
          <w:p w14:paraId="332B9FDF" w14:textId="77777777" w:rsidR="00B03FCB" w:rsidRPr="00604B67" w:rsidRDefault="00B03FCB" w:rsidP="002B4F17">
            <w:pPr>
              <w:pStyle w:val="Tablebullet1"/>
              <w:rPr>
                <w:color w:val="000000" w:themeColor="text1"/>
              </w:rPr>
            </w:pPr>
            <w:r w:rsidRPr="00604B67">
              <w:rPr>
                <w:color w:val="000000" w:themeColor="text1"/>
              </w:rPr>
              <w:t>Des besoins en financements plus importants que les fonds disponibles</w:t>
            </w:r>
          </w:p>
          <w:p w14:paraId="2BA0ECBA" w14:textId="77777777" w:rsidR="00B03FCB" w:rsidRPr="00604B67" w:rsidRDefault="00B03FCB" w:rsidP="002B4F17">
            <w:pPr>
              <w:pStyle w:val="Tablebullet1"/>
              <w:rPr>
                <w:color w:val="000000" w:themeColor="text1"/>
              </w:rPr>
            </w:pPr>
            <w:r w:rsidRPr="00604B67">
              <w:rPr>
                <w:color w:val="000000" w:themeColor="text1"/>
              </w:rPr>
              <w:t xml:space="preserve">Des connaissances et des technologies à développer pour la dépollution des friches </w:t>
            </w:r>
          </w:p>
          <w:p w14:paraId="57A676AF" w14:textId="77777777" w:rsidR="00B03FCB" w:rsidRPr="00604B67" w:rsidRDefault="00B03FCB" w:rsidP="002B4F17">
            <w:pPr>
              <w:pStyle w:val="Tablebullet1"/>
              <w:rPr>
                <w:color w:val="000000" w:themeColor="text1"/>
              </w:rPr>
            </w:pPr>
            <w:r w:rsidRPr="00604B67">
              <w:rPr>
                <w:color w:val="000000" w:themeColor="text1"/>
              </w:rPr>
              <w:t>Des couts de dépollution très importants et parfois difficile à estimer qui pénalisent la rentabilité des opérations</w:t>
            </w:r>
          </w:p>
          <w:p w14:paraId="2823EC9F" w14:textId="77777777" w:rsidR="00B03FCB" w:rsidRPr="00604B67" w:rsidRDefault="00B03FCB" w:rsidP="002B4F17">
            <w:pPr>
              <w:pStyle w:val="Tablebullet1"/>
              <w:numPr>
                <w:ilvl w:val="0"/>
                <w:numId w:val="0"/>
              </w:numPr>
              <w:ind w:left="596" w:hanging="360"/>
              <w:rPr>
                <w:color w:val="000000" w:themeColor="text1"/>
              </w:rPr>
            </w:pPr>
          </w:p>
        </w:tc>
      </w:tr>
      <w:tr w:rsidR="00B03FCB" w14:paraId="028B5318" w14:textId="77777777" w:rsidTr="002B4F17">
        <w:trPr>
          <w:trHeight w:val="1350"/>
        </w:trPr>
        <w:tc>
          <w:tcPr>
            <w:tcW w:w="4395" w:type="dxa"/>
            <w:tcBorders>
              <w:top w:val="single" w:sz="4" w:space="0" w:color="A69EC1" w:themeColor="accent4"/>
              <w:left w:val="nil"/>
              <w:bottom w:val="nil"/>
              <w:right w:val="single" w:sz="4" w:space="0" w:color="A69EC1" w:themeColor="accent4"/>
            </w:tcBorders>
            <w:hideMark/>
          </w:tcPr>
          <w:p w14:paraId="01C3E21A" w14:textId="77777777" w:rsidR="00B03FCB" w:rsidRPr="00604B67" w:rsidRDefault="00B03FCB" w:rsidP="002B4F17">
            <w:pPr>
              <w:pStyle w:val="Tabletext"/>
              <w:rPr>
                <w:b/>
              </w:rPr>
            </w:pPr>
            <w:r w:rsidRPr="00604B67">
              <w:rPr>
                <w:b/>
              </w:rPr>
              <w:t>Opportunités</w:t>
            </w:r>
          </w:p>
          <w:p w14:paraId="52C5B5B1" w14:textId="77777777" w:rsidR="00B03FCB" w:rsidRPr="00604B67" w:rsidRDefault="00B03FCB" w:rsidP="002B4F17">
            <w:pPr>
              <w:pStyle w:val="Tablebullet1"/>
            </w:pPr>
            <w:r w:rsidRPr="00604B67">
              <w:t>Les objectifs nationaux et régionaux de zéro artificialisation nette qui engendre une nécessité de réhabiliter les friches</w:t>
            </w:r>
          </w:p>
          <w:p w14:paraId="05D834A1" w14:textId="77777777" w:rsidR="00B03FCB" w:rsidRPr="00604B67" w:rsidRDefault="00B03FCB" w:rsidP="002B4F17">
            <w:pPr>
              <w:pStyle w:val="Tablebullet1"/>
            </w:pPr>
            <w:r w:rsidRPr="00604B67">
              <w:t xml:space="preserve">Des liquidités importantes du Plan de Relance </w:t>
            </w:r>
          </w:p>
          <w:p w14:paraId="5267A921" w14:textId="77777777" w:rsidR="00B03FCB" w:rsidRPr="00604B67" w:rsidRDefault="00B03FCB" w:rsidP="002B4F17">
            <w:pPr>
              <w:pStyle w:val="BodyText0"/>
              <w:spacing w:line="256" w:lineRule="auto"/>
              <w:ind w:left="360"/>
              <w:jc w:val="left"/>
              <w:rPr>
                <w:b/>
                <w:sz w:val="16"/>
                <w:szCs w:val="16"/>
              </w:rPr>
            </w:pPr>
          </w:p>
        </w:tc>
        <w:tc>
          <w:tcPr>
            <w:tcW w:w="4672" w:type="dxa"/>
            <w:tcBorders>
              <w:top w:val="single" w:sz="4" w:space="0" w:color="A69EC1" w:themeColor="accent4"/>
              <w:left w:val="single" w:sz="4" w:space="0" w:color="A69EC1" w:themeColor="accent4"/>
              <w:bottom w:val="nil"/>
              <w:right w:val="nil"/>
            </w:tcBorders>
            <w:hideMark/>
          </w:tcPr>
          <w:p w14:paraId="6DD02A02" w14:textId="77777777" w:rsidR="00B03FCB" w:rsidRPr="00604B67" w:rsidRDefault="00B03FCB" w:rsidP="002B4F17">
            <w:pPr>
              <w:pStyle w:val="Tabletext"/>
              <w:rPr>
                <w:b/>
                <w:color w:val="000000" w:themeColor="text1"/>
              </w:rPr>
            </w:pPr>
            <w:r w:rsidRPr="00604B67">
              <w:rPr>
                <w:b/>
                <w:color w:val="000000" w:themeColor="text1"/>
              </w:rPr>
              <w:t>Menaces</w:t>
            </w:r>
          </w:p>
          <w:p w14:paraId="65E87274" w14:textId="77777777" w:rsidR="00B03FCB" w:rsidRPr="00604B67" w:rsidRDefault="00B03FCB" w:rsidP="002B4F17">
            <w:pPr>
              <w:pStyle w:val="Tablebullet1"/>
              <w:rPr>
                <w:color w:val="000000" w:themeColor="text1"/>
              </w:rPr>
            </w:pPr>
            <w:r w:rsidRPr="00604B67">
              <w:rPr>
                <w:color w:val="000000" w:themeColor="text1"/>
              </w:rPr>
              <w:t>Un manque de connaissance et d’ingénierie des acteurs publics des friches sur leur territoire qui freinent leur traitement</w:t>
            </w:r>
          </w:p>
          <w:p w14:paraId="217BC35B" w14:textId="32A60C4A" w:rsidR="00B03FCB" w:rsidRPr="00604B67" w:rsidRDefault="00B03FCB" w:rsidP="002B4F17">
            <w:pPr>
              <w:pStyle w:val="Tablebullet1"/>
              <w:rPr>
                <w:color w:val="000000" w:themeColor="text1"/>
              </w:rPr>
            </w:pPr>
            <w:r w:rsidRPr="00604B67">
              <w:rPr>
                <w:color w:val="000000" w:themeColor="text1"/>
              </w:rPr>
              <w:t>Plus de financements disponibles pour des projets plus « matures », mais certains projets n’arrivent pas à ce degré de maturité par manque d’ingénierie et de financement</w:t>
            </w:r>
            <w:r w:rsidR="002225A7">
              <w:rPr>
                <w:color w:val="000000" w:themeColor="text1"/>
              </w:rPr>
              <w:t xml:space="preserve"> de l'</w:t>
            </w:r>
            <w:proofErr w:type="spellStart"/>
            <w:r w:rsidR="002225A7">
              <w:rPr>
                <w:color w:val="000000" w:themeColor="text1"/>
              </w:rPr>
              <w:t>acquisitiion</w:t>
            </w:r>
            <w:proofErr w:type="spellEnd"/>
            <w:r w:rsidR="002225A7">
              <w:rPr>
                <w:color w:val="000000" w:themeColor="text1"/>
              </w:rPr>
              <w:t xml:space="preserve"> du foncier et</w:t>
            </w:r>
            <w:r w:rsidRPr="00604B67">
              <w:rPr>
                <w:color w:val="000000" w:themeColor="text1"/>
              </w:rPr>
              <w:t xml:space="preserve"> des études préalables</w:t>
            </w:r>
          </w:p>
          <w:p w14:paraId="24022D29" w14:textId="77777777" w:rsidR="00B03FCB" w:rsidRPr="00604B67" w:rsidRDefault="00B03FCB" w:rsidP="002B4F17">
            <w:pPr>
              <w:pStyle w:val="Tablebullet1"/>
              <w:numPr>
                <w:ilvl w:val="0"/>
                <w:numId w:val="0"/>
              </w:numPr>
              <w:ind w:left="227"/>
              <w:rPr>
                <w:strike/>
                <w:color w:val="000000" w:themeColor="text1"/>
              </w:rPr>
            </w:pPr>
          </w:p>
        </w:tc>
      </w:tr>
    </w:tbl>
    <w:p w14:paraId="0FDA8E8A" w14:textId="77777777" w:rsidR="00C43C1D" w:rsidRPr="00390A65" w:rsidRDefault="00C43C1D" w:rsidP="00C43C1D">
      <w:pPr>
        <w:pStyle w:val="BodyText"/>
      </w:pPr>
    </w:p>
    <w:p w14:paraId="4E9B0A7D" w14:textId="77777777" w:rsidR="00C43C1D" w:rsidRDefault="00C43C1D" w:rsidP="00536470">
      <w:pPr>
        <w:pStyle w:val="Heading3"/>
      </w:pPr>
      <w:bookmarkStart w:id="125" w:name="_Toc93390296"/>
      <w:r w:rsidRPr="00D4726B">
        <w:t>Besoin de financement et défaillances de marché</w:t>
      </w:r>
      <w:bookmarkEnd w:id="125"/>
    </w:p>
    <w:p w14:paraId="07C379C6" w14:textId="77777777" w:rsidR="00B90AC0" w:rsidRDefault="00B90AC0" w:rsidP="00B90AC0">
      <w:pPr>
        <w:pStyle w:val="BodyText"/>
      </w:pPr>
      <w:r>
        <w:t xml:space="preserve">Il existe des </w:t>
      </w:r>
      <w:r w:rsidRPr="00592586">
        <w:rPr>
          <w:b/>
        </w:rPr>
        <w:t>besoins importants</w:t>
      </w:r>
      <w:r>
        <w:t xml:space="preserve"> de financement pour la réhabilitation des friches. Les besoins ne semblent pas être couverts par l’offre et restent importants. Il est estimé que les Hauts-de-France compte 28 000 </w:t>
      </w:r>
      <w:r w:rsidRPr="00C63921">
        <w:t>anciens sites industriels et activités de service, de taille variable</w:t>
      </w:r>
      <w:r>
        <w:t xml:space="preserve">. </w:t>
      </w:r>
    </w:p>
    <w:p w14:paraId="7123577A" w14:textId="77777777" w:rsidR="00F87DFD" w:rsidRDefault="00B90AC0" w:rsidP="003113B0">
      <w:pPr>
        <w:pStyle w:val="BodyText"/>
      </w:pPr>
      <w:r>
        <w:t xml:space="preserve">Les </w:t>
      </w:r>
      <w:r w:rsidRPr="00604B67">
        <w:t xml:space="preserve">subventions des opérateurs </w:t>
      </w:r>
      <w:r w:rsidRPr="004F151C">
        <w:rPr>
          <w:color w:val="000000" w:themeColor="text1"/>
        </w:rPr>
        <w:t>publics sont souvent nécessaires pour pallier le caractère déficitaire des opérations de rénovation du aux coûts de dépollution très importants et aux spécificités pour traiter un bâti patrimonial.</w:t>
      </w:r>
      <w:r w:rsidR="00240924" w:rsidRPr="004F151C">
        <w:rPr>
          <w:color w:val="000000" w:themeColor="text1"/>
        </w:rPr>
        <w:t xml:space="preserve"> </w:t>
      </w:r>
      <w:r w:rsidR="00C07975" w:rsidRPr="004F151C">
        <w:rPr>
          <w:color w:val="000000" w:themeColor="text1"/>
        </w:rPr>
        <w:t xml:space="preserve">Par </w:t>
      </w:r>
      <w:r w:rsidR="00C07975">
        <w:t xml:space="preserve">ailleurs, la question de la </w:t>
      </w:r>
      <w:r w:rsidR="00C07975" w:rsidRPr="00604B67">
        <w:t xml:space="preserve">mobilisation du principe pollueur-payeur est également </w:t>
      </w:r>
      <w:r w:rsidR="0065593E" w:rsidRPr="00604B67">
        <w:t>à approfondir, en raison du manque de financement d’opérations de ce type observée</w:t>
      </w:r>
      <w:r w:rsidR="0065593E">
        <w:t>.</w:t>
      </w:r>
      <w:r w:rsidR="002C9A45">
        <w:t xml:space="preserve"> Il existe également des besoins </w:t>
      </w:r>
      <w:r w:rsidR="002C9A45" w:rsidRPr="00604B67">
        <w:t>d’aide au financement d’étude de faisabilité et d’étude de marché en amont des projets pour inciter les collectivités territoriales</w:t>
      </w:r>
      <w:r w:rsidR="21CD2278" w:rsidRPr="00604B67">
        <w:t xml:space="preserve"> à se saisir des friches sur leur territoire</w:t>
      </w:r>
      <w:r w:rsidR="21CD2278">
        <w:t>.</w:t>
      </w:r>
    </w:p>
    <w:p w14:paraId="73DFC626" w14:textId="77777777" w:rsidR="00872454" w:rsidRDefault="005E6AC1" w:rsidP="003113B0">
      <w:pPr>
        <w:pStyle w:val="BodyText"/>
      </w:pPr>
      <w:r w:rsidRPr="004F151C">
        <w:t>Les bailleurs sociaux et les EPF semblent peu intéressés par des mécanismes de prêt</w:t>
      </w:r>
      <w:r w:rsidR="00D70F6D" w:rsidRPr="004F151C">
        <w:t xml:space="preserve"> car ils disposent souvent des capacités financières pour emprunter</w:t>
      </w:r>
      <w:r w:rsidR="00D70F6D">
        <w:t xml:space="preserve">. Un </w:t>
      </w:r>
      <w:r w:rsidR="000125D4">
        <w:t>intérêt</w:t>
      </w:r>
      <w:r w:rsidR="00D70F6D">
        <w:t xml:space="preserve"> a été émis concernant un éventuel fonds de garantie pour financier des opérations sur du foncier en zone tendue. </w:t>
      </w:r>
      <w:r w:rsidR="0014320E">
        <w:t>D’autres mécanismes financiers innovant comme la promesse de prise de bail intéressent les opérateurs pour faire effet levier et trouver des investisseurs privés plus facilement.</w:t>
      </w:r>
    </w:p>
    <w:p w14:paraId="6AC1901F" w14:textId="77777777" w:rsidR="00AD6688" w:rsidRDefault="00AD6688" w:rsidP="003113B0">
      <w:pPr>
        <w:pStyle w:val="BodyText"/>
      </w:pPr>
      <w:r>
        <w:t>Enfin, des mécanismes d</w:t>
      </w:r>
      <w:r w:rsidR="005E251F">
        <w:t xml:space="preserve">’aide </w:t>
      </w:r>
      <w:r w:rsidR="000F0C76">
        <w:t xml:space="preserve">au </w:t>
      </w:r>
      <w:r w:rsidR="0057176D">
        <w:t>redéploiement</w:t>
      </w:r>
      <w:r w:rsidR="000F0C76">
        <w:t xml:space="preserve"> d</w:t>
      </w:r>
      <w:r w:rsidR="0057176D">
        <w:t>e commerce pourrai</w:t>
      </w:r>
      <w:r w:rsidR="004844CB">
        <w:t>en</w:t>
      </w:r>
      <w:r w:rsidR="0057176D">
        <w:t>t être pertinent</w:t>
      </w:r>
      <w:r w:rsidR="004844CB">
        <w:t>s</w:t>
      </w:r>
      <w:r w:rsidR="0057176D">
        <w:t xml:space="preserve"> pour éviter la réapparition de friches et ainsi accompagne</w:t>
      </w:r>
      <w:r w:rsidR="006E7B48">
        <w:t>r</w:t>
      </w:r>
      <w:r w:rsidR="0057176D">
        <w:t xml:space="preserve"> les mutations d’activités tertiaire</w:t>
      </w:r>
      <w:r w:rsidR="004844CB">
        <w:t>s</w:t>
      </w:r>
      <w:r w:rsidR="0057176D">
        <w:t xml:space="preserve"> ou artisanales</w:t>
      </w:r>
      <w:r w:rsidR="00B90AC0">
        <w:t xml:space="preserve">. C’est le cas par exemple du dispositif régional « Centre-ville Centre bourg » soutiennent le reploiement de commerce. Ainsi, </w:t>
      </w:r>
      <w:r w:rsidR="00B90AC0" w:rsidRPr="005A18A4">
        <w:t>Un an après le lancement de l’appel à projets et le choix des 114 communes lauréates, la Région Hauts-de-France a d’ores et déjà financé 35 projets d’investissement dans 28 communes, et attribué un montant total de plus de 9 millions d’euros</w:t>
      </w:r>
      <w:r w:rsidR="00B90AC0">
        <w:t>.</w:t>
      </w:r>
      <w:r w:rsidR="0057176D">
        <w:t xml:space="preserve"> </w:t>
      </w:r>
    </w:p>
    <w:p w14:paraId="1EC2D9E5" w14:textId="5B6F1E75" w:rsidR="00C43C1D" w:rsidRDefault="00C43C1D" w:rsidP="00C43C1D">
      <w:pPr>
        <w:pStyle w:val="Caption"/>
      </w:pPr>
      <w:bookmarkStart w:id="126" w:name="_Toc88842110"/>
      <w:r>
        <w:t xml:space="preserve">Tableau </w:t>
      </w:r>
      <w:r>
        <w:rPr>
          <w:color w:val="2B579A"/>
          <w:shd w:val="clear" w:color="auto" w:fill="E6E6E6"/>
        </w:rPr>
        <w:fldChar w:fldCharType="begin"/>
      </w:r>
      <w:r>
        <w:instrText xml:space="preserve"> SEQ Tableau \* ARABIC </w:instrText>
      </w:r>
      <w:r>
        <w:rPr>
          <w:color w:val="2B579A"/>
          <w:shd w:val="clear" w:color="auto" w:fill="E6E6E6"/>
        </w:rPr>
        <w:fldChar w:fldCharType="separate"/>
      </w:r>
      <w:r w:rsidR="009F0282">
        <w:rPr>
          <w:noProof/>
        </w:rPr>
        <w:t>22</w:t>
      </w:r>
      <w:r>
        <w:rPr>
          <w:color w:val="2B579A"/>
          <w:shd w:val="clear" w:color="auto" w:fill="E6E6E6"/>
        </w:rPr>
        <w:fldChar w:fldCharType="end"/>
      </w:r>
      <w:r>
        <w:t xml:space="preserve"> </w:t>
      </w:r>
      <w:r w:rsidR="00C85DF2">
        <w:t>Adéquation des s</w:t>
      </w:r>
      <w:r w:rsidR="00A66631">
        <w:t>olutions de financement existante à destination</w:t>
      </w:r>
      <w:r w:rsidR="00C85DF2">
        <w:t xml:space="preserve"> des opération</w:t>
      </w:r>
      <w:r w:rsidR="004844CB">
        <w:t>s</w:t>
      </w:r>
      <w:r w:rsidR="00C85DF2">
        <w:t xml:space="preserve"> de réhabilitation foncière</w:t>
      </w:r>
      <w:bookmarkEnd w:id="126"/>
    </w:p>
    <w:tbl>
      <w:tblPr>
        <w:tblStyle w:val="TechnopolisTable20"/>
        <w:tblW w:w="5000" w:type="pct"/>
        <w:tblLook w:val="04A0" w:firstRow="1" w:lastRow="0" w:firstColumn="1" w:lastColumn="0" w:noHBand="0" w:noVBand="1"/>
      </w:tblPr>
      <w:tblGrid>
        <w:gridCol w:w="2684"/>
        <w:gridCol w:w="6378"/>
      </w:tblGrid>
      <w:tr w:rsidR="006F4268" w14:paraId="6722B44E" w14:textId="77777777" w:rsidTr="00DD3EE3">
        <w:trPr>
          <w:cnfStyle w:val="100000000000" w:firstRow="1" w:lastRow="0" w:firstColumn="0" w:lastColumn="0" w:oddVBand="0" w:evenVBand="0" w:oddHBand="0" w:evenHBand="0" w:firstRowFirstColumn="0" w:firstRowLastColumn="0" w:lastRowFirstColumn="0" w:lastRowLastColumn="0"/>
        </w:trPr>
        <w:tc>
          <w:tcPr>
            <w:tcW w:w="1481" w:type="pct"/>
          </w:tcPr>
          <w:p w14:paraId="342DD77F" w14:textId="77777777" w:rsidR="006F4268" w:rsidRDefault="006F4268" w:rsidP="00D70F6D">
            <w:pPr>
              <w:pStyle w:val="Tabletext"/>
            </w:pPr>
          </w:p>
        </w:tc>
        <w:tc>
          <w:tcPr>
            <w:tcW w:w="3519" w:type="pct"/>
          </w:tcPr>
          <w:p w14:paraId="5DB0EA8B" w14:textId="77777777" w:rsidR="006F4268" w:rsidRDefault="006F4268" w:rsidP="00D70F6D">
            <w:pPr>
              <w:pStyle w:val="Tabletext"/>
            </w:pPr>
            <w:r>
              <w:t>Opérations de réhabilitation de friches</w:t>
            </w:r>
          </w:p>
        </w:tc>
      </w:tr>
      <w:tr w:rsidR="006F4268" w14:paraId="014C7808" w14:textId="77777777" w:rsidTr="00DD3EE3">
        <w:trPr>
          <w:cnfStyle w:val="000000100000" w:firstRow="0" w:lastRow="0" w:firstColumn="0" w:lastColumn="0" w:oddVBand="0" w:evenVBand="0" w:oddHBand="1" w:evenHBand="0" w:firstRowFirstColumn="0" w:firstRowLastColumn="0" w:lastRowFirstColumn="0" w:lastRowLastColumn="0"/>
        </w:trPr>
        <w:tc>
          <w:tcPr>
            <w:tcW w:w="1481" w:type="pct"/>
          </w:tcPr>
          <w:p w14:paraId="396BFE0F" w14:textId="77777777" w:rsidR="006F4268" w:rsidRDefault="006F4268" w:rsidP="00D70F6D">
            <w:pPr>
              <w:pStyle w:val="Tabletext"/>
            </w:pPr>
            <w:r>
              <w:t>Subventions</w:t>
            </w:r>
          </w:p>
        </w:tc>
        <w:tc>
          <w:tcPr>
            <w:tcW w:w="3519" w:type="pct"/>
            <w:shd w:val="clear" w:color="auto" w:fill="FCE7BC" w:themeFill="accent3" w:themeFillTint="66"/>
          </w:tcPr>
          <w:p w14:paraId="7EFE6A99" w14:textId="77777777" w:rsidR="006F4268" w:rsidRDefault="003113B0" w:rsidP="00D70F6D">
            <w:pPr>
              <w:pStyle w:val="Tabletext"/>
            </w:pPr>
            <w:r>
              <w:t>Moyenne – Besoins supérieurs aux fonds disponibles</w:t>
            </w:r>
          </w:p>
        </w:tc>
      </w:tr>
      <w:tr w:rsidR="006F4268" w14:paraId="7BBC5E42" w14:textId="77777777" w:rsidTr="00DD3EE3">
        <w:trPr>
          <w:cnfStyle w:val="000000010000" w:firstRow="0" w:lastRow="0" w:firstColumn="0" w:lastColumn="0" w:oddVBand="0" w:evenVBand="0" w:oddHBand="0" w:evenHBand="1" w:firstRowFirstColumn="0" w:firstRowLastColumn="0" w:lastRowFirstColumn="0" w:lastRowLastColumn="0"/>
        </w:trPr>
        <w:tc>
          <w:tcPr>
            <w:tcW w:w="1481" w:type="pct"/>
          </w:tcPr>
          <w:p w14:paraId="6DA5758A" w14:textId="77777777" w:rsidR="006F4268" w:rsidRDefault="006F4268" w:rsidP="00D70F6D">
            <w:pPr>
              <w:pStyle w:val="Tabletext"/>
            </w:pPr>
            <w:r>
              <w:t>Dette</w:t>
            </w:r>
          </w:p>
        </w:tc>
        <w:tc>
          <w:tcPr>
            <w:tcW w:w="3519" w:type="pct"/>
            <w:shd w:val="clear" w:color="auto" w:fill="FCE7BC" w:themeFill="accent3" w:themeFillTint="66"/>
          </w:tcPr>
          <w:p w14:paraId="7F9B1688" w14:textId="77777777" w:rsidR="006F4268" w:rsidRDefault="003113B0" w:rsidP="00D70F6D">
            <w:pPr>
              <w:pStyle w:val="Tabletext"/>
            </w:pPr>
            <w:r>
              <w:t>Peu d’outils (pas nécessaire pour les EPF &amp; bailleurs)</w:t>
            </w:r>
          </w:p>
        </w:tc>
      </w:tr>
      <w:tr w:rsidR="006F4268" w14:paraId="3C0C9FC2" w14:textId="77777777" w:rsidTr="00DD3EE3">
        <w:trPr>
          <w:cnfStyle w:val="000000100000" w:firstRow="0" w:lastRow="0" w:firstColumn="0" w:lastColumn="0" w:oddVBand="0" w:evenVBand="0" w:oddHBand="1" w:evenHBand="0" w:firstRowFirstColumn="0" w:firstRowLastColumn="0" w:lastRowFirstColumn="0" w:lastRowLastColumn="0"/>
        </w:trPr>
        <w:tc>
          <w:tcPr>
            <w:tcW w:w="1481" w:type="pct"/>
          </w:tcPr>
          <w:p w14:paraId="0478F7C0" w14:textId="77777777" w:rsidR="006F4268" w:rsidRDefault="006F4268" w:rsidP="00D70F6D">
            <w:pPr>
              <w:pStyle w:val="Tabletext"/>
            </w:pPr>
            <w:r>
              <w:t>Garantie</w:t>
            </w:r>
          </w:p>
        </w:tc>
        <w:tc>
          <w:tcPr>
            <w:tcW w:w="3519" w:type="pct"/>
            <w:shd w:val="clear" w:color="auto" w:fill="FCE7BC" w:themeFill="accent3" w:themeFillTint="66"/>
          </w:tcPr>
          <w:p w14:paraId="2FC53846" w14:textId="77777777" w:rsidR="006F4268" w:rsidRDefault="003113B0" w:rsidP="00D70F6D">
            <w:pPr>
              <w:pStyle w:val="Tabletext"/>
            </w:pPr>
            <w:r>
              <w:t>Peu d’outils</w:t>
            </w:r>
          </w:p>
        </w:tc>
      </w:tr>
      <w:tr w:rsidR="006F4268" w14:paraId="7284B5F9" w14:textId="77777777" w:rsidTr="00DD3EE3">
        <w:trPr>
          <w:cnfStyle w:val="000000010000" w:firstRow="0" w:lastRow="0" w:firstColumn="0" w:lastColumn="0" w:oddVBand="0" w:evenVBand="0" w:oddHBand="0" w:evenHBand="1" w:firstRowFirstColumn="0" w:firstRowLastColumn="0" w:lastRowFirstColumn="0" w:lastRowLastColumn="0"/>
        </w:trPr>
        <w:tc>
          <w:tcPr>
            <w:tcW w:w="1481" w:type="pct"/>
          </w:tcPr>
          <w:p w14:paraId="4B59B682" w14:textId="77777777" w:rsidR="006F4268" w:rsidRDefault="006F4268" w:rsidP="00D70F6D">
            <w:pPr>
              <w:pStyle w:val="Tabletext"/>
            </w:pPr>
            <w:r>
              <w:t>Quasi-fonds propres et fonds propres</w:t>
            </w:r>
          </w:p>
        </w:tc>
        <w:tc>
          <w:tcPr>
            <w:tcW w:w="3519" w:type="pct"/>
            <w:shd w:val="clear" w:color="auto" w:fill="FCE7BC" w:themeFill="accent3" w:themeFillTint="66"/>
          </w:tcPr>
          <w:p w14:paraId="4BBB7BAF" w14:textId="77777777" w:rsidR="006F4268" w:rsidRDefault="003113B0" w:rsidP="00D70F6D">
            <w:pPr>
              <w:pStyle w:val="Tabletext"/>
            </w:pPr>
            <w:r>
              <w:t xml:space="preserve">EPF et bailleurs sociaux disposent de leurs propres fonds propres </w:t>
            </w:r>
          </w:p>
        </w:tc>
      </w:tr>
      <w:tr w:rsidR="006F4268" w14:paraId="5C89D603" w14:textId="77777777" w:rsidTr="00DD3EE3">
        <w:trPr>
          <w:cnfStyle w:val="000000100000" w:firstRow="0" w:lastRow="0" w:firstColumn="0" w:lastColumn="0" w:oddVBand="0" w:evenVBand="0" w:oddHBand="1" w:evenHBand="0" w:firstRowFirstColumn="0" w:firstRowLastColumn="0" w:lastRowFirstColumn="0" w:lastRowLastColumn="0"/>
        </w:trPr>
        <w:tc>
          <w:tcPr>
            <w:tcW w:w="1481" w:type="pct"/>
          </w:tcPr>
          <w:p w14:paraId="684603A5" w14:textId="77777777" w:rsidR="006F4268" w:rsidRDefault="006F4268" w:rsidP="00D70F6D">
            <w:pPr>
              <w:pStyle w:val="Tabletext"/>
            </w:pPr>
            <w:r>
              <w:t>Niveau de couverture globale</w:t>
            </w:r>
          </w:p>
        </w:tc>
        <w:tc>
          <w:tcPr>
            <w:tcW w:w="3519" w:type="pct"/>
            <w:shd w:val="clear" w:color="auto" w:fill="FCE7BC" w:themeFill="accent3" w:themeFillTint="66"/>
          </w:tcPr>
          <w:p w14:paraId="6106CA40" w14:textId="77777777" w:rsidR="006F4268" w:rsidRDefault="003113B0" w:rsidP="00D70F6D">
            <w:pPr>
              <w:pStyle w:val="Tabletext"/>
            </w:pPr>
            <w:r>
              <w:t>Moyenne</w:t>
            </w:r>
          </w:p>
        </w:tc>
      </w:tr>
    </w:tbl>
    <w:p w14:paraId="2EE405FC" w14:textId="77777777" w:rsidR="00B90AC0" w:rsidRDefault="00B90AC0" w:rsidP="00B90AC0">
      <w:pPr>
        <w:pStyle w:val="BodyText"/>
      </w:pPr>
    </w:p>
    <w:p w14:paraId="7CC666AA" w14:textId="50F056BA" w:rsidR="00C85DF2" w:rsidRDefault="00C85DF2" w:rsidP="00C85DF2">
      <w:pPr>
        <w:pStyle w:val="Caption"/>
      </w:pPr>
      <w:bookmarkStart w:id="127" w:name="_Toc88842111"/>
      <w:r>
        <w:t xml:space="preserve">Tableau </w:t>
      </w:r>
      <w:r>
        <w:rPr>
          <w:color w:val="2B579A"/>
          <w:shd w:val="clear" w:color="auto" w:fill="E6E6E6"/>
        </w:rPr>
        <w:fldChar w:fldCharType="begin"/>
      </w:r>
      <w:r>
        <w:instrText xml:space="preserve"> SEQ Tableau \* ARABIC </w:instrText>
      </w:r>
      <w:r>
        <w:rPr>
          <w:color w:val="2B579A"/>
          <w:shd w:val="clear" w:color="auto" w:fill="E6E6E6"/>
        </w:rPr>
        <w:fldChar w:fldCharType="separate"/>
      </w:r>
      <w:r w:rsidR="009F0282">
        <w:rPr>
          <w:noProof/>
        </w:rPr>
        <w:t>23</w:t>
      </w:r>
      <w:r>
        <w:rPr>
          <w:color w:val="2B579A"/>
          <w:shd w:val="clear" w:color="auto" w:fill="E6E6E6"/>
        </w:rPr>
        <w:fldChar w:fldCharType="end"/>
      </w:r>
      <w:r>
        <w:t xml:space="preserve"> </w:t>
      </w:r>
      <w:r w:rsidRPr="00D15FDD">
        <w:t>Niveau de couverture des besoins par l’offre régionale</w:t>
      </w:r>
      <w:bookmarkEnd w:id="127"/>
    </w:p>
    <w:tbl>
      <w:tblPr>
        <w:tblStyle w:val="TechnopolisTable20"/>
        <w:tblW w:w="5000" w:type="pct"/>
        <w:tblLook w:val="04A0" w:firstRow="1" w:lastRow="0" w:firstColumn="1" w:lastColumn="0" w:noHBand="0" w:noVBand="1"/>
      </w:tblPr>
      <w:tblGrid>
        <w:gridCol w:w="1273"/>
        <w:gridCol w:w="1698"/>
        <w:gridCol w:w="1419"/>
        <w:gridCol w:w="1559"/>
        <w:gridCol w:w="1745"/>
        <w:gridCol w:w="1368"/>
      </w:tblGrid>
      <w:tr w:rsidR="00B90AC0" w14:paraId="73DF785A" w14:textId="77777777" w:rsidTr="002B4F17">
        <w:trPr>
          <w:cnfStyle w:val="100000000000" w:firstRow="1" w:lastRow="0" w:firstColumn="0" w:lastColumn="0" w:oddVBand="0" w:evenVBand="0" w:oddHBand="0" w:evenHBand="0" w:firstRowFirstColumn="0" w:firstRowLastColumn="0" w:lastRowFirstColumn="0" w:lastRowLastColumn="0"/>
        </w:trPr>
        <w:tc>
          <w:tcPr>
            <w:tcW w:w="702" w:type="pct"/>
          </w:tcPr>
          <w:p w14:paraId="625D8AF5" w14:textId="77777777" w:rsidR="00B90AC0" w:rsidRDefault="00B90AC0" w:rsidP="002B4F17">
            <w:pPr>
              <w:pStyle w:val="Tabletext"/>
              <w:jc w:val="center"/>
            </w:pPr>
            <w:r w:rsidRPr="005C3761">
              <w:t>Secteur</w:t>
            </w:r>
          </w:p>
        </w:tc>
        <w:tc>
          <w:tcPr>
            <w:tcW w:w="937" w:type="pct"/>
          </w:tcPr>
          <w:p w14:paraId="39A8B4F1" w14:textId="77777777" w:rsidR="00B90AC0" w:rsidRPr="005C3761" w:rsidRDefault="00B90AC0" w:rsidP="002B4F17">
            <w:pPr>
              <w:pStyle w:val="Tabletext"/>
              <w:jc w:val="center"/>
            </w:pPr>
            <w:r>
              <w:t>Estimation des investissements nécessaires</w:t>
            </w:r>
          </w:p>
        </w:tc>
        <w:tc>
          <w:tcPr>
            <w:tcW w:w="783" w:type="pct"/>
          </w:tcPr>
          <w:p w14:paraId="18325686" w14:textId="77777777" w:rsidR="00B90AC0" w:rsidRDefault="00B90AC0" w:rsidP="002B4F17">
            <w:pPr>
              <w:pStyle w:val="Tabletext"/>
              <w:jc w:val="center"/>
            </w:pPr>
            <w:r w:rsidRPr="005C3761">
              <w:t>Couverture des besoins</w:t>
            </w:r>
          </w:p>
        </w:tc>
        <w:tc>
          <w:tcPr>
            <w:tcW w:w="860" w:type="pct"/>
          </w:tcPr>
          <w:p w14:paraId="5E2E0568" w14:textId="77777777" w:rsidR="00B90AC0" w:rsidRDefault="00B90AC0" w:rsidP="002B4F17">
            <w:pPr>
              <w:pStyle w:val="Tabletext"/>
              <w:jc w:val="center"/>
            </w:pPr>
            <w:r w:rsidRPr="005C3761">
              <w:t>Défaillances</w:t>
            </w:r>
          </w:p>
        </w:tc>
        <w:tc>
          <w:tcPr>
            <w:tcW w:w="963" w:type="pct"/>
          </w:tcPr>
          <w:p w14:paraId="26923F80" w14:textId="77777777" w:rsidR="00B90AC0" w:rsidRDefault="00B90AC0" w:rsidP="002B4F17">
            <w:pPr>
              <w:pStyle w:val="Tabletext"/>
              <w:jc w:val="center"/>
            </w:pPr>
            <w:r w:rsidRPr="005C3761">
              <w:t>Types d’IF</w:t>
            </w:r>
          </w:p>
        </w:tc>
        <w:tc>
          <w:tcPr>
            <w:tcW w:w="755" w:type="pct"/>
          </w:tcPr>
          <w:p w14:paraId="539AC75F" w14:textId="77777777" w:rsidR="00B90AC0" w:rsidRPr="005C3761" w:rsidRDefault="00B90AC0" w:rsidP="002B4F17">
            <w:pPr>
              <w:pStyle w:val="Tabletext"/>
              <w:jc w:val="center"/>
            </w:pPr>
            <w:r>
              <w:t>Autres défaillances et freins non financiers</w:t>
            </w:r>
          </w:p>
        </w:tc>
      </w:tr>
      <w:tr w:rsidR="00B90AC0" w14:paraId="48DA44D9" w14:textId="77777777" w:rsidTr="002B4F17">
        <w:trPr>
          <w:cnfStyle w:val="000000100000" w:firstRow="0" w:lastRow="0" w:firstColumn="0" w:lastColumn="0" w:oddVBand="0" w:evenVBand="0" w:oddHBand="1" w:evenHBand="0" w:firstRowFirstColumn="0" w:firstRowLastColumn="0" w:lastRowFirstColumn="0" w:lastRowLastColumn="0"/>
        </w:trPr>
        <w:tc>
          <w:tcPr>
            <w:tcW w:w="702" w:type="pct"/>
          </w:tcPr>
          <w:p w14:paraId="5F1903AA" w14:textId="77777777" w:rsidR="00B90AC0" w:rsidRPr="005C3761" w:rsidRDefault="00B90AC0" w:rsidP="002B4F17">
            <w:pPr>
              <w:pStyle w:val="Tabletext"/>
              <w:jc w:val="center"/>
              <w:rPr>
                <w:b/>
              </w:rPr>
            </w:pPr>
            <w:r>
              <w:rPr>
                <w:b/>
              </w:rPr>
              <w:t>Réhabilitation de friches</w:t>
            </w:r>
          </w:p>
        </w:tc>
        <w:tc>
          <w:tcPr>
            <w:tcW w:w="937" w:type="pct"/>
            <w:shd w:val="clear" w:color="auto" w:fill="auto"/>
          </w:tcPr>
          <w:p w14:paraId="5DAE6B0B" w14:textId="77777777" w:rsidR="00B90AC0" w:rsidRDefault="00B90AC0" w:rsidP="002B4F17">
            <w:pPr>
              <w:pStyle w:val="Tabletext"/>
              <w:jc w:val="center"/>
            </w:pPr>
            <w:r>
              <w:t xml:space="preserve">A définir </w:t>
            </w:r>
          </w:p>
          <w:p w14:paraId="074D807B" w14:textId="77777777" w:rsidR="00B90AC0" w:rsidRDefault="00B90AC0" w:rsidP="002B4F17">
            <w:pPr>
              <w:pStyle w:val="Tabletext"/>
              <w:jc w:val="center"/>
            </w:pPr>
          </w:p>
          <w:p w14:paraId="4346AF59" w14:textId="77777777" w:rsidR="00B90AC0" w:rsidRDefault="00B90AC0" w:rsidP="002B4F17">
            <w:pPr>
              <w:pStyle w:val="Tabletext"/>
              <w:jc w:val="center"/>
              <w:rPr>
                <w:rFonts w:ascii="Century Gothic" w:hAnsi="Century Gothic"/>
                <w:szCs w:val="16"/>
              </w:rPr>
            </w:pPr>
          </w:p>
        </w:tc>
        <w:tc>
          <w:tcPr>
            <w:tcW w:w="783" w:type="pct"/>
            <w:shd w:val="clear" w:color="auto" w:fill="FCE7BC" w:themeFill="accent3" w:themeFillTint="66"/>
          </w:tcPr>
          <w:p w14:paraId="09C1B9CF" w14:textId="77777777" w:rsidR="00B90AC0" w:rsidRDefault="00B90AC0" w:rsidP="002B4F17">
            <w:pPr>
              <w:pStyle w:val="Tabletext"/>
              <w:jc w:val="center"/>
            </w:pPr>
            <w:r>
              <w:t>Moyenne</w:t>
            </w:r>
          </w:p>
        </w:tc>
        <w:tc>
          <w:tcPr>
            <w:tcW w:w="860" w:type="pct"/>
            <w:shd w:val="clear" w:color="auto" w:fill="auto"/>
          </w:tcPr>
          <w:p w14:paraId="6801F0D2" w14:textId="77777777" w:rsidR="00B90AC0" w:rsidRDefault="00B90AC0" w:rsidP="002B4F17">
            <w:pPr>
              <w:pStyle w:val="Tablebullet1"/>
            </w:pPr>
            <w:r>
              <w:t xml:space="preserve">Opérations déficitaires (en zone détendue) non financés par le privé </w:t>
            </w:r>
          </w:p>
          <w:p w14:paraId="2D809217" w14:textId="77777777" w:rsidR="00B90AC0" w:rsidRDefault="00B90AC0" w:rsidP="002B4F17">
            <w:pPr>
              <w:pStyle w:val="Tablebullet1"/>
            </w:pPr>
            <w:proofErr w:type="spellStart"/>
            <w:r>
              <w:t>Fianncement</w:t>
            </w:r>
            <w:proofErr w:type="spellEnd"/>
            <w:r>
              <w:t xml:space="preserve"> de la réhabilitation de sites très pollués </w:t>
            </w:r>
          </w:p>
        </w:tc>
        <w:tc>
          <w:tcPr>
            <w:tcW w:w="963" w:type="pct"/>
            <w:shd w:val="clear" w:color="auto" w:fill="auto"/>
          </w:tcPr>
          <w:p w14:paraId="3871421D" w14:textId="087A54B2" w:rsidR="00B90AC0" w:rsidRDefault="005D3A6C" w:rsidP="002B4F17">
            <w:pPr>
              <w:pStyle w:val="Tablebullet1"/>
            </w:pPr>
            <w:r>
              <w:t>Foncière Immobilière</w:t>
            </w:r>
          </w:p>
          <w:p w14:paraId="2B0B496F" w14:textId="1171BC83" w:rsidR="00B90AC0" w:rsidRDefault="005D3A6C" w:rsidP="002C246E">
            <w:pPr>
              <w:pStyle w:val="Tablebullet1"/>
            </w:pPr>
            <w:r>
              <w:t xml:space="preserve">Fonds de fonds proposant des garanties et prêts </w:t>
            </w:r>
          </w:p>
        </w:tc>
        <w:tc>
          <w:tcPr>
            <w:tcW w:w="755" w:type="pct"/>
          </w:tcPr>
          <w:p w14:paraId="6B0D044F" w14:textId="77777777" w:rsidR="00B90AC0" w:rsidRDefault="00B90AC0" w:rsidP="002B4F17">
            <w:pPr>
              <w:pStyle w:val="Tablebullet1"/>
            </w:pPr>
            <w:r>
              <w:t xml:space="preserve">Manque d’ingénierie </w:t>
            </w:r>
          </w:p>
          <w:p w14:paraId="6D6B347F" w14:textId="77777777" w:rsidR="00B90AC0" w:rsidRDefault="00B90AC0" w:rsidP="002B4F17">
            <w:pPr>
              <w:pStyle w:val="Tablebullet1"/>
            </w:pPr>
            <w:r>
              <w:t>Difficile estimation a priori des coûts de dépollution</w:t>
            </w:r>
          </w:p>
          <w:p w14:paraId="44C9D842" w14:textId="77777777" w:rsidR="00B90AC0" w:rsidRDefault="00B90AC0" w:rsidP="002B4F17">
            <w:pPr>
              <w:pStyle w:val="Tablebullet1"/>
            </w:pPr>
            <w:r>
              <w:t xml:space="preserve">Principe du pollueur payeur </w:t>
            </w:r>
          </w:p>
          <w:p w14:paraId="0E7A3A04" w14:textId="77777777" w:rsidR="00B90AC0" w:rsidRDefault="00B90AC0" w:rsidP="002B4F17">
            <w:pPr>
              <w:pStyle w:val="Tablebullet1"/>
            </w:pPr>
            <w:r>
              <w:t>Disparités territoriales concernant les capacités de portage foncier</w:t>
            </w:r>
          </w:p>
          <w:p w14:paraId="02105D5C" w14:textId="77777777" w:rsidR="00B90AC0" w:rsidRDefault="00B90AC0" w:rsidP="002B4F17">
            <w:pPr>
              <w:pStyle w:val="Tablebullet1"/>
              <w:numPr>
                <w:ilvl w:val="0"/>
                <w:numId w:val="0"/>
              </w:numPr>
            </w:pPr>
          </w:p>
        </w:tc>
      </w:tr>
    </w:tbl>
    <w:p w14:paraId="7626D4DB" w14:textId="6D394450" w:rsidR="0001633A" w:rsidRDefault="0001633A">
      <w:pPr>
        <w:rPr>
          <w:rFonts w:asciiTheme="majorHAnsi" w:eastAsiaTheme="majorEastAsia" w:hAnsiTheme="majorHAnsi" w:cstheme="majorBidi"/>
          <w:color w:val="CF342C" w:themeColor="text2"/>
          <w:sz w:val="22"/>
          <w:szCs w:val="26"/>
        </w:rPr>
      </w:pPr>
    </w:p>
    <w:p w14:paraId="48FE922B" w14:textId="77777777" w:rsidR="0001633A" w:rsidRDefault="0001633A">
      <w:pPr>
        <w:rPr>
          <w:rFonts w:asciiTheme="majorHAnsi" w:eastAsiaTheme="majorEastAsia" w:hAnsiTheme="majorHAnsi" w:cstheme="majorBidi"/>
          <w:color w:val="CF342C" w:themeColor="text2"/>
          <w:sz w:val="22"/>
          <w:szCs w:val="26"/>
        </w:rPr>
      </w:pPr>
      <w:r>
        <w:rPr>
          <w:rFonts w:asciiTheme="majorHAnsi" w:eastAsiaTheme="majorEastAsia" w:hAnsiTheme="majorHAnsi" w:cstheme="majorBidi"/>
          <w:color w:val="CF342C" w:themeColor="text2"/>
          <w:sz w:val="22"/>
          <w:szCs w:val="26"/>
        </w:rPr>
        <w:br w:type="page"/>
      </w:r>
    </w:p>
    <w:p w14:paraId="399B66EB" w14:textId="3152ACEB" w:rsidR="00E018F5" w:rsidRDefault="00BD37B9" w:rsidP="00654653">
      <w:pPr>
        <w:pStyle w:val="Heading1"/>
      </w:pPr>
      <w:bookmarkStart w:id="128" w:name="_Toc93390297"/>
      <w:bookmarkEnd w:id="100"/>
      <w:r>
        <w:t>Synthèse des défaillances de marché et situations de financement sous-optimales</w:t>
      </w:r>
      <w:bookmarkEnd w:id="128"/>
    </w:p>
    <w:p w14:paraId="236C987F" w14:textId="483B937F" w:rsidR="008E6BBE" w:rsidRDefault="008E6BBE" w:rsidP="00E72DF0">
      <w:pPr>
        <w:pStyle w:val="BodyText"/>
      </w:pPr>
      <w:r>
        <w:t xml:space="preserve">Le tableau ci-dessous synthétise l’ensemble des défaillances de marché et situations de financement sous-optimales identifiées en </w:t>
      </w:r>
      <w:r w:rsidR="001F3131">
        <w:t>janvier</w:t>
      </w:r>
      <w:r>
        <w:t xml:space="preserve"> 202</w:t>
      </w:r>
      <w:r w:rsidR="001F3131">
        <w:t>2</w:t>
      </w:r>
      <w:r>
        <w:t xml:space="preserve">. En vert sont identifiées les carences pour lesquelles l’évaluation ex-ante des instruments financiers ouvre la possibilité d’une intervention régionale et en bleu, les carences pour lesquelles le FEDER peut être mobilisé dans le cadre de cette intervention régionale. Les carences de marché restées en blanc ne demandent pas d’intervention régionale via des instruments financiers. </w:t>
      </w:r>
    </w:p>
    <w:p w14:paraId="0B587C43" w14:textId="715F98E9" w:rsidR="00882804" w:rsidRDefault="00882804" w:rsidP="00DD3EE3">
      <w:pPr>
        <w:pStyle w:val="Caption"/>
      </w:pPr>
      <w:bookmarkStart w:id="129" w:name="_Ref93944916"/>
      <w:r>
        <w:t xml:space="preserve">Encadré </w:t>
      </w:r>
      <w:r>
        <w:fldChar w:fldCharType="begin"/>
      </w:r>
      <w:r>
        <w:instrText xml:space="preserve"> SEQ Encadré \* ARABIC </w:instrText>
      </w:r>
      <w:r>
        <w:fldChar w:fldCharType="separate"/>
      </w:r>
      <w:r w:rsidR="009F0282">
        <w:rPr>
          <w:noProof/>
        </w:rPr>
        <w:t>32</w:t>
      </w:r>
      <w:r>
        <w:fldChar w:fldCharType="end"/>
      </w:r>
      <w:bookmarkEnd w:id="129"/>
      <w:r>
        <w:t xml:space="preserve"> Evolutions réglementaires à anticiper pour la période 2021-2027</w:t>
      </w:r>
    </w:p>
    <w:tbl>
      <w:tblPr>
        <w:tblStyle w:val="TechnopolisTable"/>
        <w:tblW w:w="5000" w:type="pct"/>
        <w:tblLook w:val="0480" w:firstRow="0" w:lastRow="0" w:firstColumn="1" w:lastColumn="0" w:noHBand="0" w:noVBand="1"/>
      </w:tblPr>
      <w:tblGrid>
        <w:gridCol w:w="9062"/>
      </w:tblGrid>
      <w:tr w:rsidR="00C97CA4" w14:paraId="36388352" w14:textId="77777777" w:rsidTr="00DD3EE3">
        <w:trPr>
          <w:cnfStyle w:val="000000100000" w:firstRow="0" w:lastRow="0" w:firstColumn="0" w:lastColumn="0" w:oddVBand="0" w:evenVBand="0" w:oddHBand="1" w:evenHBand="0" w:firstRowFirstColumn="0" w:firstRowLastColumn="0" w:lastRowFirstColumn="0" w:lastRowLastColumn="0"/>
        </w:trPr>
        <w:tc>
          <w:tcPr>
            <w:tcW w:w="5000" w:type="pct"/>
          </w:tcPr>
          <w:p w14:paraId="62949139" w14:textId="77777777" w:rsidR="00726CDA" w:rsidRDefault="00BC678F" w:rsidP="00DD3EE3">
            <w:pPr>
              <w:pStyle w:val="Tabletext"/>
              <w:jc w:val="both"/>
            </w:pPr>
            <w:r>
              <w:t>L’ensemble des interventions visant à couvrir les défaillances de marché mentionnées ci-dessous s’inscrivent dans le cadre de la réglementation européenne sur les Aides d’Etat</w:t>
            </w:r>
            <w:r w:rsidR="009066C9">
              <w:t xml:space="preserve">, qui interdit par principe les aides d’Etat aux entreprises, sauf dérogations. Ces dérogations sont </w:t>
            </w:r>
            <w:r w:rsidR="00C21A31">
              <w:t>définies</w:t>
            </w:r>
            <w:r w:rsidR="009066C9">
              <w:t xml:space="preserve"> </w:t>
            </w:r>
            <w:r w:rsidR="00C21A31">
              <w:t>par</w:t>
            </w:r>
            <w:r w:rsidR="009066C9">
              <w:t xml:space="preserve"> le Règlement Général d’Exemption par Catégories (RGEC) et par les lignes directrices</w:t>
            </w:r>
            <w:r w:rsidR="00C21A31">
              <w:t xml:space="preserve"> (communications, encadrements</w:t>
            </w:r>
            <w:r w:rsidR="007C5C0A">
              <w:t xml:space="preserve">, </w:t>
            </w:r>
            <w:proofErr w:type="spellStart"/>
            <w:r w:rsidR="007C5C0A">
              <w:t>juridsprudence</w:t>
            </w:r>
            <w:proofErr w:type="spellEnd"/>
            <w:r w:rsidR="007C5C0A">
              <w:t xml:space="preserve"> de la Commission Européenne). </w:t>
            </w:r>
          </w:p>
          <w:p w14:paraId="6D92482E" w14:textId="191FD520" w:rsidR="00043A0D" w:rsidRDefault="007C5C0A" w:rsidP="00DD3EE3">
            <w:pPr>
              <w:pStyle w:val="Tabletext"/>
              <w:jc w:val="both"/>
            </w:pPr>
            <w:r>
              <w:t>Concernant les projets de territoires ici étudiés, le</w:t>
            </w:r>
            <w:r w:rsidR="00E70E23">
              <w:t>s exemptions pertinentes sont les exemptions liées à l’environnement, les exemptions à la recherche, développement et innovation ainsi que les exemptions à destination des PME.</w:t>
            </w:r>
            <w:r w:rsidR="00452E88">
              <w:t xml:space="preserve"> </w:t>
            </w:r>
            <w:r w:rsidR="00043A0D">
              <w:t xml:space="preserve">Ces exemptions sont concernées par des évolutions réglementaires en cours qui vont impacter les régimes d’aides d’Etat en support de l’allocation des FESI : </w:t>
            </w:r>
          </w:p>
          <w:p w14:paraId="24744B98" w14:textId="255306C1" w:rsidR="00043A0D" w:rsidRDefault="00043A0D" w:rsidP="00AA0D3D">
            <w:pPr>
              <w:pStyle w:val="Tablebullet1"/>
            </w:pPr>
            <w:r>
              <w:t>De nouvelles lignes directrices concernant les aides d’Etat à Finalité Régionales (AFR</w:t>
            </w:r>
            <w:r w:rsidR="00E9357E">
              <w:t xml:space="preserve"> - </w:t>
            </w:r>
            <w:r>
              <w:t xml:space="preserve">communication 2021/C 153/01) </w:t>
            </w:r>
            <w:r w:rsidR="00E9357E">
              <w:t xml:space="preserve">ainsi que les aides d’Etat au climat, à la protection de l’environnement et à l’énergie </w:t>
            </w:r>
            <w:r w:rsidR="00134272">
              <w:t>(</w:t>
            </w:r>
            <w:r w:rsidR="00134272" w:rsidRPr="00134272">
              <w:t>C(2021) 9817</w:t>
            </w:r>
            <w:r w:rsidR="00134272">
              <w:t xml:space="preserve">) </w:t>
            </w:r>
            <w:r>
              <w:t xml:space="preserve">sont entrées en vigueur en janvier 2022 </w:t>
            </w:r>
            <w:r w:rsidRPr="00043A0D">
              <w:rPr>
                <w:rFonts w:ascii="Arial" w:hAnsi="Arial" w:cs="Arial"/>
              </w:rPr>
              <w:t> </w:t>
            </w:r>
            <w:r>
              <w:t xml:space="preserve">; </w:t>
            </w:r>
          </w:p>
          <w:p w14:paraId="407758DE" w14:textId="204D66E9" w:rsidR="00D131D5" w:rsidRDefault="00D131D5" w:rsidP="00DD3EE3">
            <w:pPr>
              <w:pStyle w:val="Tablebullet1"/>
              <w:numPr>
                <w:ilvl w:val="1"/>
                <w:numId w:val="23"/>
              </w:numPr>
            </w:pPr>
            <w:r w:rsidRPr="00D131D5">
              <w:t xml:space="preserve">celles-ci introduisent de </w:t>
            </w:r>
            <w:r w:rsidR="007C17D0">
              <w:t>nouvelles</w:t>
            </w:r>
            <w:r w:rsidRPr="00D131D5">
              <w:t xml:space="preserve"> catégories d’aides et notamment « 4.1 les aides à la réduction et à la suppression des émissions de gaz à effet de serre notamment en soutenant les énergies renouvelables ; 4.3 les aides en faveur d’une mobilité propre ; 4.4 les aides à l’utilisation efficace des ressources et au soutien à la transition vers une économie circulaire »</w:t>
            </w:r>
          </w:p>
          <w:p w14:paraId="3BC5D585" w14:textId="77777777" w:rsidR="00043A0D" w:rsidRDefault="00043A0D" w:rsidP="00AA0D3D">
            <w:pPr>
              <w:pStyle w:val="Tablebullet1"/>
            </w:pPr>
            <w:r>
              <w:t>Le RGEC a été amendé par le biais du règlement 2021/1237 du 23 juillet 2021 afin de répondre à la situation engendrée par le coronavirus. Il présente également de nouvelles exemptions en attendant une version définitive en janvier 2024</w:t>
            </w:r>
            <w:r w:rsidRPr="00043A0D">
              <w:rPr>
                <w:rFonts w:ascii="Arial" w:hAnsi="Arial" w:cs="Arial"/>
              </w:rPr>
              <w:t> </w:t>
            </w:r>
            <w:r>
              <w:t xml:space="preserve">;  </w:t>
            </w:r>
          </w:p>
          <w:p w14:paraId="5E004E45" w14:textId="22D8BA14" w:rsidR="00043A0D" w:rsidRDefault="00043A0D" w:rsidP="00AA0D3D">
            <w:pPr>
              <w:pStyle w:val="Tablebullet1"/>
              <w:numPr>
                <w:ilvl w:val="1"/>
                <w:numId w:val="23"/>
              </w:numPr>
            </w:pPr>
            <w:r>
              <w:t>En matière de RDI, cet amendement introduit la possibilité pour les projets bénéficiant de financements au titre d’Horizon Europe d’avoir le taux le plus élevé</w:t>
            </w:r>
            <w:r w:rsidR="002E45A6">
              <w:t> ;</w:t>
            </w:r>
            <w:r>
              <w:t xml:space="preserve"> </w:t>
            </w:r>
          </w:p>
          <w:p w14:paraId="065F516A" w14:textId="1A1A2A93" w:rsidR="00A82C15" w:rsidRDefault="00043A0D" w:rsidP="00AA0D3D">
            <w:pPr>
              <w:pStyle w:val="Tablebullet1"/>
              <w:numPr>
                <w:ilvl w:val="1"/>
                <w:numId w:val="23"/>
              </w:numPr>
            </w:pPr>
            <w:r>
              <w:t xml:space="preserve">En matière d’AFR, il modifie à la marge la législation en reprenant certains points des </w:t>
            </w:r>
            <w:r w:rsidR="00DB6283">
              <w:t>lignes directrices de</w:t>
            </w:r>
            <w:r>
              <w:t xml:space="preserve"> 2021(coopération territoriale et DLAL) auxquelles il est postérieur. </w:t>
            </w:r>
          </w:p>
          <w:p w14:paraId="0BB496B2" w14:textId="78BAD2EA" w:rsidR="00205BF5" w:rsidRPr="00DD3EE3" w:rsidRDefault="00043A0D" w:rsidP="000267DD">
            <w:pPr>
              <w:pStyle w:val="Tablebullet1"/>
              <w:rPr>
                <w:b/>
                <w:bCs/>
              </w:rPr>
            </w:pPr>
            <w:r>
              <w:t xml:space="preserve">De nouvelles évolutions du RGEC sont attendues, notamment </w:t>
            </w:r>
            <w:r w:rsidR="007F21D5">
              <w:t>suite à la</w:t>
            </w:r>
            <w:r>
              <w:t xml:space="preserve"> publication des nouvelles </w:t>
            </w:r>
            <w:r w:rsidR="000267DD">
              <w:t>lignes directrices</w:t>
            </w:r>
            <w:r>
              <w:t xml:space="preserve"> concernant les aides d’Etats au climat, à la protection de l’environnement et à l’énergie pour 202</w:t>
            </w:r>
            <w:r w:rsidR="000267DD">
              <w:t>2.</w:t>
            </w:r>
            <w:r w:rsidR="00A82C15">
              <w:t xml:space="preserve"> </w:t>
            </w:r>
            <w:r w:rsidRPr="00DD3EE3">
              <w:rPr>
                <w:b/>
                <w:bCs/>
              </w:rPr>
              <w:t>Le futur RGEC 2024-2030 entrera en application au 1er janvier 2024</w:t>
            </w:r>
            <w:r w:rsidRPr="00DD3EE3">
              <w:rPr>
                <w:rFonts w:ascii="Arial" w:hAnsi="Arial" w:cs="Arial"/>
                <w:b/>
                <w:bCs/>
              </w:rPr>
              <w:t> </w:t>
            </w:r>
            <w:r w:rsidRPr="00DD3EE3">
              <w:rPr>
                <w:b/>
                <w:bCs/>
              </w:rPr>
              <w:t>(voir r</w:t>
            </w:r>
            <w:r w:rsidRPr="00DD3EE3">
              <w:rPr>
                <w:rFonts w:ascii="Century Gothic" w:hAnsi="Century Gothic" w:cs="Century Gothic"/>
                <w:b/>
                <w:bCs/>
              </w:rPr>
              <w:t>è</w:t>
            </w:r>
            <w:r w:rsidRPr="00DD3EE3">
              <w:rPr>
                <w:b/>
                <w:bCs/>
              </w:rPr>
              <w:t>glement 2020/972 du 2 juillet 2020)</w:t>
            </w:r>
            <w:r w:rsidRPr="00DD3EE3">
              <w:rPr>
                <w:rFonts w:ascii="Arial" w:hAnsi="Arial" w:cs="Arial"/>
                <w:b/>
                <w:bCs/>
              </w:rPr>
              <w:t> </w:t>
            </w:r>
            <w:r w:rsidRPr="00DD3EE3">
              <w:rPr>
                <w:b/>
                <w:bCs/>
              </w:rPr>
              <w:t xml:space="preserve">; </w:t>
            </w:r>
          </w:p>
          <w:p w14:paraId="25AEFC5E" w14:textId="180BE6AA" w:rsidR="00C97CA4" w:rsidRDefault="00043A0D" w:rsidP="00AA0D3D">
            <w:pPr>
              <w:pStyle w:val="Tablebullet1"/>
            </w:pPr>
            <w:r>
              <w:t>En l’état actuel de la législation, il sera possible de notifier de futurs régimes d’aide ou des aides individuelles en matière environnementale à compter de janvier 2022.</w:t>
            </w:r>
          </w:p>
          <w:p w14:paraId="7040DD55" w14:textId="77777777" w:rsidR="00D131D5" w:rsidRDefault="00D131D5" w:rsidP="00A87E2A">
            <w:pPr>
              <w:pStyle w:val="Tablebullet1"/>
              <w:numPr>
                <w:ilvl w:val="0"/>
                <w:numId w:val="0"/>
              </w:numPr>
            </w:pPr>
          </w:p>
          <w:p w14:paraId="61706C4B" w14:textId="77777777" w:rsidR="00733444" w:rsidRDefault="000A1A59" w:rsidP="00733444">
            <w:pPr>
              <w:pStyle w:val="Tablebullet1"/>
              <w:numPr>
                <w:ilvl w:val="0"/>
                <w:numId w:val="0"/>
              </w:numPr>
            </w:pPr>
            <w:r>
              <w:t xml:space="preserve">Outre </w:t>
            </w:r>
            <w:r w:rsidR="00733444">
              <w:t>les</w:t>
            </w:r>
            <w:r>
              <w:t xml:space="preserve"> nouvelles définitions relatives aux aides à l’environnement </w:t>
            </w:r>
            <w:r w:rsidR="00A87E2A">
              <w:t>à prendre en compte dans les interventions sur la période 2021-2027</w:t>
            </w:r>
            <w:r>
              <w:t xml:space="preserve">, </w:t>
            </w:r>
            <w:r w:rsidR="00733444">
              <w:t>il est également à noter une é</w:t>
            </w:r>
            <w:r>
              <w:t>volution des seuils de notification</w:t>
            </w:r>
            <w:r>
              <w:rPr>
                <w:rFonts w:ascii="Arial" w:hAnsi="Arial" w:cs="Arial"/>
              </w:rPr>
              <w:t> </w:t>
            </w:r>
            <w:r>
              <w:t xml:space="preserve">(article 4 du RGEC) : </w:t>
            </w:r>
          </w:p>
          <w:p w14:paraId="14F52F6E" w14:textId="57AB4B31" w:rsidR="000A1A59" w:rsidRDefault="000A1A59" w:rsidP="00733444">
            <w:pPr>
              <w:pStyle w:val="Tablebullet1"/>
            </w:pPr>
            <w:r>
              <w:t>le point s) est remplac</w:t>
            </w:r>
            <w:r>
              <w:rPr>
                <w:rFonts w:ascii="Century Gothic" w:hAnsi="Century Gothic" w:cs="Century Gothic"/>
              </w:rPr>
              <w:t>é</w:t>
            </w:r>
            <w:r>
              <w:t xml:space="preserve"> par le texte suivant</w:t>
            </w:r>
            <w:r>
              <w:rPr>
                <w:rFonts w:ascii="Arial" w:hAnsi="Arial" w:cs="Arial"/>
              </w:rPr>
              <w:t> </w:t>
            </w:r>
            <w:r>
              <w:t xml:space="preserve">: </w:t>
            </w:r>
            <w:r>
              <w:rPr>
                <w:rFonts w:ascii="Century Gothic" w:hAnsi="Century Gothic" w:cs="Century Gothic"/>
              </w:rPr>
              <w:t>«</w:t>
            </w:r>
            <w:r>
              <w:rPr>
                <w:rFonts w:ascii="Arial" w:hAnsi="Arial" w:cs="Arial"/>
              </w:rPr>
              <w:t> </w:t>
            </w:r>
            <w:r>
              <w:t xml:space="preserve">en ce qui concerne les aides </w:t>
            </w:r>
            <w:r>
              <w:rPr>
                <w:rFonts w:ascii="Century Gothic" w:hAnsi="Century Gothic" w:cs="Century Gothic"/>
              </w:rPr>
              <w:t>à</w:t>
            </w:r>
            <w:r>
              <w:t xml:space="preserve"> l</w:t>
            </w:r>
            <w:r>
              <w:rPr>
                <w:rFonts w:ascii="Century Gothic" w:hAnsi="Century Gothic" w:cs="Century Gothic"/>
              </w:rPr>
              <w:t>’</w:t>
            </w:r>
            <w:r>
              <w:t>investissement en faveur de la protection de l</w:t>
            </w:r>
            <w:r>
              <w:rPr>
                <w:rFonts w:ascii="Century Gothic" w:hAnsi="Century Gothic" w:cs="Century Gothic"/>
              </w:rPr>
              <w:t>’</w:t>
            </w:r>
            <w:r>
              <w:t xml:space="preserve">environnement, </w:t>
            </w:r>
            <w:r>
              <w:rPr>
                <w:rFonts w:ascii="Century Gothic" w:hAnsi="Century Gothic" w:cs="Century Gothic"/>
              </w:rPr>
              <w:t>à</w:t>
            </w:r>
            <w:r>
              <w:t xml:space="preserve"> l</w:t>
            </w:r>
            <w:r>
              <w:rPr>
                <w:rFonts w:ascii="Century Gothic" w:hAnsi="Century Gothic" w:cs="Century Gothic"/>
              </w:rPr>
              <w:t>’</w:t>
            </w:r>
            <w:r>
              <w:t xml:space="preserve">exclusion des aides </w:t>
            </w:r>
            <w:r>
              <w:rPr>
                <w:rFonts w:ascii="Century Gothic" w:hAnsi="Century Gothic" w:cs="Century Gothic"/>
              </w:rPr>
              <w:t>à</w:t>
            </w:r>
            <w:r>
              <w:t xml:space="preserve"> l</w:t>
            </w:r>
            <w:r>
              <w:rPr>
                <w:rFonts w:ascii="Century Gothic" w:hAnsi="Century Gothic" w:cs="Century Gothic"/>
              </w:rPr>
              <w:t>’</w:t>
            </w:r>
            <w:r>
              <w:t>investissement en faveur d</w:t>
            </w:r>
            <w:r>
              <w:rPr>
                <w:rFonts w:ascii="Century Gothic" w:hAnsi="Century Gothic" w:cs="Century Gothic"/>
              </w:rPr>
              <w:t>’</w:t>
            </w:r>
            <w:r>
              <w:t>infrastructures de recharge ou de ravitaillement accessibles au public pour les véhicules à émissions faibles ou nulles, des aides à l’investissement en faveur de l’assainissement des sites contaminés et des aides en faveur de la partie des installations de chaleur et de froid efficaces correspondant au réseau de distribution</w:t>
            </w:r>
            <w:r>
              <w:rPr>
                <w:rFonts w:ascii="Arial" w:hAnsi="Arial" w:cs="Arial"/>
              </w:rPr>
              <w:t> </w:t>
            </w:r>
            <w:r>
              <w:t xml:space="preserve">:  </w:t>
            </w:r>
          </w:p>
          <w:p w14:paraId="535F4EED" w14:textId="65F90132" w:rsidR="000A1A59" w:rsidRDefault="000A1A59" w:rsidP="00DD3EE3">
            <w:pPr>
              <w:pStyle w:val="Tablebullet1"/>
              <w:numPr>
                <w:ilvl w:val="1"/>
                <w:numId w:val="23"/>
              </w:numPr>
            </w:pPr>
            <w:r>
              <w:t xml:space="preserve">15 </w:t>
            </w:r>
            <w:r w:rsidR="00C95B33">
              <w:t>M€</w:t>
            </w:r>
            <w:r>
              <w:t xml:space="preserve"> par entreprise et par projet d’investissement</w:t>
            </w:r>
            <w:r>
              <w:rPr>
                <w:rFonts w:ascii="Arial" w:hAnsi="Arial" w:cs="Arial"/>
              </w:rPr>
              <w:t> </w:t>
            </w:r>
            <w:r>
              <w:t xml:space="preserve">;  </w:t>
            </w:r>
          </w:p>
          <w:p w14:paraId="6DDC4A2C" w14:textId="77777777" w:rsidR="00C95B33" w:rsidRDefault="000A1A59" w:rsidP="00AA0D3D">
            <w:pPr>
              <w:pStyle w:val="Tablebullet1"/>
              <w:numPr>
                <w:ilvl w:val="1"/>
                <w:numId w:val="23"/>
              </w:numPr>
            </w:pPr>
            <w:r>
              <w:t xml:space="preserve">30 </w:t>
            </w:r>
            <w:r w:rsidR="00C95B33">
              <w:t>M€</w:t>
            </w:r>
            <w:r>
              <w:t xml:space="preserve"> pour les aides à l’investissement en faveur de l’efficacité énergétique dans certains bâtiments relevant du champ d’application de l’article 38, paragraphe 3 bis</w:t>
            </w:r>
            <w:r w:rsidRPr="00C95B33">
              <w:rPr>
                <w:rFonts w:ascii="Arial" w:hAnsi="Arial" w:cs="Arial"/>
              </w:rPr>
              <w:t> </w:t>
            </w:r>
            <w:r>
              <w:t xml:space="preserve">;  </w:t>
            </w:r>
          </w:p>
          <w:p w14:paraId="43232468" w14:textId="59CFF4A7" w:rsidR="00043A0D" w:rsidRPr="00733444" w:rsidRDefault="000A1A59" w:rsidP="00DD3EE3">
            <w:pPr>
              <w:pStyle w:val="Tablebullet1"/>
              <w:numPr>
                <w:ilvl w:val="1"/>
                <w:numId w:val="23"/>
              </w:numPr>
            </w:pPr>
            <w:r>
              <w:t xml:space="preserve">et un montant nominal de 30 </w:t>
            </w:r>
            <w:r w:rsidR="001C6031">
              <w:t>M€</w:t>
            </w:r>
            <w:r>
              <w:t xml:space="preserve"> d’encours total de financements pour les aides à l’investissement en faveur de l’efficacité énergétique dans certains bâtiments relevant du champ d’application de l’article 38, paragraphe 7 »</w:t>
            </w:r>
            <w:r w:rsidR="001475C4">
              <w:t>.</w:t>
            </w:r>
          </w:p>
        </w:tc>
      </w:tr>
    </w:tbl>
    <w:p w14:paraId="26967774" w14:textId="147D03AF" w:rsidR="00C25652" w:rsidRPr="00D75260" w:rsidRDefault="00C25652" w:rsidP="00E72DF0">
      <w:pPr>
        <w:pStyle w:val="BodyText"/>
        <w:sectPr w:rsidR="00C25652" w:rsidRPr="00D75260" w:rsidSect="003C13D2">
          <w:headerReference w:type="default" r:id="rId35"/>
          <w:footerReference w:type="default" r:id="rId36"/>
          <w:footnotePr>
            <w:numRestart w:val="eachPage"/>
          </w:footnotePr>
          <w:pgSz w:w="11907" w:h="16839" w:code="9"/>
          <w:pgMar w:top="1701" w:right="1134" w:bottom="1701" w:left="1701" w:header="709" w:footer="851" w:gutter="0"/>
          <w:cols w:space="708"/>
          <w:docGrid w:linePitch="360"/>
        </w:sectPr>
      </w:pPr>
    </w:p>
    <w:p w14:paraId="4E31E6C6" w14:textId="6BC6F8E8" w:rsidR="00C25652" w:rsidRDefault="00C25652" w:rsidP="00C25652">
      <w:pPr>
        <w:pStyle w:val="Caption"/>
      </w:pPr>
      <w:bookmarkStart w:id="130" w:name="_Toc518484147"/>
      <w:bookmarkStart w:id="131" w:name="_Toc46322999"/>
      <w:bookmarkStart w:id="132" w:name="_Toc52499781"/>
      <w:bookmarkStart w:id="133" w:name="_Toc88842112"/>
      <w:r>
        <w:t xml:space="preserve">Tableau </w:t>
      </w:r>
      <w:r>
        <w:fldChar w:fldCharType="begin"/>
      </w:r>
      <w:r>
        <w:instrText xml:space="preserve"> SEQ Tableau \* ARABIC </w:instrText>
      </w:r>
      <w:r>
        <w:fldChar w:fldCharType="separate"/>
      </w:r>
      <w:r w:rsidR="009F0282">
        <w:rPr>
          <w:noProof/>
        </w:rPr>
        <w:t>24</w:t>
      </w:r>
      <w:r>
        <w:fldChar w:fldCharType="end"/>
      </w:r>
      <w:r>
        <w:t xml:space="preserve"> Synthèse des défaillances de marché</w:t>
      </w:r>
      <w:bookmarkEnd w:id="130"/>
      <w:bookmarkEnd w:id="131"/>
      <w:bookmarkEnd w:id="132"/>
      <w:bookmarkEnd w:id="133"/>
    </w:p>
    <w:tbl>
      <w:tblPr>
        <w:tblStyle w:val="TechnopolisTable20"/>
        <w:tblW w:w="5000" w:type="pct"/>
        <w:tblLook w:val="04A0" w:firstRow="1" w:lastRow="0" w:firstColumn="1" w:lastColumn="0" w:noHBand="0" w:noVBand="1"/>
      </w:tblPr>
      <w:tblGrid>
        <w:gridCol w:w="1567"/>
        <w:gridCol w:w="2223"/>
        <w:gridCol w:w="1849"/>
        <w:gridCol w:w="1506"/>
        <w:gridCol w:w="1347"/>
        <w:gridCol w:w="1847"/>
        <w:gridCol w:w="1297"/>
        <w:gridCol w:w="1791"/>
      </w:tblGrid>
      <w:tr w:rsidR="00A05D53" w14:paraId="1F462AE9" w14:textId="77777777" w:rsidTr="006975FB">
        <w:trPr>
          <w:cnfStyle w:val="100000000000" w:firstRow="1" w:lastRow="0" w:firstColumn="0" w:lastColumn="0" w:oddVBand="0" w:evenVBand="0" w:oddHBand="0" w:evenHBand="0" w:firstRowFirstColumn="0" w:firstRowLastColumn="0" w:lastRowFirstColumn="0" w:lastRowLastColumn="0"/>
          <w:tblHeader/>
        </w:trPr>
        <w:tc>
          <w:tcPr>
            <w:tcW w:w="587" w:type="pct"/>
            <w:vAlign w:val="top"/>
          </w:tcPr>
          <w:p w14:paraId="495839B2" w14:textId="53A26693" w:rsidR="00A05D53" w:rsidRDefault="00A05D53" w:rsidP="00761F57">
            <w:pPr>
              <w:pStyle w:val="Tabletext"/>
            </w:pPr>
            <w:proofErr w:type="spellStart"/>
            <w:r>
              <w:rPr>
                <w:rFonts w:eastAsia="Calibri"/>
                <w:lang w:val="en-US"/>
              </w:rPr>
              <w:t>Thématique</w:t>
            </w:r>
            <w:proofErr w:type="spellEnd"/>
          </w:p>
        </w:tc>
        <w:tc>
          <w:tcPr>
            <w:tcW w:w="831" w:type="pct"/>
            <w:vAlign w:val="top"/>
          </w:tcPr>
          <w:p w14:paraId="58AA2FE3" w14:textId="1845FCE2" w:rsidR="00A05D53" w:rsidRDefault="00A05D53" w:rsidP="00761F57">
            <w:pPr>
              <w:pStyle w:val="Tabletext"/>
            </w:pPr>
            <w:r w:rsidRPr="00544106">
              <w:rPr>
                <w:rFonts w:eastAsia="Calibri"/>
              </w:rPr>
              <w:t>Typologie de projets ou d’entreprises</w:t>
            </w:r>
          </w:p>
        </w:tc>
        <w:tc>
          <w:tcPr>
            <w:tcW w:w="692" w:type="pct"/>
            <w:vAlign w:val="top"/>
          </w:tcPr>
          <w:p w14:paraId="13FC0995" w14:textId="500317A8" w:rsidR="00A05D53" w:rsidRDefault="00A05D53" w:rsidP="00761F57">
            <w:pPr>
              <w:pStyle w:val="Tabletext"/>
            </w:pPr>
            <w:r w:rsidRPr="00544106">
              <w:rPr>
                <w:rFonts w:eastAsia="Calibri"/>
              </w:rPr>
              <w:t>Situation de financement sous-optimale</w:t>
            </w:r>
          </w:p>
        </w:tc>
        <w:tc>
          <w:tcPr>
            <w:tcW w:w="564" w:type="pct"/>
            <w:vAlign w:val="top"/>
          </w:tcPr>
          <w:p w14:paraId="4708651B" w14:textId="21AF72A8" w:rsidR="00A05D53" w:rsidRDefault="00A05D53" w:rsidP="00761F57">
            <w:pPr>
              <w:pStyle w:val="Tabletext"/>
            </w:pPr>
            <w:r w:rsidRPr="00544106">
              <w:rPr>
                <w:rFonts w:eastAsia="Calibri"/>
              </w:rPr>
              <w:t>Outils soutenus par les acteurs publics</w:t>
            </w:r>
          </w:p>
        </w:tc>
        <w:tc>
          <w:tcPr>
            <w:tcW w:w="505" w:type="pct"/>
            <w:vAlign w:val="top"/>
          </w:tcPr>
          <w:p w14:paraId="281B9DB1" w14:textId="62CE5CB6" w:rsidR="00A05D53" w:rsidRDefault="00A05D53" w:rsidP="00761F57">
            <w:pPr>
              <w:pStyle w:val="Tabletext"/>
            </w:pPr>
            <w:r w:rsidRPr="00544106">
              <w:rPr>
                <w:rFonts w:eastAsia="Calibri"/>
              </w:rPr>
              <w:t>Type d’outil pour répondre aux besoins</w:t>
            </w:r>
          </w:p>
        </w:tc>
        <w:tc>
          <w:tcPr>
            <w:tcW w:w="691" w:type="pct"/>
            <w:vAlign w:val="top"/>
          </w:tcPr>
          <w:p w14:paraId="7EDD202F" w14:textId="77777777" w:rsidR="00A05D53" w:rsidRDefault="00A05D53" w:rsidP="00761F57">
            <w:pPr>
              <w:pStyle w:val="Tabletext"/>
              <w:rPr>
                <w:b w:val="0"/>
              </w:rPr>
            </w:pPr>
            <w:proofErr w:type="spellStart"/>
            <w:r>
              <w:rPr>
                <w:rFonts w:eastAsia="Calibri"/>
                <w:lang w:val="en-US"/>
              </w:rPr>
              <w:t>Contexte</w:t>
            </w:r>
            <w:proofErr w:type="spellEnd"/>
            <w:r>
              <w:rPr>
                <w:rFonts w:eastAsia="Calibri"/>
                <w:lang w:val="en-US"/>
              </w:rPr>
              <w:t xml:space="preserve"> / </w:t>
            </w:r>
            <w:proofErr w:type="spellStart"/>
            <w:r>
              <w:rPr>
                <w:rFonts w:eastAsia="Calibri"/>
                <w:lang w:val="en-US"/>
              </w:rPr>
              <w:t>priorités</w:t>
            </w:r>
            <w:proofErr w:type="spellEnd"/>
            <w:r>
              <w:rPr>
                <w:rFonts w:eastAsia="Calibri"/>
                <w:lang w:val="en-US"/>
              </w:rPr>
              <w:t xml:space="preserve"> </w:t>
            </w:r>
            <w:proofErr w:type="spellStart"/>
            <w:r>
              <w:rPr>
                <w:rFonts w:eastAsia="Calibri"/>
                <w:lang w:val="en-US"/>
              </w:rPr>
              <w:t>régionales</w:t>
            </w:r>
            <w:proofErr w:type="spellEnd"/>
          </w:p>
        </w:tc>
        <w:tc>
          <w:tcPr>
            <w:tcW w:w="459" w:type="pct"/>
            <w:vAlign w:val="top"/>
          </w:tcPr>
          <w:p w14:paraId="467D63D2" w14:textId="1E01CCEF" w:rsidR="00A05D53" w:rsidRDefault="00A05D53" w:rsidP="00761F57">
            <w:pPr>
              <w:pStyle w:val="Tabletext"/>
            </w:pPr>
            <w:r w:rsidRPr="00544106">
              <w:rPr>
                <w:rFonts w:eastAsia="Calibri"/>
              </w:rPr>
              <w:t xml:space="preserve">Mobilisation des FESI au titre </w:t>
            </w:r>
            <w:r>
              <w:rPr>
                <w:rFonts w:eastAsia="Calibri"/>
              </w:rPr>
              <w:t>du</w:t>
            </w:r>
            <w:r w:rsidRPr="00544106">
              <w:rPr>
                <w:rFonts w:eastAsia="Calibri"/>
              </w:rPr>
              <w:t xml:space="preserve"> PO </w:t>
            </w:r>
          </w:p>
        </w:tc>
        <w:tc>
          <w:tcPr>
            <w:tcW w:w="670" w:type="pct"/>
            <w:vAlign w:val="top"/>
          </w:tcPr>
          <w:p w14:paraId="536B44EE" w14:textId="3157BF5C" w:rsidR="00A05D53" w:rsidRDefault="00A05D53" w:rsidP="00761F57">
            <w:pPr>
              <w:pStyle w:val="Tabletext"/>
            </w:pPr>
            <w:r>
              <w:rPr>
                <w:rFonts w:eastAsia="Calibri"/>
                <w:lang w:val="en-US"/>
              </w:rPr>
              <w:t xml:space="preserve">Aides </w:t>
            </w:r>
            <w:proofErr w:type="spellStart"/>
            <w:r>
              <w:rPr>
                <w:rFonts w:eastAsia="Calibri"/>
                <w:lang w:val="en-US"/>
              </w:rPr>
              <w:t>d’État</w:t>
            </w:r>
            <w:proofErr w:type="spellEnd"/>
            <w:r>
              <w:rPr>
                <w:rStyle w:val="FootnoteReference"/>
                <w:rFonts w:eastAsia="Calibri"/>
                <w:b w:val="0"/>
                <w:bCs/>
                <w:lang w:val="en-US"/>
              </w:rPr>
              <w:footnoteReference w:id="120"/>
            </w:r>
          </w:p>
        </w:tc>
      </w:tr>
      <w:tr w:rsidR="008C7592" w14:paraId="36A711B7" w14:textId="77777777" w:rsidTr="00F33C68">
        <w:trPr>
          <w:cnfStyle w:val="000000100000" w:firstRow="0" w:lastRow="0" w:firstColumn="0" w:lastColumn="0" w:oddVBand="0" w:evenVBand="0" w:oddHBand="1" w:evenHBand="0" w:firstRowFirstColumn="0" w:firstRowLastColumn="0" w:lastRowFirstColumn="0" w:lastRowLastColumn="0"/>
        </w:trPr>
        <w:tc>
          <w:tcPr>
            <w:tcW w:w="0" w:type="pct"/>
            <w:shd w:val="clear" w:color="auto" w:fill="C1D5DF" w:themeFill="accent2" w:themeFillTint="66"/>
          </w:tcPr>
          <w:p w14:paraId="13EC18FA" w14:textId="0C0428FB" w:rsidR="00A05D53" w:rsidRPr="006D1DE1" w:rsidRDefault="00121C3C" w:rsidP="00761F57">
            <w:pPr>
              <w:pStyle w:val="Tabletext"/>
              <w:rPr>
                <w:rFonts w:eastAsia="Calibri"/>
                <w:lang w:val="en-US"/>
              </w:rPr>
            </w:pPr>
            <w:r w:rsidRPr="00741F9A">
              <w:rPr>
                <w:rFonts w:eastAsia="Calibri"/>
              </w:rPr>
              <w:t>ENR</w:t>
            </w:r>
          </w:p>
        </w:tc>
        <w:tc>
          <w:tcPr>
            <w:tcW w:w="0" w:type="pct"/>
            <w:shd w:val="clear" w:color="auto" w:fill="C1D5DF" w:themeFill="accent2" w:themeFillTint="66"/>
          </w:tcPr>
          <w:p w14:paraId="6386DE66" w14:textId="2A10EDB5" w:rsidR="00A05D53" w:rsidRPr="006D1DE1" w:rsidRDefault="0006026D" w:rsidP="00761F57">
            <w:pPr>
              <w:pStyle w:val="Tabletext"/>
              <w:rPr>
                <w:rFonts w:eastAsia="Calibri"/>
              </w:rPr>
            </w:pPr>
            <w:r>
              <w:rPr>
                <w:rFonts w:eastAsia="Calibri"/>
              </w:rPr>
              <w:t>Eolien offshore</w:t>
            </w:r>
          </w:p>
        </w:tc>
        <w:tc>
          <w:tcPr>
            <w:tcW w:w="0" w:type="pct"/>
            <w:shd w:val="clear" w:color="auto" w:fill="C1D5DF" w:themeFill="accent2" w:themeFillTint="66"/>
          </w:tcPr>
          <w:p w14:paraId="480ED602" w14:textId="68FDF9DB" w:rsidR="00A05D53" w:rsidRPr="006D1DE1" w:rsidRDefault="0006026D" w:rsidP="00761F57">
            <w:pPr>
              <w:pStyle w:val="Tabletext"/>
              <w:rPr>
                <w:rFonts w:eastAsia="Calibri"/>
              </w:rPr>
            </w:pPr>
            <w:r>
              <w:t>Difficile financement privé de l’éolien offshore</w:t>
            </w:r>
          </w:p>
        </w:tc>
        <w:tc>
          <w:tcPr>
            <w:tcW w:w="0" w:type="pct"/>
            <w:shd w:val="clear" w:color="auto" w:fill="C1D5DF" w:themeFill="accent2" w:themeFillTint="66"/>
          </w:tcPr>
          <w:p w14:paraId="021591AC" w14:textId="1AADE2DF" w:rsidR="00215724" w:rsidRDefault="00215724" w:rsidP="00215724">
            <w:pPr>
              <w:pStyle w:val="Tabletext"/>
              <w:rPr>
                <w:rFonts w:eastAsia="Calibri"/>
              </w:rPr>
            </w:pPr>
            <w:r w:rsidRPr="00215724">
              <w:rPr>
                <w:rFonts w:eastAsia="Calibri"/>
              </w:rPr>
              <w:t>SEM Energies Hauts-de-</w:t>
            </w:r>
            <w:r w:rsidR="006C22CF">
              <w:rPr>
                <w:rFonts w:eastAsia="Calibri"/>
              </w:rPr>
              <w:t>France</w:t>
            </w:r>
          </w:p>
          <w:p w14:paraId="5991E3EF" w14:textId="1BE546A7" w:rsidR="006C22CF" w:rsidRPr="00215724" w:rsidRDefault="006C22CF" w:rsidP="00215724">
            <w:pPr>
              <w:pStyle w:val="Tabletext"/>
              <w:rPr>
                <w:rFonts w:eastAsia="Calibri"/>
              </w:rPr>
            </w:pPr>
            <w:r w:rsidRPr="00445382">
              <w:rPr>
                <w:rFonts w:eastAsia="Calibri"/>
              </w:rPr>
              <w:t>REV 3 Financement</w:t>
            </w:r>
          </w:p>
          <w:p w14:paraId="7C34D43A" w14:textId="108237F9" w:rsidR="00A05D53" w:rsidRPr="006D1DE1" w:rsidRDefault="00215724" w:rsidP="00761F57">
            <w:pPr>
              <w:pStyle w:val="Tabletext"/>
              <w:rPr>
                <w:rFonts w:eastAsia="Calibri"/>
              </w:rPr>
            </w:pPr>
            <w:r w:rsidRPr="00215724">
              <w:rPr>
                <w:rFonts w:eastAsia="Calibri"/>
              </w:rPr>
              <w:t>CRE</w:t>
            </w:r>
          </w:p>
        </w:tc>
        <w:tc>
          <w:tcPr>
            <w:tcW w:w="0" w:type="pct"/>
            <w:shd w:val="clear" w:color="auto" w:fill="C1D5DF" w:themeFill="accent2" w:themeFillTint="66"/>
          </w:tcPr>
          <w:p w14:paraId="11BEBC8B" w14:textId="0B6478DE" w:rsidR="00A05D53" w:rsidRPr="006D1DE1" w:rsidRDefault="00FF0AF6" w:rsidP="00761F57">
            <w:pPr>
              <w:pStyle w:val="Tabletext"/>
              <w:rPr>
                <w:rFonts w:eastAsia="Calibri"/>
              </w:rPr>
            </w:pPr>
            <w:r>
              <w:rPr>
                <w:rFonts w:eastAsia="Calibri"/>
              </w:rPr>
              <w:t>Fonds propres/quasi-fonds propres</w:t>
            </w:r>
          </w:p>
        </w:tc>
        <w:tc>
          <w:tcPr>
            <w:tcW w:w="0" w:type="pct"/>
            <w:shd w:val="clear" w:color="auto" w:fill="C1D5DF" w:themeFill="accent2" w:themeFillTint="66"/>
          </w:tcPr>
          <w:p w14:paraId="5D53E38E" w14:textId="1AEAD3F2" w:rsidR="00A05D53" w:rsidRPr="006D1DE1" w:rsidRDefault="001A6075" w:rsidP="00761F57">
            <w:pPr>
              <w:pStyle w:val="Tabletext"/>
              <w:rPr>
                <w:rFonts w:eastAsia="Calibri"/>
              </w:rPr>
            </w:pPr>
            <w:r w:rsidRPr="001A6075">
              <w:rPr>
                <w:rFonts w:eastAsia="Calibri"/>
              </w:rPr>
              <w:t>Appuyer la mise en œuvre des EmR dans une perspective de développement économique pour la filière à tous les niveaux de la chaîne</w:t>
            </w:r>
          </w:p>
        </w:tc>
        <w:tc>
          <w:tcPr>
            <w:tcW w:w="0" w:type="pct"/>
            <w:shd w:val="clear" w:color="auto" w:fill="C1D5DF" w:themeFill="accent2" w:themeFillTint="66"/>
          </w:tcPr>
          <w:p w14:paraId="764DAE3A" w14:textId="24BAF4F4" w:rsidR="00A05D53" w:rsidRPr="00BC6429" w:rsidRDefault="00F33C68" w:rsidP="00761F57">
            <w:pPr>
              <w:pStyle w:val="Tabletext"/>
              <w:rPr>
                <w:rFonts w:eastAsia="Calibri"/>
                <w:iCs/>
              </w:rPr>
            </w:pPr>
            <w:r w:rsidRPr="00142860">
              <w:rPr>
                <w:rFonts w:eastAsia="Calibri"/>
                <w:iCs/>
              </w:rPr>
              <w:t>P</w:t>
            </w:r>
            <w:r w:rsidR="00BC6429" w:rsidRPr="00142860">
              <w:rPr>
                <w:rFonts w:eastAsia="Calibri"/>
                <w:iCs/>
              </w:rPr>
              <w:t>réconisé</w:t>
            </w:r>
            <w:r w:rsidR="00BC6429">
              <w:rPr>
                <w:rFonts w:eastAsia="Calibri"/>
                <w:iCs/>
              </w:rPr>
              <w:t xml:space="preserve"> par l’</w:t>
            </w:r>
            <w:r w:rsidR="008E0701">
              <w:rPr>
                <w:rFonts w:eastAsia="Calibri"/>
                <w:iCs/>
              </w:rPr>
              <w:t xml:space="preserve">EEA </w:t>
            </w:r>
          </w:p>
        </w:tc>
        <w:tc>
          <w:tcPr>
            <w:tcW w:w="0" w:type="pct"/>
            <w:shd w:val="clear" w:color="auto" w:fill="C1D5DF" w:themeFill="accent2" w:themeFillTint="66"/>
            <w:vAlign w:val="top"/>
          </w:tcPr>
          <w:p w14:paraId="1D21D9A3" w14:textId="3849AD06" w:rsidR="00A05D53" w:rsidRPr="00FF0AF6" w:rsidRDefault="00134D50" w:rsidP="00F83DB9">
            <w:pPr>
              <w:pStyle w:val="Tabletext"/>
              <w:rPr>
                <w:i/>
              </w:rPr>
            </w:pPr>
            <w:r w:rsidRPr="00A77810">
              <w:rPr>
                <w:rFonts w:eastAsia="Calibri"/>
                <w:bCs/>
              </w:rPr>
              <w:t>Pari passu ou RGEC</w:t>
            </w:r>
            <w:r w:rsidR="00B922A0">
              <w:rPr>
                <w:rStyle w:val="FootnoteReference"/>
                <w:rFonts w:eastAsia="Calibri"/>
                <w:bCs/>
              </w:rPr>
              <w:footnoteReference w:id="121"/>
            </w:r>
            <w:r w:rsidRPr="00A77810">
              <w:rPr>
                <w:rFonts w:eastAsia="Calibri"/>
                <w:bCs/>
              </w:rPr>
              <w:t xml:space="preserve"> ou de minimis ou Jeunes pousses</w:t>
            </w:r>
          </w:p>
        </w:tc>
      </w:tr>
      <w:tr w:rsidR="0065024E" w14:paraId="017C6B4B"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C1D5DF" w:themeFill="accent2" w:themeFillTint="66"/>
          </w:tcPr>
          <w:p w14:paraId="6933494A" w14:textId="40BF3806" w:rsidR="00A05D53" w:rsidRPr="006D1DE1" w:rsidRDefault="00121C3C" w:rsidP="00761F57">
            <w:pPr>
              <w:pStyle w:val="Tabletext"/>
              <w:rPr>
                <w:rFonts w:eastAsia="Calibri"/>
              </w:rPr>
            </w:pPr>
            <w:r w:rsidRPr="00741F9A">
              <w:rPr>
                <w:rFonts w:eastAsia="Calibri"/>
              </w:rPr>
              <w:t>ENR</w:t>
            </w:r>
          </w:p>
        </w:tc>
        <w:tc>
          <w:tcPr>
            <w:tcW w:w="831" w:type="pct"/>
            <w:shd w:val="clear" w:color="auto" w:fill="C1D5DF" w:themeFill="accent2" w:themeFillTint="66"/>
          </w:tcPr>
          <w:p w14:paraId="6F8F8BC0" w14:textId="3B93D886" w:rsidR="00A05D53" w:rsidRPr="006D1DE1" w:rsidRDefault="00920B28" w:rsidP="00761F57">
            <w:pPr>
              <w:pStyle w:val="Tabletext"/>
              <w:rPr>
                <w:rFonts w:eastAsia="Calibri"/>
              </w:rPr>
            </w:pPr>
            <w:r>
              <w:rPr>
                <w:rFonts w:eastAsia="Calibri"/>
              </w:rPr>
              <w:t>Biogaz par méthanisation</w:t>
            </w:r>
          </w:p>
        </w:tc>
        <w:tc>
          <w:tcPr>
            <w:tcW w:w="692" w:type="pct"/>
            <w:shd w:val="clear" w:color="auto" w:fill="C1D5DF" w:themeFill="accent2" w:themeFillTint="66"/>
          </w:tcPr>
          <w:p w14:paraId="70F125DB" w14:textId="76BEC30D" w:rsidR="00A05D53" w:rsidRPr="006D1DE1" w:rsidRDefault="00920B28" w:rsidP="00761F57">
            <w:pPr>
              <w:pStyle w:val="Tabletext"/>
              <w:rPr>
                <w:rFonts w:eastAsia="Calibri"/>
              </w:rPr>
            </w:pPr>
            <w:r>
              <w:t xml:space="preserve">Besoin de financement des projets de méthanisation </w:t>
            </w:r>
            <w:r w:rsidR="00AF379E">
              <w:t>autour de 700K€ par projet de besoins en fonds propres</w:t>
            </w:r>
            <w:r w:rsidR="00121C3C" w:rsidRPr="00741F9A">
              <w:t> </w:t>
            </w:r>
          </w:p>
        </w:tc>
        <w:tc>
          <w:tcPr>
            <w:tcW w:w="564" w:type="pct"/>
            <w:shd w:val="clear" w:color="auto" w:fill="C1D5DF" w:themeFill="accent2" w:themeFillTint="66"/>
          </w:tcPr>
          <w:p w14:paraId="392C80A0" w14:textId="77777777" w:rsidR="008E51AD" w:rsidRPr="008E51AD" w:rsidRDefault="008E51AD" w:rsidP="008E51AD">
            <w:pPr>
              <w:pStyle w:val="Tabletext"/>
              <w:rPr>
                <w:rFonts w:eastAsia="Calibri"/>
              </w:rPr>
            </w:pPr>
            <w:r w:rsidRPr="008E51AD">
              <w:rPr>
                <w:rFonts w:eastAsia="Calibri"/>
              </w:rPr>
              <w:t>ADEME</w:t>
            </w:r>
          </w:p>
          <w:p w14:paraId="7B4F4413" w14:textId="77777777" w:rsidR="008E51AD" w:rsidRPr="008E51AD" w:rsidRDefault="008E51AD" w:rsidP="008E51AD">
            <w:pPr>
              <w:pStyle w:val="Tabletext"/>
              <w:rPr>
                <w:rFonts w:eastAsia="Calibri"/>
              </w:rPr>
            </w:pPr>
            <w:r w:rsidRPr="008E51AD">
              <w:rPr>
                <w:rFonts w:eastAsia="Calibri"/>
              </w:rPr>
              <w:t>CRE</w:t>
            </w:r>
          </w:p>
          <w:p w14:paraId="2AF397D2" w14:textId="77777777" w:rsidR="008E51AD" w:rsidRPr="008E51AD" w:rsidRDefault="008E51AD" w:rsidP="008E51AD">
            <w:pPr>
              <w:pStyle w:val="Tabletext"/>
              <w:rPr>
                <w:rFonts w:eastAsia="Calibri"/>
              </w:rPr>
            </w:pPr>
            <w:r w:rsidRPr="008E51AD">
              <w:rPr>
                <w:rFonts w:eastAsia="Calibri"/>
              </w:rPr>
              <w:t>Fonds Chaleur</w:t>
            </w:r>
          </w:p>
          <w:p w14:paraId="05AE53E3" w14:textId="77777777" w:rsidR="00134D50" w:rsidRDefault="008E51AD" w:rsidP="008E51AD">
            <w:pPr>
              <w:pStyle w:val="Tabletext"/>
              <w:rPr>
                <w:rFonts w:eastAsia="Calibri"/>
              </w:rPr>
            </w:pPr>
            <w:r w:rsidRPr="008E51AD">
              <w:rPr>
                <w:rFonts w:eastAsia="Calibri"/>
              </w:rPr>
              <w:t xml:space="preserve">SEM Energies Hauts-de-France </w:t>
            </w:r>
          </w:p>
          <w:p w14:paraId="6E462BFB" w14:textId="0BD4D222" w:rsidR="00A05D53" w:rsidRPr="006D1DE1" w:rsidRDefault="008E51AD" w:rsidP="00761F57">
            <w:pPr>
              <w:pStyle w:val="Tabletext"/>
              <w:rPr>
                <w:rFonts w:eastAsia="Calibri"/>
              </w:rPr>
            </w:pPr>
            <w:r w:rsidRPr="00445382">
              <w:rPr>
                <w:rFonts w:eastAsia="Calibri"/>
              </w:rPr>
              <w:t>REV 3 Financement</w:t>
            </w:r>
          </w:p>
        </w:tc>
        <w:tc>
          <w:tcPr>
            <w:tcW w:w="505" w:type="pct"/>
            <w:shd w:val="clear" w:color="auto" w:fill="C1D5DF" w:themeFill="accent2" w:themeFillTint="66"/>
          </w:tcPr>
          <w:p w14:paraId="639F1100" w14:textId="77777777" w:rsidR="00121C3C" w:rsidRDefault="00121C3C" w:rsidP="00F83DB9">
            <w:pPr>
              <w:pStyle w:val="Tabletext"/>
              <w:rPr>
                <w:rFonts w:eastAsia="Calibri"/>
              </w:rPr>
            </w:pPr>
            <w:r w:rsidRPr="00741F9A">
              <w:rPr>
                <w:rFonts w:eastAsia="Calibri"/>
              </w:rPr>
              <w:t>Fonds propres</w:t>
            </w:r>
          </w:p>
          <w:p w14:paraId="15122BE8" w14:textId="2840A881" w:rsidR="00A05D53" w:rsidRPr="006D1DE1" w:rsidRDefault="00AF379E" w:rsidP="00761F57">
            <w:pPr>
              <w:pStyle w:val="Tabletext"/>
              <w:rPr>
                <w:rFonts w:eastAsia="Calibri"/>
              </w:rPr>
            </w:pPr>
            <w:r>
              <w:rPr>
                <w:rFonts w:eastAsia="Calibri"/>
              </w:rPr>
              <w:t>Quasi-fonds propres</w:t>
            </w:r>
          </w:p>
        </w:tc>
        <w:tc>
          <w:tcPr>
            <w:tcW w:w="691" w:type="pct"/>
            <w:shd w:val="clear" w:color="auto" w:fill="C1D5DF" w:themeFill="accent2" w:themeFillTint="66"/>
          </w:tcPr>
          <w:p w14:paraId="7D046891" w14:textId="77777777" w:rsidR="00A2703C" w:rsidRPr="00A2703C" w:rsidRDefault="00121C3C" w:rsidP="00A2703C">
            <w:pPr>
              <w:pStyle w:val="Tabletext"/>
              <w:rPr>
                <w:rFonts w:eastAsia="Calibri"/>
              </w:rPr>
            </w:pPr>
            <w:r w:rsidRPr="00741F9A">
              <w:rPr>
                <w:rFonts w:eastAsia="Calibri"/>
              </w:rPr>
              <w:t>Soutien aux entreprises en croissance sur les filières stratégiques</w:t>
            </w:r>
          </w:p>
          <w:p w14:paraId="752B1029" w14:textId="2D2C85BA" w:rsidR="00A05D53" w:rsidRPr="006D1DE1" w:rsidRDefault="00A2703C" w:rsidP="00761F57">
            <w:pPr>
              <w:pStyle w:val="Tabletext"/>
              <w:rPr>
                <w:rFonts w:eastAsia="Calibri"/>
              </w:rPr>
            </w:pPr>
            <w:r w:rsidRPr="00A2703C">
              <w:rPr>
                <w:rFonts w:eastAsia="Calibri"/>
              </w:rPr>
              <w:t>Donner une place importante à la méthanisation</w:t>
            </w:r>
          </w:p>
        </w:tc>
        <w:tc>
          <w:tcPr>
            <w:tcW w:w="459" w:type="pct"/>
            <w:shd w:val="clear" w:color="auto" w:fill="C1D5DF" w:themeFill="accent2" w:themeFillTint="66"/>
          </w:tcPr>
          <w:p w14:paraId="1017ED88" w14:textId="2E8F1F89" w:rsidR="00A05D53" w:rsidRPr="006D1DE1" w:rsidRDefault="00134D50" w:rsidP="00761F57">
            <w:pPr>
              <w:pStyle w:val="Tabletext"/>
              <w:rPr>
                <w:rFonts w:eastAsia="Calibri"/>
              </w:rPr>
            </w:pPr>
            <w:r>
              <w:rPr>
                <w:rFonts w:eastAsia="Calibri"/>
              </w:rPr>
              <w:t>Préconisé</w:t>
            </w:r>
            <w:r w:rsidR="00121C3C" w:rsidRPr="00741F9A">
              <w:rPr>
                <w:rFonts w:eastAsia="Calibri"/>
              </w:rPr>
              <w:t xml:space="preserve"> par l’EEA</w:t>
            </w:r>
          </w:p>
        </w:tc>
        <w:tc>
          <w:tcPr>
            <w:tcW w:w="670" w:type="pct"/>
            <w:shd w:val="clear" w:color="auto" w:fill="C1D5DF" w:themeFill="accent2" w:themeFillTint="66"/>
            <w:vAlign w:val="top"/>
          </w:tcPr>
          <w:p w14:paraId="01003EF8" w14:textId="57D37B21" w:rsidR="00A05D53" w:rsidRPr="006D1DE1" w:rsidRDefault="00134D50" w:rsidP="00761F57">
            <w:pPr>
              <w:pStyle w:val="Tabletext"/>
              <w:rPr>
                <w:rFonts w:eastAsia="Calibri"/>
              </w:rPr>
            </w:pPr>
            <w:r w:rsidRPr="00A77810">
              <w:rPr>
                <w:rFonts w:eastAsia="Calibri"/>
                <w:bCs/>
              </w:rPr>
              <w:t>Pari passu ou RGEC ou de minimis ou Jeunes pousses</w:t>
            </w:r>
          </w:p>
        </w:tc>
      </w:tr>
      <w:tr w:rsidR="0065024E" w14:paraId="202A4451" w14:textId="77777777" w:rsidTr="006975FB">
        <w:trPr>
          <w:cnfStyle w:val="000000100000" w:firstRow="0" w:lastRow="0" w:firstColumn="0" w:lastColumn="0" w:oddVBand="0" w:evenVBand="0" w:oddHBand="1" w:evenHBand="0" w:firstRowFirstColumn="0" w:firstRowLastColumn="0" w:lastRowFirstColumn="0" w:lastRowLastColumn="0"/>
          <w:trHeight w:val="2219"/>
        </w:trPr>
        <w:tc>
          <w:tcPr>
            <w:tcW w:w="587" w:type="pct"/>
            <w:shd w:val="clear" w:color="auto" w:fill="C1D5DF" w:themeFill="accent2" w:themeFillTint="66"/>
          </w:tcPr>
          <w:p w14:paraId="0AFF3B2C" w14:textId="2F8A0457" w:rsidR="00AF379E" w:rsidRPr="00741F9A" w:rsidRDefault="00AF379E" w:rsidP="00F83DB9">
            <w:pPr>
              <w:pStyle w:val="Tabletext"/>
              <w:rPr>
                <w:rFonts w:eastAsia="Calibri"/>
              </w:rPr>
            </w:pPr>
            <w:r>
              <w:rPr>
                <w:rFonts w:eastAsia="Calibri"/>
              </w:rPr>
              <w:t>ENR</w:t>
            </w:r>
          </w:p>
        </w:tc>
        <w:tc>
          <w:tcPr>
            <w:tcW w:w="831" w:type="pct"/>
            <w:shd w:val="clear" w:color="auto" w:fill="C1D5DF" w:themeFill="accent2" w:themeFillTint="66"/>
          </w:tcPr>
          <w:p w14:paraId="7C8DAF84" w14:textId="57CE0464" w:rsidR="00AF379E" w:rsidRPr="00741F9A" w:rsidRDefault="00AF379E" w:rsidP="00F83DB9">
            <w:pPr>
              <w:pStyle w:val="Tabletext"/>
              <w:rPr>
                <w:rFonts w:eastAsia="Calibri"/>
              </w:rPr>
            </w:pPr>
            <w:r>
              <w:rPr>
                <w:rFonts w:eastAsia="Calibri"/>
              </w:rPr>
              <w:t>Biogaz par nouveaux procédés</w:t>
            </w:r>
          </w:p>
        </w:tc>
        <w:tc>
          <w:tcPr>
            <w:tcW w:w="692" w:type="pct"/>
            <w:shd w:val="clear" w:color="auto" w:fill="C1D5DF" w:themeFill="accent2" w:themeFillTint="66"/>
          </w:tcPr>
          <w:p w14:paraId="6293656B" w14:textId="0F49CE56" w:rsidR="00AF379E" w:rsidRPr="00741F9A" w:rsidRDefault="003F70C6" w:rsidP="00F83DB9">
            <w:pPr>
              <w:pStyle w:val="Tabletext"/>
              <w:rPr>
                <w:rFonts w:eastAsia="Calibri"/>
              </w:rPr>
            </w:pPr>
            <w:r>
              <w:rPr>
                <w:rFonts w:eastAsia="Calibri"/>
              </w:rPr>
              <w:t>Sous-dimensionnement de l’offre existante pour répondre à la demande</w:t>
            </w:r>
          </w:p>
        </w:tc>
        <w:tc>
          <w:tcPr>
            <w:tcW w:w="564" w:type="pct"/>
            <w:shd w:val="clear" w:color="auto" w:fill="C1D5DF" w:themeFill="accent2" w:themeFillTint="66"/>
          </w:tcPr>
          <w:p w14:paraId="485C22FF" w14:textId="77777777" w:rsidR="000B2975" w:rsidRPr="000B2975" w:rsidRDefault="000B2975" w:rsidP="000B2975">
            <w:pPr>
              <w:pStyle w:val="Tabletext"/>
              <w:rPr>
                <w:rFonts w:eastAsia="Calibri"/>
              </w:rPr>
            </w:pPr>
            <w:r w:rsidRPr="000B2975">
              <w:rPr>
                <w:rFonts w:eastAsia="Calibri"/>
              </w:rPr>
              <w:t>PIA 4</w:t>
            </w:r>
          </w:p>
          <w:p w14:paraId="11B76156" w14:textId="77777777" w:rsidR="000B2975" w:rsidRPr="000B2975" w:rsidRDefault="000B2975" w:rsidP="000B2975">
            <w:pPr>
              <w:pStyle w:val="Tabletext"/>
              <w:rPr>
                <w:rFonts w:eastAsia="Calibri"/>
              </w:rPr>
            </w:pPr>
            <w:r w:rsidRPr="000B2975">
              <w:rPr>
                <w:rFonts w:eastAsia="Calibri"/>
              </w:rPr>
              <w:t>ADEME</w:t>
            </w:r>
          </w:p>
          <w:p w14:paraId="431DEBC5" w14:textId="77777777" w:rsidR="000B2975" w:rsidRPr="000B2975" w:rsidRDefault="000B2975" w:rsidP="000B2975">
            <w:pPr>
              <w:pStyle w:val="Tabletext"/>
              <w:rPr>
                <w:rFonts w:eastAsia="Calibri"/>
              </w:rPr>
            </w:pPr>
            <w:r w:rsidRPr="000B2975">
              <w:rPr>
                <w:rFonts w:eastAsia="Calibri"/>
              </w:rPr>
              <w:t>ANR</w:t>
            </w:r>
          </w:p>
          <w:p w14:paraId="6DEAC200" w14:textId="77777777" w:rsidR="00AF379E" w:rsidRDefault="003F70C6" w:rsidP="00F83DB9">
            <w:pPr>
              <w:pStyle w:val="Tabletext"/>
              <w:rPr>
                <w:rFonts w:eastAsia="Calibri"/>
              </w:rPr>
            </w:pPr>
            <w:r>
              <w:rPr>
                <w:rFonts w:eastAsia="Calibri"/>
              </w:rPr>
              <w:t>REV 3 Financement</w:t>
            </w:r>
          </w:p>
          <w:p w14:paraId="6221673E" w14:textId="77777777" w:rsidR="000B2975" w:rsidRPr="000B2975" w:rsidRDefault="000B2975" w:rsidP="000B2975">
            <w:pPr>
              <w:pStyle w:val="Tabletext"/>
              <w:rPr>
                <w:rFonts w:eastAsia="Calibri"/>
              </w:rPr>
            </w:pPr>
            <w:r w:rsidRPr="000B2975">
              <w:rPr>
                <w:rFonts w:eastAsia="Calibri"/>
              </w:rPr>
              <w:t>Fonds Ecotechnologies</w:t>
            </w:r>
          </w:p>
          <w:p w14:paraId="4BA6AD7C" w14:textId="3682AF6F" w:rsidR="003F70C6" w:rsidRPr="00741F9A" w:rsidRDefault="000B2975" w:rsidP="00F83DB9">
            <w:pPr>
              <w:pStyle w:val="Tabletext"/>
              <w:rPr>
                <w:rFonts w:eastAsia="Calibri"/>
              </w:rPr>
            </w:pPr>
            <w:r w:rsidRPr="000B2975">
              <w:rPr>
                <w:rFonts w:eastAsia="Calibri"/>
              </w:rPr>
              <w:t>Fonds Chaleur</w:t>
            </w:r>
          </w:p>
        </w:tc>
        <w:tc>
          <w:tcPr>
            <w:tcW w:w="505" w:type="pct"/>
            <w:shd w:val="clear" w:color="auto" w:fill="C1D5DF" w:themeFill="accent2" w:themeFillTint="66"/>
          </w:tcPr>
          <w:p w14:paraId="72EBB1EB" w14:textId="77777777" w:rsidR="003F70C6" w:rsidRDefault="003F70C6" w:rsidP="00F83DB9">
            <w:pPr>
              <w:pStyle w:val="Tabletext"/>
              <w:rPr>
                <w:rFonts w:eastAsia="Calibri"/>
              </w:rPr>
            </w:pPr>
            <w:r>
              <w:rPr>
                <w:rFonts w:eastAsia="Calibri"/>
              </w:rPr>
              <w:t>Fonds propres</w:t>
            </w:r>
          </w:p>
          <w:p w14:paraId="545A524D" w14:textId="276DF84F" w:rsidR="003F70C6" w:rsidRPr="00741F9A" w:rsidRDefault="003F70C6" w:rsidP="00F83DB9">
            <w:pPr>
              <w:pStyle w:val="Tabletext"/>
              <w:rPr>
                <w:rFonts w:eastAsia="Calibri"/>
              </w:rPr>
            </w:pPr>
            <w:r>
              <w:rPr>
                <w:rFonts w:eastAsia="Calibri"/>
              </w:rPr>
              <w:t>Quasi-fonds propres</w:t>
            </w:r>
          </w:p>
        </w:tc>
        <w:tc>
          <w:tcPr>
            <w:tcW w:w="691" w:type="pct"/>
            <w:shd w:val="clear" w:color="auto" w:fill="C1D5DF" w:themeFill="accent2" w:themeFillTint="66"/>
          </w:tcPr>
          <w:p w14:paraId="28142F2A" w14:textId="39437DE2" w:rsidR="00AF379E" w:rsidRPr="00741F9A" w:rsidRDefault="00D97015" w:rsidP="00F83DB9">
            <w:pPr>
              <w:pStyle w:val="Tabletext"/>
              <w:rPr>
                <w:rFonts w:eastAsia="Calibri"/>
              </w:rPr>
            </w:pPr>
            <w:r>
              <w:rPr>
                <w:rFonts w:eastAsia="Calibri"/>
              </w:rPr>
              <w:t>C</w:t>
            </w:r>
            <w:r w:rsidRPr="00D97015">
              <w:rPr>
                <w:rFonts w:eastAsia="Calibri"/>
              </w:rPr>
              <w:t>ontribuer au développement du biogaz et d’autres productions énergétiques émergentes issues de la biomasse (pyrolyse ou gazéification)</w:t>
            </w:r>
          </w:p>
        </w:tc>
        <w:tc>
          <w:tcPr>
            <w:tcW w:w="459" w:type="pct"/>
            <w:shd w:val="clear" w:color="auto" w:fill="C1D5DF" w:themeFill="accent2" w:themeFillTint="66"/>
          </w:tcPr>
          <w:p w14:paraId="296213E8" w14:textId="45090A05" w:rsidR="00AF379E" w:rsidRPr="003F70C6" w:rsidRDefault="00134D50" w:rsidP="00F83DB9">
            <w:pPr>
              <w:pStyle w:val="Tabletext"/>
              <w:rPr>
                <w:rFonts w:eastAsia="Calibri"/>
              </w:rPr>
            </w:pPr>
            <w:r>
              <w:rPr>
                <w:rFonts w:eastAsia="Calibri"/>
              </w:rPr>
              <w:t>Préconisé par l’EEA</w:t>
            </w:r>
          </w:p>
        </w:tc>
        <w:tc>
          <w:tcPr>
            <w:tcW w:w="670" w:type="pct"/>
            <w:shd w:val="clear" w:color="auto" w:fill="C1D5DF" w:themeFill="accent2" w:themeFillTint="66"/>
            <w:vAlign w:val="top"/>
          </w:tcPr>
          <w:p w14:paraId="32A28738" w14:textId="67277535" w:rsidR="00AF379E" w:rsidRPr="00741F9A" w:rsidRDefault="00134D50" w:rsidP="00F83DB9">
            <w:pPr>
              <w:pStyle w:val="Tabletext"/>
              <w:rPr>
                <w:rFonts w:eastAsia="Calibri"/>
              </w:rPr>
            </w:pPr>
            <w:r w:rsidRPr="00A77810">
              <w:rPr>
                <w:rFonts w:eastAsia="Calibri"/>
                <w:bCs/>
              </w:rPr>
              <w:t>Pari passu ou RGEC ou de minimis ou Jeunes pousses</w:t>
            </w:r>
          </w:p>
        </w:tc>
      </w:tr>
      <w:tr w:rsidR="00AF379E" w14:paraId="6C13DBF1"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auto"/>
          </w:tcPr>
          <w:p w14:paraId="5895EA83" w14:textId="32153E08" w:rsidR="00AF379E" w:rsidRPr="00741F9A" w:rsidRDefault="003F70C6" w:rsidP="00F83DB9">
            <w:pPr>
              <w:pStyle w:val="Tabletext"/>
              <w:rPr>
                <w:rFonts w:eastAsia="Calibri"/>
              </w:rPr>
            </w:pPr>
            <w:r>
              <w:rPr>
                <w:rFonts w:eastAsia="Calibri"/>
              </w:rPr>
              <w:t>ENR</w:t>
            </w:r>
          </w:p>
        </w:tc>
        <w:tc>
          <w:tcPr>
            <w:tcW w:w="831" w:type="pct"/>
            <w:shd w:val="clear" w:color="auto" w:fill="auto"/>
          </w:tcPr>
          <w:p w14:paraId="0A529A0E" w14:textId="74968FA9" w:rsidR="00AF379E" w:rsidRPr="00741F9A" w:rsidRDefault="0085441D" w:rsidP="00F83DB9">
            <w:pPr>
              <w:pStyle w:val="Tabletext"/>
              <w:rPr>
                <w:rFonts w:eastAsia="Calibri"/>
              </w:rPr>
            </w:pPr>
            <w:r>
              <w:rPr>
                <w:rFonts w:eastAsia="Calibri"/>
              </w:rPr>
              <w:t>Chaleur fatale</w:t>
            </w:r>
          </w:p>
        </w:tc>
        <w:tc>
          <w:tcPr>
            <w:tcW w:w="692" w:type="pct"/>
            <w:shd w:val="clear" w:color="auto" w:fill="auto"/>
          </w:tcPr>
          <w:p w14:paraId="1DECC53C" w14:textId="11FDC574" w:rsidR="00AF379E" w:rsidRPr="00741F9A" w:rsidRDefault="0085441D" w:rsidP="00F83DB9">
            <w:pPr>
              <w:pStyle w:val="Tabletext"/>
              <w:rPr>
                <w:rFonts w:eastAsia="Calibri"/>
              </w:rPr>
            </w:pPr>
            <w:r>
              <w:rPr>
                <w:rFonts w:eastAsia="Calibri"/>
              </w:rPr>
              <w:t>Difficulté de mobilisation de prêt pour le financement de projets de chaleur fatale</w:t>
            </w:r>
          </w:p>
        </w:tc>
        <w:tc>
          <w:tcPr>
            <w:tcW w:w="564" w:type="pct"/>
            <w:shd w:val="clear" w:color="auto" w:fill="auto"/>
          </w:tcPr>
          <w:p w14:paraId="1FC98561" w14:textId="77777777" w:rsidR="00136DC8" w:rsidRPr="00136DC8" w:rsidRDefault="00136DC8" w:rsidP="00136DC8">
            <w:pPr>
              <w:pStyle w:val="Tabletext"/>
              <w:rPr>
                <w:rFonts w:eastAsia="Calibri"/>
              </w:rPr>
            </w:pPr>
            <w:r w:rsidRPr="00136DC8">
              <w:rPr>
                <w:rFonts w:eastAsia="Calibri"/>
              </w:rPr>
              <w:t>Fonds Chaleur</w:t>
            </w:r>
          </w:p>
          <w:p w14:paraId="1E40775F" w14:textId="15471993" w:rsidR="00134D50" w:rsidRDefault="00136DC8" w:rsidP="00136DC8">
            <w:pPr>
              <w:pStyle w:val="Tabletext"/>
              <w:rPr>
                <w:rFonts w:eastAsia="Calibri"/>
              </w:rPr>
            </w:pPr>
            <w:r w:rsidRPr="00136DC8">
              <w:rPr>
                <w:rFonts w:eastAsia="Calibri"/>
              </w:rPr>
              <w:t>SEM Energies Hauts-de-</w:t>
            </w:r>
            <w:r>
              <w:rPr>
                <w:rFonts w:eastAsia="Calibri"/>
              </w:rPr>
              <w:t>France</w:t>
            </w:r>
          </w:p>
          <w:p w14:paraId="406C6083" w14:textId="77777777" w:rsidR="00136DC8" w:rsidRDefault="00136DC8" w:rsidP="00136DC8">
            <w:pPr>
              <w:pStyle w:val="Tabletext"/>
              <w:rPr>
                <w:rFonts w:eastAsia="Calibri"/>
              </w:rPr>
            </w:pPr>
            <w:r>
              <w:rPr>
                <w:rFonts w:eastAsia="Calibri"/>
              </w:rPr>
              <w:t>REV3 Financement</w:t>
            </w:r>
          </w:p>
          <w:p w14:paraId="4F1012D7" w14:textId="77777777" w:rsidR="001F2582" w:rsidRPr="001F2582" w:rsidRDefault="001F2582" w:rsidP="001F2582">
            <w:pPr>
              <w:pStyle w:val="Tabletext"/>
              <w:rPr>
                <w:rFonts w:eastAsia="Calibri"/>
              </w:rPr>
            </w:pPr>
            <w:r w:rsidRPr="001F2582">
              <w:rPr>
                <w:rFonts w:eastAsia="Calibri"/>
              </w:rPr>
              <w:t>Banque des Territoires</w:t>
            </w:r>
          </w:p>
          <w:p w14:paraId="1F57407A" w14:textId="36AFA72F" w:rsidR="00AF379E" w:rsidRPr="00741F9A" w:rsidRDefault="001F2582" w:rsidP="00F83DB9">
            <w:pPr>
              <w:pStyle w:val="Tabletext"/>
              <w:rPr>
                <w:rFonts w:eastAsia="Calibri"/>
              </w:rPr>
            </w:pPr>
            <w:r w:rsidRPr="001F2582">
              <w:rPr>
                <w:rFonts w:eastAsia="Calibri"/>
              </w:rPr>
              <w:t>Bpifrance</w:t>
            </w:r>
          </w:p>
        </w:tc>
        <w:tc>
          <w:tcPr>
            <w:tcW w:w="505" w:type="pct"/>
            <w:shd w:val="clear" w:color="auto" w:fill="auto"/>
          </w:tcPr>
          <w:p w14:paraId="71514C34" w14:textId="61767002" w:rsidR="00AF379E" w:rsidRPr="00741F9A" w:rsidRDefault="00134D50" w:rsidP="00F83DB9">
            <w:pPr>
              <w:pStyle w:val="Tabletext"/>
              <w:rPr>
                <w:rFonts w:eastAsia="Calibri"/>
              </w:rPr>
            </w:pPr>
            <w:r>
              <w:rPr>
                <w:rFonts w:eastAsia="Calibri"/>
              </w:rPr>
              <w:t>Garantie</w:t>
            </w:r>
          </w:p>
        </w:tc>
        <w:tc>
          <w:tcPr>
            <w:tcW w:w="691" w:type="pct"/>
            <w:shd w:val="clear" w:color="auto" w:fill="auto"/>
          </w:tcPr>
          <w:p w14:paraId="56E55675" w14:textId="288A9FD9" w:rsidR="00AF379E" w:rsidRPr="00741F9A" w:rsidRDefault="00E936D3" w:rsidP="00F83DB9">
            <w:pPr>
              <w:pStyle w:val="Tabletext"/>
              <w:rPr>
                <w:rFonts w:eastAsia="Calibri"/>
              </w:rPr>
            </w:pPr>
            <w:r>
              <w:rPr>
                <w:rFonts w:eastAsia="Calibri"/>
              </w:rPr>
              <w:t>V</w:t>
            </w:r>
            <w:r w:rsidRPr="00E936D3">
              <w:rPr>
                <w:rFonts w:eastAsia="Calibri"/>
              </w:rPr>
              <w:t>aloriser les énergies fatales et de récupération</w:t>
            </w:r>
          </w:p>
        </w:tc>
        <w:tc>
          <w:tcPr>
            <w:tcW w:w="459" w:type="pct"/>
            <w:shd w:val="clear" w:color="auto" w:fill="auto"/>
          </w:tcPr>
          <w:p w14:paraId="2B9E73F4" w14:textId="77777777" w:rsidR="00AF379E" w:rsidRDefault="0085441D" w:rsidP="00F83DB9">
            <w:pPr>
              <w:pStyle w:val="Tabletext"/>
              <w:rPr>
                <w:rFonts w:eastAsia="Calibri"/>
              </w:rPr>
            </w:pPr>
            <w:r>
              <w:rPr>
                <w:rFonts w:eastAsia="Calibri"/>
              </w:rPr>
              <w:t>Non préconisé</w:t>
            </w:r>
          </w:p>
          <w:p w14:paraId="3732B22D" w14:textId="75859B90" w:rsidR="0085441D" w:rsidRPr="003F70C6" w:rsidRDefault="0085441D" w:rsidP="00F83DB9">
            <w:pPr>
              <w:pStyle w:val="Tabletext"/>
              <w:rPr>
                <w:rFonts w:eastAsia="Calibri"/>
              </w:rPr>
            </w:pPr>
            <w:r>
              <w:rPr>
                <w:rFonts w:eastAsia="Calibri"/>
              </w:rPr>
              <w:t>Pertinence au niveau national seulement</w:t>
            </w:r>
          </w:p>
        </w:tc>
        <w:tc>
          <w:tcPr>
            <w:tcW w:w="670" w:type="pct"/>
            <w:shd w:val="clear" w:color="auto" w:fill="auto"/>
            <w:vAlign w:val="top"/>
          </w:tcPr>
          <w:p w14:paraId="2EEA42DD" w14:textId="6FC85262" w:rsidR="00AF379E" w:rsidRPr="00741F9A" w:rsidRDefault="00134D50" w:rsidP="00F83DB9">
            <w:pPr>
              <w:pStyle w:val="Tabletext"/>
              <w:rPr>
                <w:rFonts w:eastAsia="Calibri"/>
              </w:rPr>
            </w:pPr>
            <w:r w:rsidRPr="00A77810">
              <w:rPr>
                <w:rFonts w:eastAsia="Calibri"/>
                <w:bCs/>
              </w:rPr>
              <w:t>Pari passu ou RGEC ou de minimis ou Jeunes pousses</w:t>
            </w:r>
          </w:p>
        </w:tc>
      </w:tr>
      <w:tr w:rsidR="00A20187" w14:paraId="4803BAAE" w14:textId="77777777" w:rsidTr="006975FB">
        <w:trPr>
          <w:cnfStyle w:val="000000100000" w:firstRow="0" w:lastRow="0" w:firstColumn="0" w:lastColumn="0" w:oddVBand="0" w:evenVBand="0" w:oddHBand="1" w:evenHBand="0" w:firstRowFirstColumn="0" w:firstRowLastColumn="0" w:lastRowFirstColumn="0" w:lastRowLastColumn="0"/>
        </w:trPr>
        <w:tc>
          <w:tcPr>
            <w:tcW w:w="587" w:type="pct"/>
            <w:shd w:val="clear" w:color="auto" w:fill="auto"/>
          </w:tcPr>
          <w:p w14:paraId="048562A5" w14:textId="390A467D" w:rsidR="00A20187" w:rsidRPr="00741F9A" w:rsidRDefault="00A20187" w:rsidP="00F83DB9">
            <w:pPr>
              <w:pStyle w:val="Tabletext"/>
              <w:rPr>
                <w:rFonts w:eastAsia="Calibri"/>
              </w:rPr>
            </w:pPr>
            <w:r>
              <w:rPr>
                <w:rFonts w:eastAsia="Calibri"/>
              </w:rPr>
              <w:t>ENR</w:t>
            </w:r>
          </w:p>
        </w:tc>
        <w:tc>
          <w:tcPr>
            <w:tcW w:w="831" w:type="pct"/>
            <w:shd w:val="clear" w:color="auto" w:fill="auto"/>
          </w:tcPr>
          <w:p w14:paraId="0C261356" w14:textId="5C17E714" w:rsidR="00A20187" w:rsidRPr="00741F9A" w:rsidRDefault="00A20187" w:rsidP="00F83DB9">
            <w:pPr>
              <w:pStyle w:val="Tabletext"/>
              <w:rPr>
                <w:rFonts w:eastAsia="Calibri"/>
              </w:rPr>
            </w:pPr>
            <w:r>
              <w:rPr>
                <w:rFonts w:eastAsia="Calibri"/>
              </w:rPr>
              <w:t>Géothermie</w:t>
            </w:r>
          </w:p>
        </w:tc>
        <w:tc>
          <w:tcPr>
            <w:tcW w:w="692" w:type="pct"/>
            <w:shd w:val="clear" w:color="auto" w:fill="auto"/>
          </w:tcPr>
          <w:p w14:paraId="2BC07C7A" w14:textId="6F5F6AC6" w:rsidR="00A20187" w:rsidRPr="00741F9A" w:rsidRDefault="00A20187" w:rsidP="00F83DB9">
            <w:pPr>
              <w:pStyle w:val="Tabletext"/>
              <w:rPr>
                <w:rFonts w:eastAsia="Calibri"/>
              </w:rPr>
            </w:pPr>
            <w:r>
              <w:rPr>
                <w:rFonts w:eastAsia="Calibri"/>
              </w:rPr>
              <w:t>Insuffisance de mobilisation du financement bancaire afin d’atteindre les objectifs régionaux</w:t>
            </w:r>
          </w:p>
        </w:tc>
        <w:tc>
          <w:tcPr>
            <w:tcW w:w="564" w:type="pct"/>
            <w:shd w:val="clear" w:color="auto" w:fill="auto"/>
          </w:tcPr>
          <w:p w14:paraId="0F98EA6D" w14:textId="77777777" w:rsidR="002B3669" w:rsidRPr="002B3669" w:rsidRDefault="002B3669" w:rsidP="002B3669">
            <w:pPr>
              <w:pStyle w:val="Tabletext"/>
              <w:rPr>
                <w:rFonts w:eastAsia="Calibri"/>
              </w:rPr>
            </w:pPr>
            <w:r w:rsidRPr="002B3669">
              <w:rPr>
                <w:rFonts w:eastAsia="Calibri"/>
              </w:rPr>
              <w:t>Fonds Chaleur</w:t>
            </w:r>
          </w:p>
          <w:p w14:paraId="78661E1A" w14:textId="5DC62DEB" w:rsidR="002B3669" w:rsidRDefault="002B3669" w:rsidP="002B3669">
            <w:pPr>
              <w:pStyle w:val="Tabletext"/>
              <w:rPr>
                <w:rFonts w:eastAsia="Calibri"/>
              </w:rPr>
            </w:pPr>
            <w:r w:rsidRPr="002B3669">
              <w:rPr>
                <w:rFonts w:eastAsia="Calibri"/>
              </w:rPr>
              <w:t>SEM Energies Hauts-de-</w:t>
            </w:r>
            <w:r>
              <w:rPr>
                <w:rFonts w:eastAsia="Calibri"/>
              </w:rPr>
              <w:t>France</w:t>
            </w:r>
          </w:p>
          <w:p w14:paraId="6AC8E264" w14:textId="16DC680A" w:rsidR="002B3669" w:rsidRPr="002B3669" w:rsidRDefault="002B3669" w:rsidP="002B3669">
            <w:pPr>
              <w:pStyle w:val="Tabletext"/>
              <w:rPr>
                <w:rFonts w:eastAsia="Calibri"/>
              </w:rPr>
            </w:pPr>
            <w:r>
              <w:rPr>
                <w:rFonts w:eastAsia="Calibri"/>
              </w:rPr>
              <w:t>REV3 Financement</w:t>
            </w:r>
          </w:p>
          <w:p w14:paraId="76EF2E9D" w14:textId="36522C63" w:rsidR="00134D50" w:rsidRDefault="002B3669" w:rsidP="002B3669">
            <w:pPr>
              <w:pStyle w:val="Tabletext"/>
              <w:rPr>
                <w:rFonts w:eastAsia="Calibri"/>
              </w:rPr>
            </w:pPr>
            <w:r w:rsidRPr="002B3669">
              <w:rPr>
                <w:rFonts w:eastAsia="Calibri"/>
              </w:rPr>
              <w:t>Fonds de garantie géothermie (</w:t>
            </w:r>
            <w:r w:rsidR="000A49F7">
              <w:rPr>
                <w:rFonts w:eastAsia="Calibri"/>
              </w:rPr>
              <w:t xml:space="preserve">GEODEEP, </w:t>
            </w:r>
            <w:r w:rsidR="00F72B3C">
              <w:rPr>
                <w:rFonts w:eastAsia="Calibri"/>
              </w:rPr>
              <w:t>AQUAPAC</w:t>
            </w:r>
            <w:r w:rsidRPr="002B3669">
              <w:rPr>
                <w:rFonts w:eastAsia="Calibri"/>
              </w:rPr>
              <w:t>)</w:t>
            </w:r>
          </w:p>
          <w:p w14:paraId="127764E9" w14:textId="77777777" w:rsidR="001F2582" w:rsidRPr="001F2582" w:rsidRDefault="001F2582" w:rsidP="001F2582">
            <w:pPr>
              <w:pStyle w:val="Tabletext"/>
              <w:rPr>
                <w:rFonts w:eastAsia="Calibri"/>
              </w:rPr>
            </w:pPr>
            <w:r w:rsidRPr="001F2582">
              <w:rPr>
                <w:rFonts w:eastAsia="Calibri"/>
              </w:rPr>
              <w:t>Banque des Territoires</w:t>
            </w:r>
          </w:p>
          <w:p w14:paraId="127431AA" w14:textId="0966EFCD" w:rsidR="00A20187" w:rsidRPr="00741F9A" w:rsidRDefault="001F2582" w:rsidP="00F83DB9">
            <w:pPr>
              <w:pStyle w:val="Tabletext"/>
              <w:rPr>
                <w:rFonts w:eastAsia="Calibri"/>
              </w:rPr>
            </w:pPr>
            <w:r w:rsidRPr="001F2582">
              <w:rPr>
                <w:rFonts w:eastAsia="Calibri"/>
              </w:rPr>
              <w:t>Bpifrance</w:t>
            </w:r>
          </w:p>
        </w:tc>
        <w:tc>
          <w:tcPr>
            <w:tcW w:w="505" w:type="pct"/>
            <w:shd w:val="clear" w:color="auto" w:fill="auto"/>
          </w:tcPr>
          <w:p w14:paraId="0EA20E8B" w14:textId="6C39AAF5" w:rsidR="00A20187" w:rsidRPr="00741F9A" w:rsidRDefault="00A20187" w:rsidP="00F83DB9">
            <w:pPr>
              <w:pStyle w:val="Tabletext"/>
              <w:rPr>
                <w:rFonts w:eastAsia="Calibri"/>
              </w:rPr>
            </w:pPr>
            <w:r>
              <w:rPr>
                <w:rFonts w:eastAsia="Calibri"/>
              </w:rPr>
              <w:t>Garantie</w:t>
            </w:r>
          </w:p>
        </w:tc>
        <w:tc>
          <w:tcPr>
            <w:tcW w:w="691" w:type="pct"/>
            <w:shd w:val="clear" w:color="auto" w:fill="auto"/>
          </w:tcPr>
          <w:p w14:paraId="7A149E6B" w14:textId="734136CA" w:rsidR="00A20187" w:rsidRPr="00741F9A" w:rsidRDefault="009E6C06" w:rsidP="00F83DB9">
            <w:pPr>
              <w:pStyle w:val="Tabletext"/>
              <w:rPr>
                <w:rFonts w:eastAsia="Calibri"/>
              </w:rPr>
            </w:pPr>
            <w:r w:rsidRPr="009E6C06">
              <w:rPr>
                <w:rFonts w:eastAsia="Calibri"/>
              </w:rPr>
              <w:t>Géothermie basse</w:t>
            </w:r>
          </w:p>
        </w:tc>
        <w:tc>
          <w:tcPr>
            <w:tcW w:w="459" w:type="pct"/>
            <w:shd w:val="clear" w:color="auto" w:fill="auto"/>
          </w:tcPr>
          <w:p w14:paraId="040E6A5B" w14:textId="7FEC2399" w:rsidR="00A20187" w:rsidRPr="000C118E" w:rsidRDefault="000C118E" w:rsidP="00F83DB9">
            <w:pPr>
              <w:pStyle w:val="Tabletext"/>
              <w:rPr>
                <w:rFonts w:eastAsia="Calibri"/>
              </w:rPr>
            </w:pPr>
            <w:r>
              <w:rPr>
                <w:rFonts w:eastAsia="Calibri"/>
              </w:rPr>
              <w:t>Non préconisé par l’EEA à ce stade</w:t>
            </w:r>
          </w:p>
        </w:tc>
        <w:tc>
          <w:tcPr>
            <w:tcW w:w="670" w:type="pct"/>
            <w:shd w:val="clear" w:color="auto" w:fill="auto"/>
            <w:vAlign w:val="top"/>
          </w:tcPr>
          <w:p w14:paraId="3812E5B9" w14:textId="730D7B86" w:rsidR="00A20187" w:rsidRPr="00741F9A" w:rsidRDefault="00134D50" w:rsidP="00F83DB9">
            <w:pPr>
              <w:pStyle w:val="Tabletext"/>
              <w:rPr>
                <w:rFonts w:eastAsia="Calibri"/>
              </w:rPr>
            </w:pPr>
            <w:r w:rsidRPr="00A77810">
              <w:rPr>
                <w:rFonts w:eastAsia="Calibri"/>
                <w:bCs/>
              </w:rPr>
              <w:t>Pari passu ou RGEC ou de minimis ou Jeunes pousses</w:t>
            </w:r>
          </w:p>
        </w:tc>
      </w:tr>
      <w:tr w:rsidR="0065024E" w14:paraId="6FBDF740"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C1D5DF" w:themeFill="accent2" w:themeFillTint="66"/>
          </w:tcPr>
          <w:p w14:paraId="79E17D86" w14:textId="6D5E9846" w:rsidR="00A20187" w:rsidRDefault="00C66274" w:rsidP="00F83DB9">
            <w:pPr>
              <w:pStyle w:val="Tabletext"/>
              <w:rPr>
                <w:rFonts w:eastAsia="Calibri"/>
              </w:rPr>
            </w:pPr>
            <w:r>
              <w:rPr>
                <w:rFonts w:eastAsia="Calibri"/>
              </w:rPr>
              <w:t>ENR</w:t>
            </w:r>
          </w:p>
        </w:tc>
        <w:tc>
          <w:tcPr>
            <w:tcW w:w="831" w:type="pct"/>
            <w:shd w:val="clear" w:color="auto" w:fill="C1D5DF" w:themeFill="accent2" w:themeFillTint="66"/>
          </w:tcPr>
          <w:p w14:paraId="5A997CE8" w14:textId="30474BD2" w:rsidR="00A20187" w:rsidRDefault="00E33695" w:rsidP="00F83DB9">
            <w:pPr>
              <w:pStyle w:val="Tabletext"/>
              <w:rPr>
                <w:rFonts w:eastAsia="Calibri"/>
              </w:rPr>
            </w:pPr>
            <w:r w:rsidRPr="00E33695">
              <w:rPr>
                <w:rFonts w:eastAsia="Calibri"/>
              </w:rPr>
              <w:t>Energie mari</w:t>
            </w:r>
            <w:r w:rsidR="00C22C92">
              <w:rPr>
                <w:rFonts w:eastAsia="Calibri"/>
              </w:rPr>
              <w:t xml:space="preserve">nes renouvelables </w:t>
            </w:r>
            <w:r w:rsidRPr="00E33695">
              <w:rPr>
                <w:rFonts w:eastAsia="Calibri"/>
              </w:rPr>
              <w:t>(hors éolien offshore)</w:t>
            </w:r>
          </w:p>
        </w:tc>
        <w:tc>
          <w:tcPr>
            <w:tcW w:w="692" w:type="pct"/>
            <w:shd w:val="clear" w:color="auto" w:fill="C1D5DF" w:themeFill="accent2" w:themeFillTint="66"/>
          </w:tcPr>
          <w:p w14:paraId="4D59BA9B" w14:textId="5A1BACEC" w:rsidR="00A20187" w:rsidRDefault="00C66274" w:rsidP="00F83DB9">
            <w:pPr>
              <w:pStyle w:val="Tabletext"/>
              <w:rPr>
                <w:rFonts w:eastAsia="Calibri"/>
              </w:rPr>
            </w:pPr>
            <w:r>
              <w:rPr>
                <w:rFonts w:eastAsia="Calibri"/>
              </w:rPr>
              <w:t>Insuffisant développement des projets pour atteindre les objectifs de 2030</w:t>
            </w:r>
          </w:p>
        </w:tc>
        <w:tc>
          <w:tcPr>
            <w:tcW w:w="564" w:type="pct"/>
            <w:shd w:val="clear" w:color="auto" w:fill="C1D5DF" w:themeFill="accent2" w:themeFillTint="66"/>
          </w:tcPr>
          <w:p w14:paraId="458F5517" w14:textId="77777777" w:rsidR="00134D50" w:rsidRDefault="00134D50" w:rsidP="00134D50">
            <w:pPr>
              <w:pStyle w:val="Tabletext"/>
              <w:rPr>
                <w:rFonts w:eastAsia="Calibri"/>
              </w:rPr>
            </w:pPr>
            <w:r>
              <w:rPr>
                <w:rFonts w:eastAsia="Calibri"/>
              </w:rPr>
              <w:t xml:space="preserve">REV3 Financement </w:t>
            </w:r>
          </w:p>
          <w:p w14:paraId="78169DE4" w14:textId="77777777" w:rsidR="001F2582" w:rsidRPr="001F2582" w:rsidRDefault="001F2582" w:rsidP="001F2582">
            <w:pPr>
              <w:pStyle w:val="Tabletext"/>
              <w:rPr>
                <w:rFonts w:eastAsia="Calibri"/>
              </w:rPr>
            </w:pPr>
            <w:r w:rsidRPr="001F2582">
              <w:rPr>
                <w:rFonts w:eastAsia="Calibri"/>
              </w:rPr>
              <w:t>Banque des Territoires</w:t>
            </w:r>
          </w:p>
          <w:p w14:paraId="06589C7C" w14:textId="16B43AA1" w:rsidR="00A20187" w:rsidRPr="00741F9A" w:rsidRDefault="001F2582" w:rsidP="00F83DB9">
            <w:pPr>
              <w:pStyle w:val="Tabletext"/>
              <w:rPr>
                <w:rFonts w:eastAsia="Calibri"/>
              </w:rPr>
            </w:pPr>
            <w:r w:rsidRPr="001F2582">
              <w:rPr>
                <w:rFonts w:eastAsia="Calibri"/>
              </w:rPr>
              <w:t>Bpifrance</w:t>
            </w:r>
          </w:p>
        </w:tc>
        <w:tc>
          <w:tcPr>
            <w:tcW w:w="505" w:type="pct"/>
            <w:shd w:val="clear" w:color="auto" w:fill="C1D5DF" w:themeFill="accent2" w:themeFillTint="66"/>
          </w:tcPr>
          <w:p w14:paraId="454157CE" w14:textId="77777777" w:rsidR="00A20187" w:rsidRDefault="00C66274" w:rsidP="00F83DB9">
            <w:pPr>
              <w:pStyle w:val="Tabletext"/>
              <w:rPr>
                <w:rFonts w:eastAsia="Calibri"/>
              </w:rPr>
            </w:pPr>
            <w:r>
              <w:rPr>
                <w:rFonts w:eastAsia="Calibri"/>
              </w:rPr>
              <w:t>Fonds propres</w:t>
            </w:r>
          </w:p>
          <w:p w14:paraId="1078022A" w14:textId="4B8901B7" w:rsidR="00C66274" w:rsidRDefault="00C66274" w:rsidP="00F83DB9">
            <w:pPr>
              <w:pStyle w:val="Tabletext"/>
              <w:rPr>
                <w:rFonts w:eastAsia="Calibri"/>
              </w:rPr>
            </w:pPr>
            <w:r>
              <w:rPr>
                <w:rFonts w:eastAsia="Calibri"/>
              </w:rPr>
              <w:t>Quasi-fonds propres</w:t>
            </w:r>
          </w:p>
        </w:tc>
        <w:tc>
          <w:tcPr>
            <w:tcW w:w="691" w:type="pct"/>
            <w:shd w:val="clear" w:color="auto" w:fill="C1D5DF" w:themeFill="accent2" w:themeFillTint="66"/>
          </w:tcPr>
          <w:p w14:paraId="66F7B2D0" w14:textId="07BB68EF" w:rsidR="00A20187" w:rsidRPr="00741F9A" w:rsidRDefault="00C22C92" w:rsidP="00F83DB9">
            <w:pPr>
              <w:pStyle w:val="Tabletext"/>
              <w:rPr>
                <w:rFonts w:eastAsia="Calibri"/>
              </w:rPr>
            </w:pPr>
            <w:r w:rsidRPr="00C22C92">
              <w:rPr>
                <w:rFonts w:eastAsia="Calibri"/>
              </w:rPr>
              <w:t>Appuyer la mise en œuvre des EmR dans une perspective de développement économique pour la filière à tous les niveaux de la chaîne</w:t>
            </w:r>
          </w:p>
        </w:tc>
        <w:tc>
          <w:tcPr>
            <w:tcW w:w="459" w:type="pct"/>
            <w:shd w:val="clear" w:color="auto" w:fill="C1D5DF" w:themeFill="accent2" w:themeFillTint="66"/>
          </w:tcPr>
          <w:p w14:paraId="4793C02F" w14:textId="4EF193D1" w:rsidR="00A20187" w:rsidRPr="00A20187" w:rsidRDefault="00134D50" w:rsidP="00F83DB9">
            <w:pPr>
              <w:pStyle w:val="Tabletext"/>
              <w:rPr>
                <w:rFonts w:eastAsia="Calibri"/>
              </w:rPr>
            </w:pPr>
            <w:r>
              <w:rPr>
                <w:rFonts w:eastAsia="Calibri"/>
              </w:rPr>
              <w:t>Préconisé par l’EEA</w:t>
            </w:r>
          </w:p>
        </w:tc>
        <w:tc>
          <w:tcPr>
            <w:tcW w:w="670" w:type="pct"/>
            <w:shd w:val="clear" w:color="auto" w:fill="C1D5DF" w:themeFill="accent2" w:themeFillTint="66"/>
            <w:vAlign w:val="top"/>
          </w:tcPr>
          <w:p w14:paraId="0A40B720" w14:textId="6748C2AE" w:rsidR="00A20187" w:rsidRPr="00741F9A" w:rsidRDefault="00134D50" w:rsidP="00F83DB9">
            <w:pPr>
              <w:pStyle w:val="Tabletext"/>
              <w:rPr>
                <w:rFonts w:eastAsia="Calibri"/>
              </w:rPr>
            </w:pPr>
            <w:r w:rsidRPr="00A77810">
              <w:rPr>
                <w:rFonts w:eastAsia="Calibri"/>
                <w:bCs/>
              </w:rPr>
              <w:t>Pari passu ou RGEC ou de minimis ou Jeunes pousses</w:t>
            </w:r>
          </w:p>
        </w:tc>
      </w:tr>
      <w:tr w:rsidR="0065024E" w14:paraId="7E06ECAE" w14:textId="77777777" w:rsidTr="006975FB">
        <w:trPr>
          <w:cnfStyle w:val="000000100000" w:firstRow="0" w:lastRow="0" w:firstColumn="0" w:lastColumn="0" w:oddVBand="0" w:evenVBand="0" w:oddHBand="1" w:evenHBand="0" w:firstRowFirstColumn="0" w:firstRowLastColumn="0" w:lastRowFirstColumn="0" w:lastRowLastColumn="0"/>
          <w:trHeight w:val="2610"/>
        </w:trPr>
        <w:tc>
          <w:tcPr>
            <w:tcW w:w="587" w:type="pct"/>
            <w:shd w:val="clear" w:color="auto" w:fill="C1D5DF" w:themeFill="accent2" w:themeFillTint="66"/>
          </w:tcPr>
          <w:p w14:paraId="545E894E" w14:textId="2D154598" w:rsidR="00A20187" w:rsidRDefault="00C05B97" w:rsidP="00F83DB9">
            <w:pPr>
              <w:pStyle w:val="Tabletext"/>
              <w:rPr>
                <w:rFonts w:eastAsia="Calibri"/>
              </w:rPr>
            </w:pPr>
            <w:r>
              <w:rPr>
                <w:rFonts w:eastAsia="Calibri"/>
              </w:rPr>
              <w:t>ENR</w:t>
            </w:r>
          </w:p>
        </w:tc>
        <w:tc>
          <w:tcPr>
            <w:tcW w:w="831" w:type="pct"/>
            <w:shd w:val="clear" w:color="auto" w:fill="C1D5DF" w:themeFill="accent2" w:themeFillTint="66"/>
          </w:tcPr>
          <w:p w14:paraId="49C65744" w14:textId="388B7F89" w:rsidR="00A20187" w:rsidRDefault="00C05B97" w:rsidP="00F83DB9">
            <w:pPr>
              <w:pStyle w:val="Tabletext"/>
              <w:rPr>
                <w:rFonts w:eastAsia="Calibri"/>
              </w:rPr>
            </w:pPr>
            <w:r>
              <w:rPr>
                <w:rFonts w:eastAsia="Calibri"/>
              </w:rPr>
              <w:t>Infrastructure hydrogène</w:t>
            </w:r>
          </w:p>
        </w:tc>
        <w:tc>
          <w:tcPr>
            <w:tcW w:w="692" w:type="pct"/>
            <w:shd w:val="clear" w:color="auto" w:fill="C1D5DF" w:themeFill="accent2" w:themeFillTint="66"/>
          </w:tcPr>
          <w:p w14:paraId="590EB50D" w14:textId="2BAA3736" w:rsidR="00A20187" w:rsidRDefault="00044BC4" w:rsidP="00F83DB9">
            <w:pPr>
              <w:pStyle w:val="Tabletext"/>
              <w:rPr>
                <w:rFonts w:eastAsia="Calibri"/>
              </w:rPr>
            </w:pPr>
            <w:r>
              <w:rPr>
                <w:rFonts w:eastAsia="Calibri"/>
              </w:rPr>
              <w:t>F</w:t>
            </w:r>
            <w:r w:rsidR="004427A3">
              <w:rPr>
                <w:rFonts w:eastAsia="Calibri"/>
              </w:rPr>
              <w:t xml:space="preserve">inancement privé Insuffisant </w:t>
            </w:r>
            <w:r>
              <w:rPr>
                <w:rFonts w:eastAsia="Calibri"/>
              </w:rPr>
              <w:t>pour l</w:t>
            </w:r>
            <w:r w:rsidR="004427A3">
              <w:rPr>
                <w:rFonts w:eastAsia="Calibri"/>
              </w:rPr>
              <w:t>es projets d’infrastructures hydrogène</w:t>
            </w:r>
          </w:p>
        </w:tc>
        <w:tc>
          <w:tcPr>
            <w:tcW w:w="564" w:type="pct"/>
            <w:shd w:val="clear" w:color="auto" w:fill="C1D5DF" w:themeFill="accent2" w:themeFillTint="66"/>
          </w:tcPr>
          <w:p w14:paraId="52CF7B1A" w14:textId="77777777" w:rsidR="00CE7258" w:rsidRPr="00CE7258" w:rsidRDefault="00CE7258" w:rsidP="00CE7258">
            <w:pPr>
              <w:pStyle w:val="Tabletext"/>
              <w:rPr>
                <w:rFonts w:eastAsia="Calibri"/>
              </w:rPr>
            </w:pPr>
            <w:r w:rsidRPr="00CE7258">
              <w:rPr>
                <w:rFonts w:eastAsia="Calibri"/>
              </w:rPr>
              <w:t>NFA</w:t>
            </w:r>
          </w:p>
          <w:p w14:paraId="7CB285F5" w14:textId="77777777" w:rsidR="00CE7258" w:rsidRPr="00CE7258" w:rsidRDefault="00CE7258" w:rsidP="00CE7258">
            <w:pPr>
              <w:pStyle w:val="Tabletext"/>
              <w:rPr>
                <w:rFonts w:eastAsia="Calibri"/>
              </w:rPr>
            </w:pPr>
            <w:r w:rsidRPr="00CE7258">
              <w:rPr>
                <w:rFonts w:eastAsia="Calibri"/>
              </w:rPr>
              <w:t>REV 3 Financement</w:t>
            </w:r>
          </w:p>
          <w:p w14:paraId="67CA0F53" w14:textId="77777777" w:rsidR="00CE7258" w:rsidRPr="00CE7258" w:rsidRDefault="00CE7258" w:rsidP="00CE7258">
            <w:pPr>
              <w:pStyle w:val="Tabletext"/>
              <w:rPr>
                <w:rFonts w:eastAsia="Calibri"/>
              </w:rPr>
            </w:pPr>
            <w:r w:rsidRPr="00CE7258">
              <w:rPr>
                <w:rFonts w:eastAsia="Calibri"/>
              </w:rPr>
              <w:t>PIA 4</w:t>
            </w:r>
          </w:p>
          <w:p w14:paraId="39F859E7" w14:textId="77777777" w:rsidR="00134D50" w:rsidRDefault="00CE7258" w:rsidP="00CE7258">
            <w:pPr>
              <w:pStyle w:val="Tabletext"/>
              <w:rPr>
                <w:rFonts w:eastAsia="Calibri"/>
              </w:rPr>
            </w:pPr>
            <w:r w:rsidRPr="00CE7258">
              <w:rPr>
                <w:rFonts w:eastAsia="Calibri"/>
              </w:rPr>
              <w:t>Stratégie nationale pour le développement de l’hydrogène décarboné</w:t>
            </w:r>
          </w:p>
          <w:p w14:paraId="014ED4F0" w14:textId="77777777" w:rsidR="001F2582" w:rsidRPr="001F2582" w:rsidRDefault="001F2582" w:rsidP="001F2582">
            <w:pPr>
              <w:pStyle w:val="Tabletext"/>
              <w:rPr>
                <w:rFonts w:eastAsia="Calibri"/>
              </w:rPr>
            </w:pPr>
            <w:r w:rsidRPr="001F2582">
              <w:rPr>
                <w:rFonts w:eastAsia="Calibri"/>
              </w:rPr>
              <w:t>Banque des Territoires</w:t>
            </w:r>
          </w:p>
          <w:p w14:paraId="24449C66" w14:textId="484BA3B9" w:rsidR="004427A3" w:rsidRPr="00741F9A" w:rsidRDefault="001F2582" w:rsidP="00F83DB9">
            <w:pPr>
              <w:pStyle w:val="Tabletext"/>
              <w:rPr>
                <w:rFonts w:eastAsia="Calibri"/>
              </w:rPr>
            </w:pPr>
            <w:r w:rsidRPr="001F2582">
              <w:rPr>
                <w:rFonts w:eastAsia="Calibri"/>
              </w:rPr>
              <w:t>Bpifrance</w:t>
            </w:r>
          </w:p>
        </w:tc>
        <w:tc>
          <w:tcPr>
            <w:tcW w:w="505" w:type="pct"/>
            <w:shd w:val="clear" w:color="auto" w:fill="C1D5DF" w:themeFill="accent2" w:themeFillTint="66"/>
          </w:tcPr>
          <w:p w14:paraId="140FF198" w14:textId="77777777" w:rsidR="00A20187" w:rsidRDefault="004427A3" w:rsidP="00F83DB9">
            <w:pPr>
              <w:pStyle w:val="Tabletext"/>
              <w:rPr>
                <w:rFonts w:eastAsia="Calibri"/>
              </w:rPr>
            </w:pPr>
            <w:r>
              <w:rPr>
                <w:rFonts w:eastAsia="Calibri"/>
              </w:rPr>
              <w:t>Fonds propres</w:t>
            </w:r>
          </w:p>
          <w:p w14:paraId="7730C560" w14:textId="2D554197" w:rsidR="004427A3" w:rsidRDefault="004427A3" w:rsidP="00F83DB9">
            <w:pPr>
              <w:pStyle w:val="Tabletext"/>
              <w:rPr>
                <w:rFonts w:eastAsia="Calibri"/>
              </w:rPr>
            </w:pPr>
            <w:r>
              <w:rPr>
                <w:rFonts w:eastAsia="Calibri"/>
              </w:rPr>
              <w:t>Quasi-fonds propres</w:t>
            </w:r>
          </w:p>
        </w:tc>
        <w:tc>
          <w:tcPr>
            <w:tcW w:w="691" w:type="pct"/>
            <w:shd w:val="clear" w:color="auto" w:fill="C1D5DF" w:themeFill="accent2" w:themeFillTint="66"/>
          </w:tcPr>
          <w:p w14:paraId="2510E94A" w14:textId="14139AB0" w:rsidR="00A20187" w:rsidRPr="00741F9A" w:rsidRDefault="00967836" w:rsidP="00F83DB9">
            <w:pPr>
              <w:pStyle w:val="Tabletext"/>
              <w:rPr>
                <w:rFonts w:eastAsia="Calibri"/>
              </w:rPr>
            </w:pPr>
            <w:r w:rsidRPr="00967836">
              <w:rPr>
                <w:rFonts w:eastAsia="Calibri"/>
              </w:rPr>
              <w:t>Devenir leader dans le domaine de l’hydrogène et de poursuivre le déploiement de mobilités décarbonées (électriques, au gaz et à l’hydrogène)</w:t>
            </w:r>
          </w:p>
        </w:tc>
        <w:tc>
          <w:tcPr>
            <w:tcW w:w="459" w:type="pct"/>
            <w:shd w:val="clear" w:color="auto" w:fill="C1D5DF" w:themeFill="accent2" w:themeFillTint="66"/>
          </w:tcPr>
          <w:p w14:paraId="14D287A3" w14:textId="1B89B753" w:rsidR="00A20187" w:rsidRPr="00A20187" w:rsidRDefault="00134D50" w:rsidP="00F83DB9">
            <w:pPr>
              <w:pStyle w:val="Tabletext"/>
              <w:rPr>
                <w:rFonts w:eastAsia="Calibri"/>
              </w:rPr>
            </w:pPr>
            <w:r>
              <w:rPr>
                <w:rFonts w:eastAsia="Calibri"/>
              </w:rPr>
              <w:t>Préconisé par l’EEA</w:t>
            </w:r>
          </w:p>
        </w:tc>
        <w:tc>
          <w:tcPr>
            <w:tcW w:w="670" w:type="pct"/>
            <w:shd w:val="clear" w:color="auto" w:fill="C1D5DF" w:themeFill="accent2" w:themeFillTint="66"/>
            <w:vAlign w:val="top"/>
          </w:tcPr>
          <w:p w14:paraId="6BAA4431" w14:textId="7C665EF2" w:rsidR="00A20187" w:rsidRPr="00741F9A" w:rsidRDefault="00134D50" w:rsidP="00F83DB9">
            <w:pPr>
              <w:pStyle w:val="Tabletext"/>
              <w:rPr>
                <w:rFonts w:eastAsia="Calibri"/>
              </w:rPr>
            </w:pPr>
            <w:r w:rsidRPr="00A77810">
              <w:rPr>
                <w:rFonts w:eastAsia="Calibri"/>
                <w:bCs/>
              </w:rPr>
              <w:t xml:space="preserve">Pari passu ou RGEC </w:t>
            </w:r>
            <w:r w:rsidR="00142860">
              <w:rPr>
                <w:rFonts w:eastAsia="Calibri"/>
                <w:bCs/>
              </w:rPr>
              <w:t xml:space="preserve">(possibilité de soutien à 100% de la mobilité propre) </w:t>
            </w:r>
            <w:r w:rsidRPr="00A77810">
              <w:rPr>
                <w:rFonts w:eastAsia="Calibri"/>
                <w:bCs/>
              </w:rPr>
              <w:t>ou de minimis ou Jeunes pousses</w:t>
            </w:r>
          </w:p>
        </w:tc>
      </w:tr>
      <w:tr w:rsidR="0065024E" w14:paraId="21A29896"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C1D5DF" w:themeFill="accent2" w:themeFillTint="66"/>
          </w:tcPr>
          <w:p w14:paraId="6949E70D" w14:textId="16DC7917" w:rsidR="00A20187" w:rsidRDefault="00DF254C" w:rsidP="00F83DB9">
            <w:pPr>
              <w:pStyle w:val="Tabletext"/>
              <w:rPr>
                <w:rFonts w:eastAsia="Calibri"/>
              </w:rPr>
            </w:pPr>
            <w:r>
              <w:rPr>
                <w:rFonts w:eastAsia="Calibri"/>
              </w:rPr>
              <w:t>ENR</w:t>
            </w:r>
          </w:p>
        </w:tc>
        <w:tc>
          <w:tcPr>
            <w:tcW w:w="831" w:type="pct"/>
            <w:shd w:val="clear" w:color="auto" w:fill="C1D5DF" w:themeFill="accent2" w:themeFillTint="66"/>
          </w:tcPr>
          <w:p w14:paraId="5331D83B" w14:textId="77E8D785" w:rsidR="00A20187" w:rsidRDefault="00DF254C" w:rsidP="00F83DB9">
            <w:pPr>
              <w:pStyle w:val="Tabletext"/>
              <w:rPr>
                <w:rFonts w:eastAsia="Calibri"/>
              </w:rPr>
            </w:pPr>
            <w:r>
              <w:rPr>
                <w:rFonts w:eastAsia="Calibri"/>
              </w:rPr>
              <w:t>Projet innovant dans le cadre de la filière hydrogène</w:t>
            </w:r>
          </w:p>
        </w:tc>
        <w:tc>
          <w:tcPr>
            <w:tcW w:w="692" w:type="pct"/>
            <w:shd w:val="clear" w:color="auto" w:fill="C1D5DF" w:themeFill="accent2" w:themeFillTint="66"/>
          </w:tcPr>
          <w:p w14:paraId="3A412899" w14:textId="530D2B33" w:rsidR="00A20187" w:rsidRDefault="00DF254C" w:rsidP="00F83DB9">
            <w:pPr>
              <w:pStyle w:val="Tabletext"/>
              <w:rPr>
                <w:rFonts w:eastAsia="Calibri"/>
              </w:rPr>
            </w:pPr>
            <w:r>
              <w:rPr>
                <w:rFonts w:eastAsia="Calibri"/>
              </w:rPr>
              <w:t xml:space="preserve">Difficile financement privé des projets innovants risqué, notamment en </w:t>
            </w:r>
            <w:proofErr w:type="spellStart"/>
            <w:r>
              <w:rPr>
                <w:rFonts w:eastAsia="Calibri"/>
              </w:rPr>
              <w:t>armorçage</w:t>
            </w:r>
            <w:proofErr w:type="spellEnd"/>
            <w:r>
              <w:rPr>
                <w:rFonts w:eastAsia="Calibri"/>
              </w:rPr>
              <w:t>/post-amorçage</w:t>
            </w:r>
          </w:p>
        </w:tc>
        <w:tc>
          <w:tcPr>
            <w:tcW w:w="564" w:type="pct"/>
            <w:shd w:val="clear" w:color="auto" w:fill="C1D5DF" w:themeFill="accent2" w:themeFillTint="66"/>
          </w:tcPr>
          <w:p w14:paraId="6ED0493B" w14:textId="77777777" w:rsidR="000C4CC8" w:rsidRDefault="000C4CC8" w:rsidP="00F83DB9">
            <w:pPr>
              <w:pStyle w:val="Tabletext"/>
              <w:rPr>
                <w:rFonts w:eastAsia="Calibri"/>
              </w:rPr>
            </w:pPr>
            <w:r>
              <w:rPr>
                <w:rFonts w:eastAsia="Calibri"/>
              </w:rPr>
              <w:t>NFA</w:t>
            </w:r>
          </w:p>
          <w:p w14:paraId="47965E5C" w14:textId="77777777" w:rsidR="002A09B6" w:rsidRPr="002A09B6" w:rsidRDefault="002A09B6" w:rsidP="002A09B6">
            <w:pPr>
              <w:pStyle w:val="Tabletext"/>
              <w:rPr>
                <w:rFonts w:eastAsia="Calibri"/>
              </w:rPr>
            </w:pPr>
            <w:r w:rsidRPr="002A09B6">
              <w:rPr>
                <w:rFonts w:eastAsia="Calibri"/>
              </w:rPr>
              <w:t>REV 3 Financement</w:t>
            </w:r>
          </w:p>
          <w:p w14:paraId="6EAEC80F" w14:textId="77777777" w:rsidR="002A09B6" w:rsidRPr="002A09B6" w:rsidRDefault="002A09B6" w:rsidP="002A09B6">
            <w:pPr>
              <w:pStyle w:val="Tabletext"/>
              <w:rPr>
                <w:rFonts w:eastAsia="Calibri"/>
              </w:rPr>
            </w:pPr>
            <w:r w:rsidRPr="002A09B6">
              <w:rPr>
                <w:rFonts w:eastAsia="Calibri"/>
              </w:rPr>
              <w:t>PIA 4</w:t>
            </w:r>
          </w:p>
          <w:p w14:paraId="6F094572" w14:textId="77777777" w:rsidR="00134D50" w:rsidRDefault="002A09B6" w:rsidP="002A09B6">
            <w:pPr>
              <w:pStyle w:val="Tabletext"/>
              <w:rPr>
                <w:rFonts w:eastAsia="Calibri"/>
              </w:rPr>
            </w:pPr>
            <w:r w:rsidRPr="002A09B6">
              <w:rPr>
                <w:rFonts w:eastAsia="Calibri"/>
              </w:rPr>
              <w:t>Stratégie nationale pour le développement de l’hydrogène décarboné</w:t>
            </w:r>
          </w:p>
          <w:p w14:paraId="3FEC8F22" w14:textId="77777777" w:rsidR="001F2582" w:rsidRPr="001F2582" w:rsidRDefault="001F2582" w:rsidP="001F2582">
            <w:pPr>
              <w:pStyle w:val="Tabletext"/>
              <w:rPr>
                <w:rFonts w:eastAsia="Calibri"/>
              </w:rPr>
            </w:pPr>
            <w:r w:rsidRPr="001F2582">
              <w:rPr>
                <w:rFonts w:eastAsia="Calibri"/>
              </w:rPr>
              <w:t>Banque des Territoires</w:t>
            </w:r>
          </w:p>
          <w:p w14:paraId="70BF5543" w14:textId="713BE929" w:rsidR="00A20187" w:rsidRPr="00741F9A" w:rsidRDefault="001F2582" w:rsidP="00F83DB9">
            <w:pPr>
              <w:pStyle w:val="Tabletext"/>
              <w:rPr>
                <w:rFonts w:eastAsia="Calibri"/>
              </w:rPr>
            </w:pPr>
            <w:r w:rsidRPr="001F2582">
              <w:rPr>
                <w:rFonts w:eastAsia="Calibri"/>
              </w:rPr>
              <w:t>Bpifrance</w:t>
            </w:r>
          </w:p>
        </w:tc>
        <w:tc>
          <w:tcPr>
            <w:tcW w:w="505" w:type="pct"/>
            <w:shd w:val="clear" w:color="auto" w:fill="C1D5DF" w:themeFill="accent2" w:themeFillTint="66"/>
          </w:tcPr>
          <w:p w14:paraId="7736E9D1" w14:textId="43ADF584" w:rsidR="00A20187" w:rsidRDefault="00DF254C" w:rsidP="00F83DB9">
            <w:pPr>
              <w:pStyle w:val="Tabletext"/>
              <w:rPr>
                <w:rFonts w:eastAsia="Calibri"/>
              </w:rPr>
            </w:pPr>
            <w:r>
              <w:rPr>
                <w:rFonts w:eastAsia="Calibri"/>
              </w:rPr>
              <w:t>Fonds propres</w:t>
            </w:r>
          </w:p>
        </w:tc>
        <w:tc>
          <w:tcPr>
            <w:tcW w:w="691" w:type="pct"/>
            <w:shd w:val="clear" w:color="auto" w:fill="C1D5DF" w:themeFill="accent2" w:themeFillTint="66"/>
          </w:tcPr>
          <w:p w14:paraId="10B4E825" w14:textId="27FE7DAD" w:rsidR="00A20187" w:rsidRPr="00741F9A" w:rsidRDefault="00685B98" w:rsidP="00F83DB9">
            <w:pPr>
              <w:pStyle w:val="Tabletext"/>
              <w:rPr>
                <w:rFonts w:eastAsia="Calibri"/>
              </w:rPr>
            </w:pPr>
            <w:r w:rsidRPr="00967836">
              <w:rPr>
                <w:rFonts w:eastAsia="Calibri"/>
              </w:rPr>
              <w:t>Devenir leader dans le domaine de l’hydrogène et de poursuivre le déploiement de mobilités décarbonées (électriques, au gaz et à l’hydrogène)</w:t>
            </w:r>
          </w:p>
        </w:tc>
        <w:tc>
          <w:tcPr>
            <w:tcW w:w="459" w:type="pct"/>
            <w:shd w:val="clear" w:color="auto" w:fill="C1D5DF" w:themeFill="accent2" w:themeFillTint="66"/>
          </w:tcPr>
          <w:p w14:paraId="073A989B" w14:textId="31CD102C" w:rsidR="00A20187" w:rsidRPr="00A20187" w:rsidRDefault="00134D50" w:rsidP="00F83DB9">
            <w:pPr>
              <w:pStyle w:val="Tabletext"/>
              <w:rPr>
                <w:rFonts w:eastAsia="Calibri"/>
              </w:rPr>
            </w:pPr>
            <w:r>
              <w:rPr>
                <w:rFonts w:eastAsia="Calibri"/>
              </w:rPr>
              <w:t>Préconisé par l’EEA</w:t>
            </w:r>
          </w:p>
        </w:tc>
        <w:tc>
          <w:tcPr>
            <w:tcW w:w="670" w:type="pct"/>
            <w:shd w:val="clear" w:color="auto" w:fill="C1D5DF" w:themeFill="accent2" w:themeFillTint="66"/>
            <w:vAlign w:val="top"/>
          </w:tcPr>
          <w:p w14:paraId="6DFD1885" w14:textId="51CE74F0" w:rsidR="00A20187" w:rsidRPr="00741F9A" w:rsidRDefault="00134D50" w:rsidP="00F83DB9">
            <w:pPr>
              <w:pStyle w:val="Tabletext"/>
              <w:rPr>
                <w:rFonts w:eastAsia="Calibri"/>
              </w:rPr>
            </w:pPr>
            <w:r w:rsidRPr="00A77810">
              <w:rPr>
                <w:rFonts w:eastAsia="Calibri"/>
                <w:bCs/>
              </w:rPr>
              <w:t>Pari passu ou RGEC ou de minimis ou Jeunes pousses</w:t>
            </w:r>
          </w:p>
        </w:tc>
      </w:tr>
      <w:tr w:rsidR="0065024E" w14:paraId="16DD058F" w14:textId="77777777" w:rsidTr="006975FB">
        <w:trPr>
          <w:cnfStyle w:val="000000100000" w:firstRow="0" w:lastRow="0" w:firstColumn="0" w:lastColumn="0" w:oddVBand="0" w:evenVBand="0" w:oddHBand="1" w:evenHBand="0" w:firstRowFirstColumn="0" w:firstRowLastColumn="0" w:lastRowFirstColumn="0" w:lastRowLastColumn="0"/>
        </w:trPr>
        <w:tc>
          <w:tcPr>
            <w:tcW w:w="587" w:type="pct"/>
            <w:shd w:val="clear" w:color="auto" w:fill="92D050"/>
          </w:tcPr>
          <w:p w14:paraId="608CD0DC" w14:textId="7DBE6123" w:rsidR="00A20187" w:rsidRDefault="000C4CC8" w:rsidP="00F83DB9">
            <w:pPr>
              <w:pStyle w:val="Tabletext"/>
              <w:rPr>
                <w:rFonts w:eastAsia="Calibri"/>
              </w:rPr>
            </w:pPr>
            <w:r>
              <w:rPr>
                <w:rFonts w:eastAsia="Calibri"/>
              </w:rPr>
              <w:t>ENR</w:t>
            </w:r>
          </w:p>
        </w:tc>
        <w:tc>
          <w:tcPr>
            <w:tcW w:w="831" w:type="pct"/>
            <w:shd w:val="clear" w:color="auto" w:fill="92D050"/>
          </w:tcPr>
          <w:p w14:paraId="1535619D" w14:textId="5C533C48" w:rsidR="00A20187" w:rsidRDefault="000C4CC8" w:rsidP="00F83DB9">
            <w:pPr>
              <w:pStyle w:val="Tabletext"/>
              <w:rPr>
                <w:rFonts w:eastAsia="Calibri"/>
              </w:rPr>
            </w:pPr>
            <w:r>
              <w:rPr>
                <w:rFonts w:eastAsia="Calibri"/>
              </w:rPr>
              <w:t>Mobilité</w:t>
            </w:r>
            <w:r w:rsidR="00774AE7">
              <w:rPr>
                <w:rFonts w:eastAsia="Calibri"/>
              </w:rPr>
              <w:t xml:space="preserve"> </w:t>
            </w:r>
            <w:r w:rsidR="007A3C41">
              <w:rPr>
                <w:rFonts w:eastAsia="Calibri"/>
              </w:rPr>
              <w:t>durable</w:t>
            </w:r>
          </w:p>
        </w:tc>
        <w:tc>
          <w:tcPr>
            <w:tcW w:w="692" w:type="pct"/>
            <w:shd w:val="clear" w:color="auto" w:fill="92D050"/>
          </w:tcPr>
          <w:p w14:paraId="3BEE87C5" w14:textId="0E3EC772" w:rsidR="00A20187" w:rsidRDefault="000C4CC8" w:rsidP="00F83DB9">
            <w:pPr>
              <w:pStyle w:val="Tabletext"/>
              <w:rPr>
                <w:rFonts w:eastAsia="Calibri"/>
              </w:rPr>
            </w:pPr>
            <w:r>
              <w:rPr>
                <w:rFonts w:eastAsia="Calibri"/>
              </w:rPr>
              <w:t>Conversion de flottes lourd</w:t>
            </w:r>
            <w:r w:rsidR="00096305">
              <w:rPr>
                <w:rFonts w:eastAsia="Calibri"/>
              </w:rPr>
              <w:t>e</w:t>
            </w:r>
            <w:r>
              <w:rPr>
                <w:rFonts w:eastAsia="Calibri"/>
              </w:rPr>
              <w:t>s à financer pour des collectivités ou entreprises</w:t>
            </w:r>
          </w:p>
        </w:tc>
        <w:tc>
          <w:tcPr>
            <w:tcW w:w="564" w:type="pct"/>
            <w:shd w:val="clear" w:color="auto" w:fill="92D050"/>
          </w:tcPr>
          <w:p w14:paraId="054C9DCC" w14:textId="77777777" w:rsidR="007C1669" w:rsidRPr="007C1669" w:rsidRDefault="007C1669" w:rsidP="007C1669">
            <w:pPr>
              <w:pStyle w:val="Tabletext"/>
              <w:rPr>
                <w:rFonts w:eastAsia="Calibri"/>
              </w:rPr>
            </w:pPr>
            <w:r w:rsidRPr="007C1669">
              <w:rPr>
                <w:rFonts w:eastAsia="Calibri"/>
              </w:rPr>
              <w:t>REV 3 Financement</w:t>
            </w:r>
          </w:p>
          <w:p w14:paraId="0ECE325B" w14:textId="77777777" w:rsidR="00134D50" w:rsidRDefault="007C1669" w:rsidP="007C1669">
            <w:pPr>
              <w:pStyle w:val="Tabletext"/>
              <w:rPr>
                <w:rFonts w:eastAsia="Calibri"/>
              </w:rPr>
            </w:pPr>
            <w:r w:rsidRPr="007C1669">
              <w:rPr>
                <w:rFonts w:eastAsia="Calibri"/>
              </w:rPr>
              <w:t xml:space="preserve">Programme </w:t>
            </w:r>
            <w:proofErr w:type="spellStart"/>
            <w:r w:rsidRPr="007C1669">
              <w:rPr>
                <w:rFonts w:eastAsia="Calibri"/>
              </w:rPr>
              <w:t>MoēBUS</w:t>
            </w:r>
            <w:proofErr w:type="spellEnd"/>
            <w:r>
              <w:rPr>
                <w:rFonts w:eastAsia="Calibri"/>
              </w:rPr>
              <w:t xml:space="preserve"> </w:t>
            </w:r>
          </w:p>
          <w:p w14:paraId="0545D997" w14:textId="77777777" w:rsidR="007C1669" w:rsidRDefault="007C1669" w:rsidP="007C1669">
            <w:pPr>
              <w:pStyle w:val="Tabletext"/>
              <w:rPr>
                <w:rFonts w:eastAsia="Calibri"/>
              </w:rPr>
            </w:pPr>
            <w:r w:rsidRPr="007C1669">
              <w:rPr>
                <w:rFonts w:eastAsia="Calibri"/>
              </w:rPr>
              <w:t>Programme ADVENIR</w:t>
            </w:r>
          </w:p>
          <w:p w14:paraId="6CDEDD71" w14:textId="77777777" w:rsidR="001F2582" w:rsidRPr="001F2582" w:rsidRDefault="001F2582" w:rsidP="001F2582">
            <w:pPr>
              <w:pStyle w:val="Tabletext"/>
              <w:rPr>
                <w:rFonts w:eastAsia="Calibri"/>
              </w:rPr>
            </w:pPr>
            <w:r w:rsidRPr="001F2582">
              <w:rPr>
                <w:rFonts w:eastAsia="Calibri"/>
              </w:rPr>
              <w:t>Banque des Territoires</w:t>
            </w:r>
          </w:p>
          <w:p w14:paraId="48DB7233" w14:textId="3CE21A95" w:rsidR="00A20187" w:rsidRPr="00741F9A" w:rsidRDefault="001F2582" w:rsidP="00F83DB9">
            <w:pPr>
              <w:pStyle w:val="Tabletext"/>
              <w:rPr>
                <w:rFonts w:eastAsia="Calibri"/>
              </w:rPr>
            </w:pPr>
            <w:r w:rsidRPr="001F2582">
              <w:rPr>
                <w:rFonts w:eastAsia="Calibri"/>
              </w:rPr>
              <w:t>Bpifrance</w:t>
            </w:r>
          </w:p>
        </w:tc>
        <w:tc>
          <w:tcPr>
            <w:tcW w:w="505" w:type="pct"/>
            <w:shd w:val="clear" w:color="auto" w:fill="92D050"/>
          </w:tcPr>
          <w:p w14:paraId="25B8DC01" w14:textId="3864E893" w:rsidR="00A20187" w:rsidRDefault="000C4CC8" w:rsidP="00F83DB9">
            <w:pPr>
              <w:pStyle w:val="Tabletext"/>
              <w:rPr>
                <w:rFonts w:eastAsia="Calibri"/>
              </w:rPr>
            </w:pPr>
            <w:r>
              <w:rPr>
                <w:rFonts w:eastAsia="Calibri"/>
              </w:rPr>
              <w:t>Prêts</w:t>
            </w:r>
          </w:p>
        </w:tc>
        <w:tc>
          <w:tcPr>
            <w:tcW w:w="691" w:type="pct"/>
            <w:shd w:val="clear" w:color="auto" w:fill="92D050"/>
          </w:tcPr>
          <w:p w14:paraId="3FDCE529" w14:textId="69FAEBAC" w:rsidR="00A20187" w:rsidRPr="00741F9A" w:rsidRDefault="009318D4" w:rsidP="00F83DB9">
            <w:pPr>
              <w:pStyle w:val="Tabletext"/>
              <w:rPr>
                <w:rFonts w:eastAsia="Calibri"/>
              </w:rPr>
            </w:pPr>
            <w:r w:rsidRPr="009318D4">
              <w:rPr>
                <w:rFonts w:eastAsia="Calibri"/>
              </w:rPr>
              <w:t>Devenir leader dans les domaines du biogaz et de l’hydrogène et de poursuivre le déploiement de mobilités décarbonées (électriques, au gaz et à l’hydrogène)</w:t>
            </w:r>
          </w:p>
        </w:tc>
        <w:tc>
          <w:tcPr>
            <w:tcW w:w="459" w:type="pct"/>
            <w:shd w:val="clear" w:color="auto" w:fill="92D050"/>
          </w:tcPr>
          <w:p w14:paraId="185024B9" w14:textId="3353F3BB" w:rsidR="00A20187" w:rsidRPr="00DD3EE3" w:rsidRDefault="00520567" w:rsidP="00F83DB9">
            <w:pPr>
              <w:pStyle w:val="Tabletext"/>
              <w:rPr>
                <w:rFonts w:eastAsia="Calibri"/>
              </w:rPr>
            </w:pPr>
            <w:r>
              <w:rPr>
                <w:rFonts w:eastAsia="Calibri"/>
              </w:rPr>
              <w:t>Non préconisé par l’EEA</w:t>
            </w:r>
          </w:p>
        </w:tc>
        <w:tc>
          <w:tcPr>
            <w:tcW w:w="670" w:type="pct"/>
            <w:shd w:val="clear" w:color="auto" w:fill="92D050"/>
            <w:vAlign w:val="top"/>
          </w:tcPr>
          <w:p w14:paraId="559D83FB" w14:textId="786905CF" w:rsidR="00A20187" w:rsidRPr="00741F9A" w:rsidRDefault="00134D50" w:rsidP="00F83DB9">
            <w:pPr>
              <w:pStyle w:val="Tabletext"/>
              <w:rPr>
                <w:rFonts w:eastAsia="Calibri"/>
              </w:rPr>
            </w:pPr>
            <w:r w:rsidRPr="00A77810">
              <w:rPr>
                <w:rFonts w:eastAsia="Calibri"/>
                <w:bCs/>
              </w:rPr>
              <w:t>Pari passu ou RGEC ou de minimis ou Jeunes pousses</w:t>
            </w:r>
          </w:p>
        </w:tc>
      </w:tr>
      <w:tr w:rsidR="00A20187" w14:paraId="0555262F"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C1D5DF" w:themeFill="accent2" w:themeFillTint="66"/>
          </w:tcPr>
          <w:p w14:paraId="391E7BE3" w14:textId="2D3D5D30" w:rsidR="00A20187" w:rsidRDefault="0084234A" w:rsidP="00F83DB9">
            <w:pPr>
              <w:pStyle w:val="Tabletext"/>
              <w:rPr>
                <w:rFonts w:eastAsia="Calibri"/>
              </w:rPr>
            </w:pPr>
            <w:r>
              <w:rPr>
                <w:rFonts w:eastAsia="Calibri"/>
              </w:rPr>
              <w:t>ENR</w:t>
            </w:r>
          </w:p>
        </w:tc>
        <w:tc>
          <w:tcPr>
            <w:tcW w:w="831" w:type="pct"/>
            <w:shd w:val="clear" w:color="auto" w:fill="C1D5DF" w:themeFill="accent2" w:themeFillTint="66"/>
          </w:tcPr>
          <w:p w14:paraId="6183739A" w14:textId="285DC485" w:rsidR="00A20187" w:rsidRDefault="00774AE7" w:rsidP="00F83DB9">
            <w:pPr>
              <w:pStyle w:val="Tabletext"/>
              <w:rPr>
                <w:rFonts w:eastAsia="Calibri"/>
              </w:rPr>
            </w:pPr>
            <w:r>
              <w:rPr>
                <w:rFonts w:eastAsia="Calibri"/>
              </w:rPr>
              <w:t>BioGnV</w:t>
            </w:r>
          </w:p>
        </w:tc>
        <w:tc>
          <w:tcPr>
            <w:tcW w:w="692" w:type="pct"/>
            <w:shd w:val="clear" w:color="auto" w:fill="C1D5DF" w:themeFill="accent2" w:themeFillTint="66"/>
          </w:tcPr>
          <w:p w14:paraId="0AF6C75F" w14:textId="20D020C1" w:rsidR="00A20187" w:rsidRDefault="00774AE7" w:rsidP="00F83DB9">
            <w:pPr>
              <w:pStyle w:val="Tabletext"/>
              <w:rPr>
                <w:rFonts w:eastAsia="Calibri"/>
              </w:rPr>
            </w:pPr>
            <w:r>
              <w:rPr>
                <w:rFonts w:eastAsia="Calibri"/>
              </w:rPr>
              <w:t>Difficile financement des infrastructures d’avitaillement (stations multi-énergies vertes), notamment dans les zones grises</w:t>
            </w:r>
          </w:p>
        </w:tc>
        <w:tc>
          <w:tcPr>
            <w:tcW w:w="564" w:type="pct"/>
            <w:shd w:val="clear" w:color="auto" w:fill="C1D5DF" w:themeFill="accent2" w:themeFillTint="66"/>
          </w:tcPr>
          <w:p w14:paraId="0E3DAA6E" w14:textId="77777777" w:rsidR="001F2582" w:rsidRPr="001F2582" w:rsidRDefault="001F2582" w:rsidP="001F2582">
            <w:pPr>
              <w:pStyle w:val="Tabletext"/>
              <w:rPr>
                <w:rFonts w:eastAsia="Calibri"/>
              </w:rPr>
            </w:pPr>
            <w:r w:rsidRPr="001F2582">
              <w:rPr>
                <w:rFonts w:eastAsia="Calibri"/>
              </w:rPr>
              <w:t xml:space="preserve">SEM Energies Hauts-de-France </w:t>
            </w:r>
          </w:p>
          <w:p w14:paraId="752E10FC" w14:textId="6EBFFA47" w:rsidR="001F2582" w:rsidRDefault="001F2582" w:rsidP="001F2582">
            <w:pPr>
              <w:pStyle w:val="Tabletext"/>
              <w:rPr>
                <w:rFonts w:eastAsia="Calibri"/>
              </w:rPr>
            </w:pPr>
            <w:r w:rsidRPr="001F2582">
              <w:rPr>
                <w:rFonts w:eastAsia="Calibri"/>
              </w:rPr>
              <w:t>REV 3 Financement</w:t>
            </w:r>
          </w:p>
          <w:p w14:paraId="08870B35" w14:textId="77777777" w:rsidR="00134D50" w:rsidRDefault="00134D50" w:rsidP="00134D50">
            <w:pPr>
              <w:pStyle w:val="Tabletext"/>
              <w:rPr>
                <w:rFonts w:eastAsia="Calibri"/>
              </w:rPr>
            </w:pPr>
            <w:r>
              <w:rPr>
                <w:rFonts w:eastAsia="Calibri"/>
              </w:rPr>
              <w:t>Banque des Territoires</w:t>
            </w:r>
          </w:p>
          <w:p w14:paraId="384B349F" w14:textId="2A05F95D" w:rsidR="00A20187" w:rsidRPr="00741F9A" w:rsidRDefault="00134D50" w:rsidP="00F83DB9">
            <w:pPr>
              <w:pStyle w:val="Tabletext"/>
              <w:rPr>
                <w:rFonts w:eastAsia="Calibri"/>
              </w:rPr>
            </w:pPr>
            <w:r>
              <w:rPr>
                <w:rFonts w:eastAsia="Calibri"/>
              </w:rPr>
              <w:t>Bpifrance</w:t>
            </w:r>
          </w:p>
        </w:tc>
        <w:tc>
          <w:tcPr>
            <w:tcW w:w="505" w:type="pct"/>
            <w:shd w:val="clear" w:color="auto" w:fill="C1D5DF" w:themeFill="accent2" w:themeFillTint="66"/>
          </w:tcPr>
          <w:p w14:paraId="2E180A48" w14:textId="77777777" w:rsidR="009601F5" w:rsidRPr="009601F5" w:rsidRDefault="009601F5" w:rsidP="009601F5">
            <w:pPr>
              <w:pStyle w:val="Tabletext"/>
              <w:rPr>
                <w:rFonts w:eastAsia="Calibri"/>
              </w:rPr>
            </w:pPr>
            <w:r w:rsidRPr="009601F5">
              <w:rPr>
                <w:rFonts w:eastAsia="Calibri"/>
              </w:rPr>
              <w:t>Fonds propres</w:t>
            </w:r>
          </w:p>
          <w:p w14:paraId="382E7893" w14:textId="6B4F3CC7" w:rsidR="00A20187" w:rsidRDefault="009601F5" w:rsidP="00F83DB9">
            <w:pPr>
              <w:pStyle w:val="Tabletext"/>
              <w:rPr>
                <w:rFonts w:eastAsia="Calibri"/>
              </w:rPr>
            </w:pPr>
            <w:r w:rsidRPr="009601F5">
              <w:rPr>
                <w:rFonts w:eastAsia="Calibri"/>
              </w:rPr>
              <w:t>Quasi-fonds propres</w:t>
            </w:r>
          </w:p>
        </w:tc>
        <w:tc>
          <w:tcPr>
            <w:tcW w:w="691" w:type="pct"/>
            <w:shd w:val="clear" w:color="auto" w:fill="C1D5DF" w:themeFill="accent2" w:themeFillTint="66"/>
          </w:tcPr>
          <w:p w14:paraId="69D47DCF" w14:textId="2CB00678" w:rsidR="00A20187" w:rsidRPr="00741F9A" w:rsidRDefault="009318D4" w:rsidP="00F83DB9">
            <w:pPr>
              <w:pStyle w:val="Tabletext"/>
              <w:rPr>
                <w:rFonts w:eastAsia="Calibri"/>
              </w:rPr>
            </w:pPr>
            <w:r w:rsidRPr="009318D4">
              <w:rPr>
                <w:rFonts w:eastAsia="Calibri"/>
              </w:rPr>
              <w:t>Devenir leader dans les domaines du biogaz et de l’hydrogène et de poursuivre le déploiement de mobilités décarbonées (électriques, au gaz et à l’hydrogène)</w:t>
            </w:r>
          </w:p>
        </w:tc>
        <w:tc>
          <w:tcPr>
            <w:tcW w:w="459" w:type="pct"/>
            <w:shd w:val="clear" w:color="auto" w:fill="C1D5DF" w:themeFill="accent2" w:themeFillTint="66"/>
          </w:tcPr>
          <w:p w14:paraId="17EB694F" w14:textId="36BA2487" w:rsidR="00A20187" w:rsidRPr="00A20187" w:rsidRDefault="00112EAD" w:rsidP="00F83DB9">
            <w:pPr>
              <w:pStyle w:val="Tabletext"/>
              <w:rPr>
                <w:rFonts w:eastAsia="Calibri"/>
              </w:rPr>
            </w:pPr>
            <w:r>
              <w:rPr>
                <w:rFonts w:eastAsia="Calibri"/>
              </w:rPr>
              <w:t>Préconisé par l’EEA</w:t>
            </w:r>
          </w:p>
        </w:tc>
        <w:tc>
          <w:tcPr>
            <w:tcW w:w="670" w:type="pct"/>
            <w:shd w:val="clear" w:color="auto" w:fill="C1D5DF" w:themeFill="accent2" w:themeFillTint="66"/>
            <w:vAlign w:val="top"/>
          </w:tcPr>
          <w:p w14:paraId="3D33BFE2" w14:textId="7010C23E" w:rsidR="00A20187" w:rsidRPr="00741F9A" w:rsidRDefault="00134D50" w:rsidP="00F83DB9">
            <w:pPr>
              <w:pStyle w:val="Tabletext"/>
              <w:rPr>
                <w:rFonts w:eastAsia="Calibri"/>
              </w:rPr>
            </w:pPr>
            <w:r w:rsidRPr="00A77810">
              <w:rPr>
                <w:rFonts w:eastAsia="Calibri"/>
                <w:bCs/>
              </w:rPr>
              <w:t>Pari passu ou RGEC ou de minimis ou Jeunes pousses</w:t>
            </w:r>
          </w:p>
        </w:tc>
      </w:tr>
      <w:tr w:rsidR="0084234A" w:rsidRPr="00BD1A32" w14:paraId="00AE4080" w14:textId="77777777" w:rsidTr="006975FB">
        <w:trPr>
          <w:cnfStyle w:val="000000100000" w:firstRow="0" w:lastRow="0" w:firstColumn="0" w:lastColumn="0" w:oddVBand="0" w:evenVBand="0" w:oddHBand="1" w:evenHBand="0" w:firstRowFirstColumn="0" w:firstRowLastColumn="0" w:lastRowFirstColumn="0" w:lastRowLastColumn="0"/>
        </w:trPr>
        <w:tc>
          <w:tcPr>
            <w:tcW w:w="587" w:type="pct"/>
            <w:shd w:val="clear" w:color="auto" w:fill="auto"/>
          </w:tcPr>
          <w:p w14:paraId="51B49682" w14:textId="1F6583AF" w:rsidR="0084234A" w:rsidRPr="00741F9A" w:rsidRDefault="0084234A" w:rsidP="00F83DB9">
            <w:pPr>
              <w:pStyle w:val="Tabletext"/>
              <w:rPr>
                <w:rFonts w:eastAsia="Calibri"/>
              </w:rPr>
            </w:pPr>
            <w:r>
              <w:rPr>
                <w:rFonts w:eastAsia="Calibri"/>
              </w:rPr>
              <w:t>EE</w:t>
            </w:r>
          </w:p>
        </w:tc>
        <w:tc>
          <w:tcPr>
            <w:tcW w:w="831" w:type="pct"/>
            <w:shd w:val="clear" w:color="auto" w:fill="auto"/>
          </w:tcPr>
          <w:p w14:paraId="17FEDD1C" w14:textId="695E5C7C" w:rsidR="0084234A" w:rsidRPr="00741F9A" w:rsidRDefault="002E27C3" w:rsidP="00F83DB9">
            <w:pPr>
              <w:pStyle w:val="Tabletext"/>
              <w:rPr>
                <w:rFonts w:eastAsia="Calibri"/>
              </w:rPr>
            </w:pPr>
            <w:r>
              <w:rPr>
                <w:rFonts w:eastAsia="Calibri"/>
              </w:rPr>
              <w:t>Bâti tertiaire public</w:t>
            </w:r>
          </w:p>
        </w:tc>
        <w:tc>
          <w:tcPr>
            <w:tcW w:w="692" w:type="pct"/>
            <w:shd w:val="clear" w:color="auto" w:fill="auto"/>
          </w:tcPr>
          <w:p w14:paraId="27753385" w14:textId="5939C368" w:rsidR="0084234A" w:rsidRPr="00741F9A" w:rsidRDefault="002E27C3" w:rsidP="00F83DB9">
            <w:pPr>
              <w:pStyle w:val="Tabletext"/>
            </w:pPr>
            <w:r>
              <w:t>Difficile financement des études amonts et de l’ingénierie technique et financière</w:t>
            </w:r>
          </w:p>
        </w:tc>
        <w:tc>
          <w:tcPr>
            <w:tcW w:w="564" w:type="pct"/>
            <w:shd w:val="clear" w:color="auto" w:fill="auto"/>
          </w:tcPr>
          <w:p w14:paraId="60DFD1AB" w14:textId="77777777" w:rsidR="00134D50" w:rsidRDefault="00134D50" w:rsidP="00134D50">
            <w:pPr>
              <w:pStyle w:val="Tabletext"/>
            </w:pPr>
            <w:r>
              <w:t>ACTEE</w:t>
            </w:r>
          </w:p>
          <w:p w14:paraId="7B4EBAF3" w14:textId="77777777" w:rsidR="00134D50" w:rsidRDefault="00134D50" w:rsidP="00134D50">
            <w:pPr>
              <w:pStyle w:val="Tabletext"/>
            </w:pPr>
            <w:r>
              <w:t>FAIRE</w:t>
            </w:r>
          </w:p>
          <w:p w14:paraId="56463F92" w14:textId="4FBBFFF3" w:rsidR="0084234A" w:rsidRPr="00741F9A" w:rsidRDefault="00134D50" w:rsidP="00F83DB9">
            <w:pPr>
              <w:pStyle w:val="Tabletext"/>
            </w:pPr>
            <w:r>
              <w:t>France Relance</w:t>
            </w:r>
          </w:p>
        </w:tc>
        <w:tc>
          <w:tcPr>
            <w:tcW w:w="505" w:type="pct"/>
            <w:shd w:val="clear" w:color="auto" w:fill="auto"/>
          </w:tcPr>
          <w:p w14:paraId="60019E1A" w14:textId="238C84BB" w:rsidR="0084234A" w:rsidRPr="00741F9A" w:rsidRDefault="002E27C3" w:rsidP="00F83DB9">
            <w:pPr>
              <w:pStyle w:val="Tabletext"/>
              <w:rPr>
                <w:rFonts w:eastAsia="Calibri"/>
              </w:rPr>
            </w:pPr>
            <w:r>
              <w:rPr>
                <w:rFonts w:eastAsia="Calibri"/>
              </w:rPr>
              <w:t>N/A</w:t>
            </w:r>
          </w:p>
        </w:tc>
        <w:tc>
          <w:tcPr>
            <w:tcW w:w="691" w:type="pct"/>
            <w:shd w:val="clear" w:color="auto" w:fill="auto"/>
          </w:tcPr>
          <w:p w14:paraId="391B3206" w14:textId="400F2FB1" w:rsidR="0084234A" w:rsidRPr="00741F9A" w:rsidRDefault="00134D50" w:rsidP="00F83DB9">
            <w:pPr>
              <w:pStyle w:val="Tabletext"/>
              <w:rPr>
                <w:rFonts w:eastAsia="Calibri"/>
              </w:rPr>
            </w:pPr>
            <w:r w:rsidRPr="00741F9A">
              <w:rPr>
                <w:rFonts w:eastAsia="Calibri"/>
              </w:rPr>
              <w:t>Atteinte des</w:t>
            </w:r>
            <w:r w:rsidR="00096305">
              <w:rPr>
                <w:rFonts w:eastAsia="Calibri"/>
              </w:rPr>
              <w:t xml:space="preserve"> objectifs régionaux en matière</w:t>
            </w:r>
            <w:r w:rsidRPr="00741F9A">
              <w:rPr>
                <w:rFonts w:eastAsia="Calibri"/>
              </w:rPr>
              <w:t xml:space="preserve"> d’EE</w:t>
            </w:r>
          </w:p>
        </w:tc>
        <w:tc>
          <w:tcPr>
            <w:tcW w:w="459" w:type="pct"/>
            <w:shd w:val="clear" w:color="auto" w:fill="auto"/>
          </w:tcPr>
          <w:p w14:paraId="635ADD34" w14:textId="5B3C70FA" w:rsidR="0084234A" w:rsidRPr="00741F9A" w:rsidRDefault="00134D50" w:rsidP="00F83DB9">
            <w:pPr>
              <w:pStyle w:val="Tabletext"/>
              <w:rPr>
                <w:rFonts w:eastAsia="Calibri"/>
              </w:rPr>
            </w:pPr>
            <w:r>
              <w:rPr>
                <w:rFonts w:eastAsia="Calibri"/>
              </w:rPr>
              <w:t>Non préconisé par l’EEA</w:t>
            </w:r>
          </w:p>
        </w:tc>
        <w:tc>
          <w:tcPr>
            <w:tcW w:w="670" w:type="pct"/>
            <w:shd w:val="clear" w:color="auto" w:fill="auto"/>
          </w:tcPr>
          <w:p w14:paraId="2FE5099B" w14:textId="72106BDE" w:rsidR="0084234A" w:rsidRPr="00741F9A" w:rsidRDefault="0088652F" w:rsidP="00F83DB9">
            <w:pPr>
              <w:pStyle w:val="Tabletext"/>
              <w:rPr>
                <w:rFonts w:eastAsia="Calibri"/>
              </w:rPr>
            </w:pPr>
            <w:r>
              <w:rPr>
                <w:rFonts w:eastAsia="Calibri"/>
              </w:rPr>
              <w:t xml:space="preserve">SIEG ou </w:t>
            </w:r>
            <w:r w:rsidR="00134D50">
              <w:rPr>
                <w:rFonts w:eastAsia="Calibri"/>
              </w:rPr>
              <w:t>De minimis</w:t>
            </w:r>
          </w:p>
        </w:tc>
      </w:tr>
      <w:tr w:rsidR="0065024E" w:rsidRPr="00BD1A32" w14:paraId="43F1F538"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92D050"/>
          </w:tcPr>
          <w:p w14:paraId="670E807B" w14:textId="01367E1F" w:rsidR="00A05D53" w:rsidRPr="00BD1A32" w:rsidRDefault="00121C3C" w:rsidP="00761F57">
            <w:pPr>
              <w:pStyle w:val="Tabletext"/>
              <w:rPr>
                <w:rFonts w:eastAsia="Calibri"/>
              </w:rPr>
            </w:pPr>
            <w:r w:rsidRPr="00741F9A">
              <w:rPr>
                <w:rFonts w:eastAsia="Calibri"/>
              </w:rPr>
              <w:t>EE</w:t>
            </w:r>
          </w:p>
        </w:tc>
        <w:tc>
          <w:tcPr>
            <w:tcW w:w="831" w:type="pct"/>
            <w:shd w:val="clear" w:color="auto" w:fill="92D050"/>
          </w:tcPr>
          <w:p w14:paraId="3263CD52" w14:textId="6F530FA5" w:rsidR="00A05D53" w:rsidRPr="00BD1A32" w:rsidRDefault="002E27C3" w:rsidP="00761F57">
            <w:pPr>
              <w:pStyle w:val="Tabletext"/>
              <w:rPr>
                <w:rFonts w:eastAsia="Calibri"/>
              </w:rPr>
            </w:pPr>
            <w:r>
              <w:rPr>
                <w:rFonts w:eastAsia="Calibri"/>
              </w:rPr>
              <w:t>Bâti résidentiel social</w:t>
            </w:r>
          </w:p>
        </w:tc>
        <w:tc>
          <w:tcPr>
            <w:tcW w:w="692" w:type="pct"/>
            <w:shd w:val="clear" w:color="auto" w:fill="92D050"/>
          </w:tcPr>
          <w:p w14:paraId="39C88613" w14:textId="5E02E419" w:rsidR="00A05D53" w:rsidRPr="00BD1A32" w:rsidRDefault="00005B9A" w:rsidP="00761F57">
            <w:pPr>
              <w:pStyle w:val="Tabletext"/>
              <w:rPr>
                <w:rFonts w:eastAsia="Calibri"/>
              </w:rPr>
            </w:pPr>
            <w:r>
              <w:t>T</w:t>
            </w:r>
            <w:r w:rsidR="002E27C3">
              <w:t>ravaux « annexes » aux rénovation</w:t>
            </w:r>
            <w:r w:rsidR="00096305">
              <w:t>s</w:t>
            </w:r>
            <w:r w:rsidR="002E27C3">
              <w:t xml:space="preserve"> énergétique</w:t>
            </w:r>
            <w:r w:rsidR="00096305">
              <w:t>s</w:t>
            </w:r>
            <w:r w:rsidR="002E27C3">
              <w:t xml:space="preserve"> difficilement finançables</w:t>
            </w:r>
          </w:p>
        </w:tc>
        <w:tc>
          <w:tcPr>
            <w:tcW w:w="564" w:type="pct"/>
            <w:shd w:val="clear" w:color="auto" w:fill="92D050"/>
          </w:tcPr>
          <w:p w14:paraId="5CCC6516" w14:textId="56C4A1B4" w:rsidR="00A05D53" w:rsidRPr="00BD1A32" w:rsidRDefault="002E27C3" w:rsidP="00761F57">
            <w:pPr>
              <w:pStyle w:val="Tabletext"/>
              <w:rPr>
                <w:rFonts w:eastAsia="Calibri"/>
              </w:rPr>
            </w:pPr>
            <w:r>
              <w:t xml:space="preserve"> </w:t>
            </w:r>
            <w:r w:rsidR="00134D50">
              <w:t>-</w:t>
            </w:r>
          </w:p>
        </w:tc>
        <w:tc>
          <w:tcPr>
            <w:tcW w:w="505" w:type="pct"/>
            <w:shd w:val="clear" w:color="auto" w:fill="92D050"/>
          </w:tcPr>
          <w:p w14:paraId="284EE332" w14:textId="77093D07" w:rsidR="00A05D53" w:rsidRPr="00BD1A32" w:rsidRDefault="00121C3C" w:rsidP="00761F57">
            <w:pPr>
              <w:pStyle w:val="Tabletext"/>
              <w:rPr>
                <w:rFonts w:eastAsia="Calibri"/>
              </w:rPr>
            </w:pPr>
            <w:r w:rsidRPr="00741F9A">
              <w:rPr>
                <w:rFonts w:eastAsia="Calibri"/>
              </w:rPr>
              <w:t>Avances remboursables</w:t>
            </w:r>
          </w:p>
        </w:tc>
        <w:tc>
          <w:tcPr>
            <w:tcW w:w="691" w:type="pct"/>
            <w:shd w:val="clear" w:color="auto" w:fill="92D050"/>
          </w:tcPr>
          <w:p w14:paraId="756EC5B6" w14:textId="451FB13F" w:rsidR="00A05D53" w:rsidRPr="00BD1A32" w:rsidRDefault="00121C3C" w:rsidP="00761F57">
            <w:pPr>
              <w:pStyle w:val="Tabletext"/>
              <w:rPr>
                <w:rFonts w:eastAsia="Calibri"/>
              </w:rPr>
            </w:pPr>
            <w:r w:rsidRPr="00741F9A">
              <w:rPr>
                <w:rFonts w:eastAsia="Calibri"/>
              </w:rPr>
              <w:t>Atteinte des</w:t>
            </w:r>
            <w:r w:rsidR="00096305">
              <w:rPr>
                <w:rFonts w:eastAsia="Calibri"/>
              </w:rPr>
              <w:t xml:space="preserve"> objectifs régionaux en matière</w:t>
            </w:r>
            <w:r w:rsidRPr="00741F9A">
              <w:rPr>
                <w:rFonts w:eastAsia="Calibri"/>
              </w:rPr>
              <w:t xml:space="preserve"> d’EE</w:t>
            </w:r>
          </w:p>
        </w:tc>
        <w:tc>
          <w:tcPr>
            <w:tcW w:w="459" w:type="pct"/>
            <w:shd w:val="clear" w:color="auto" w:fill="92D050"/>
          </w:tcPr>
          <w:p w14:paraId="35A3BB13" w14:textId="03FB95FC" w:rsidR="00A05D53" w:rsidRPr="00BD1A32" w:rsidRDefault="00134D50" w:rsidP="00761F57">
            <w:pPr>
              <w:pStyle w:val="Tabletext"/>
              <w:rPr>
                <w:rFonts w:eastAsia="Calibri"/>
              </w:rPr>
            </w:pPr>
            <w:r>
              <w:rPr>
                <w:rFonts w:eastAsia="Calibri"/>
              </w:rPr>
              <w:t>Non préconisé par l’EEA</w:t>
            </w:r>
          </w:p>
        </w:tc>
        <w:tc>
          <w:tcPr>
            <w:tcW w:w="670" w:type="pct"/>
            <w:shd w:val="clear" w:color="auto" w:fill="92D050"/>
          </w:tcPr>
          <w:p w14:paraId="654C875D" w14:textId="4E6EDD7F" w:rsidR="00A05D53" w:rsidRPr="00BD1A32" w:rsidRDefault="0088652F" w:rsidP="00761F57">
            <w:pPr>
              <w:pStyle w:val="Tabletext"/>
              <w:rPr>
                <w:rFonts w:eastAsia="Calibri"/>
              </w:rPr>
            </w:pPr>
            <w:r>
              <w:rPr>
                <w:rFonts w:eastAsia="Calibri"/>
              </w:rPr>
              <w:t xml:space="preserve">SIEG ou </w:t>
            </w:r>
            <w:r w:rsidR="00121C3C" w:rsidRPr="00741F9A">
              <w:rPr>
                <w:rFonts w:eastAsia="Calibri"/>
              </w:rPr>
              <w:t>De minimis</w:t>
            </w:r>
          </w:p>
        </w:tc>
      </w:tr>
      <w:tr w:rsidR="0065024E" w14:paraId="08507148" w14:textId="77777777" w:rsidTr="006975FB">
        <w:trPr>
          <w:cnfStyle w:val="000000100000" w:firstRow="0" w:lastRow="0" w:firstColumn="0" w:lastColumn="0" w:oddVBand="0" w:evenVBand="0" w:oddHBand="1" w:evenHBand="0" w:firstRowFirstColumn="0" w:firstRowLastColumn="0" w:lastRowFirstColumn="0" w:lastRowLastColumn="0"/>
        </w:trPr>
        <w:tc>
          <w:tcPr>
            <w:tcW w:w="587" w:type="pct"/>
            <w:shd w:val="clear" w:color="auto" w:fill="92D050"/>
          </w:tcPr>
          <w:p w14:paraId="0A24CD7F" w14:textId="431CD06E" w:rsidR="00A05D53" w:rsidRPr="006D1DE1" w:rsidRDefault="00121C3C" w:rsidP="00761F57">
            <w:pPr>
              <w:pStyle w:val="Tabletext"/>
              <w:rPr>
                <w:rFonts w:eastAsia="Calibri"/>
                <w:bCs/>
              </w:rPr>
            </w:pPr>
            <w:r w:rsidRPr="00741F9A">
              <w:rPr>
                <w:rFonts w:eastAsia="Calibri"/>
              </w:rPr>
              <w:t>EE</w:t>
            </w:r>
          </w:p>
        </w:tc>
        <w:tc>
          <w:tcPr>
            <w:tcW w:w="831" w:type="pct"/>
            <w:shd w:val="clear" w:color="auto" w:fill="92D050"/>
          </w:tcPr>
          <w:p w14:paraId="40EC2507" w14:textId="06B5D6A6" w:rsidR="00A05D53" w:rsidRPr="006D1DE1" w:rsidRDefault="002E27C3" w:rsidP="00761F57">
            <w:pPr>
              <w:pStyle w:val="Tabletext"/>
              <w:rPr>
                <w:rFonts w:eastAsia="Calibri"/>
                <w:bCs/>
              </w:rPr>
            </w:pPr>
            <w:r>
              <w:rPr>
                <w:rFonts w:eastAsia="Calibri"/>
              </w:rPr>
              <w:t>Bâti résidentiel social</w:t>
            </w:r>
          </w:p>
        </w:tc>
        <w:tc>
          <w:tcPr>
            <w:tcW w:w="692" w:type="pct"/>
            <w:shd w:val="clear" w:color="auto" w:fill="92D050"/>
          </w:tcPr>
          <w:p w14:paraId="3E55579B" w14:textId="6F66C992" w:rsidR="00A05D53" w:rsidRPr="00636C71" w:rsidRDefault="002E27C3" w:rsidP="00761F57">
            <w:pPr>
              <w:pStyle w:val="Tabletext"/>
              <w:rPr>
                <w:rFonts w:eastAsia="Calibri"/>
                <w:bCs/>
              </w:rPr>
            </w:pPr>
            <w:r>
              <w:rPr>
                <w:rFonts w:eastAsia="Calibri"/>
                <w:bCs/>
              </w:rPr>
              <w:t xml:space="preserve">Déficit de fonds propres des bailleurs sociaux </w:t>
            </w:r>
          </w:p>
        </w:tc>
        <w:tc>
          <w:tcPr>
            <w:tcW w:w="564" w:type="pct"/>
            <w:shd w:val="clear" w:color="auto" w:fill="92D050"/>
          </w:tcPr>
          <w:p w14:paraId="6B0EBBE2" w14:textId="543DA551" w:rsidR="00A05D53" w:rsidRDefault="005D6666" w:rsidP="00761F57">
            <w:pPr>
              <w:pStyle w:val="Tabletext"/>
              <w:rPr>
                <w:rFonts w:eastAsia="Calibri"/>
                <w:bCs/>
              </w:rPr>
            </w:pPr>
            <w:r>
              <w:rPr>
                <w:rFonts w:eastAsia="Calibri"/>
                <w:bCs/>
              </w:rPr>
              <w:t>-</w:t>
            </w:r>
          </w:p>
        </w:tc>
        <w:tc>
          <w:tcPr>
            <w:tcW w:w="505" w:type="pct"/>
            <w:shd w:val="clear" w:color="auto" w:fill="92D050"/>
          </w:tcPr>
          <w:p w14:paraId="2F4AC07E" w14:textId="006EB35D" w:rsidR="00A05D53" w:rsidRDefault="00A05D53" w:rsidP="00761F57">
            <w:pPr>
              <w:pStyle w:val="Tabletext"/>
              <w:rPr>
                <w:rFonts w:eastAsia="Calibri"/>
                <w:bCs/>
              </w:rPr>
            </w:pPr>
          </w:p>
        </w:tc>
        <w:tc>
          <w:tcPr>
            <w:tcW w:w="691" w:type="pct"/>
            <w:shd w:val="clear" w:color="auto" w:fill="92D050"/>
          </w:tcPr>
          <w:p w14:paraId="61C7711F" w14:textId="7C8A43B4" w:rsidR="00A05D53" w:rsidRDefault="00121C3C" w:rsidP="00761F57">
            <w:pPr>
              <w:pStyle w:val="Tabletext"/>
              <w:rPr>
                <w:rFonts w:eastAsia="Calibri"/>
                <w:bCs/>
              </w:rPr>
            </w:pPr>
            <w:r w:rsidRPr="00741F9A">
              <w:rPr>
                <w:rFonts w:eastAsia="Calibri"/>
              </w:rPr>
              <w:t>Atteinte des</w:t>
            </w:r>
            <w:r w:rsidR="00096305">
              <w:rPr>
                <w:rFonts w:eastAsia="Calibri"/>
              </w:rPr>
              <w:t xml:space="preserve"> objectifs régionaux en matière</w:t>
            </w:r>
            <w:r w:rsidRPr="00741F9A">
              <w:rPr>
                <w:rFonts w:eastAsia="Calibri"/>
              </w:rPr>
              <w:t xml:space="preserve"> d’EE</w:t>
            </w:r>
          </w:p>
        </w:tc>
        <w:tc>
          <w:tcPr>
            <w:tcW w:w="459" w:type="pct"/>
            <w:shd w:val="clear" w:color="auto" w:fill="92D050"/>
          </w:tcPr>
          <w:p w14:paraId="3B4B99D0" w14:textId="3C2B0D14" w:rsidR="00A05D53" w:rsidRDefault="00134D50" w:rsidP="00761F57">
            <w:pPr>
              <w:pStyle w:val="Tabletext"/>
              <w:rPr>
                <w:rFonts w:eastAsia="Calibri"/>
              </w:rPr>
            </w:pPr>
            <w:r>
              <w:rPr>
                <w:rFonts w:eastAsia="Calibri"/>
              </w:rPr>
              <w:t>Non préconisé par l’EEA</w:t>
            </w:r>
          </w:p>
        </w:tc>
        <w:tc>
          <w:tcPr>
            <w:tcW w:w="670" w:type="pct"/>
            <w:shd w:val="clear" w:color="auto" w:fill="92D050"/>
          </w:tcPr>
          <w:p w14:paraId="5E589B73" w14:textId="7CE801AA" w:rsidR="00A05D53" w:rsidRDefault="0088652F" w:rsidP="00761F57">
            <w:pPr>
              <w:pStyle w:val="Tabletext"/>
              <w:rPr>
                <w:rFonts w:eastAsia="Calibri"/>
                <w:bCs/>
              </w:rPr>
            </w:pPr>
            <w:r>
              <w:rPr>
                <w:rFonts w:eastAsia="Calibri"/>
                <w:bCs/>
              </w:rPr>
              <w:t>SIEG ou De minimis</w:t>
            </w:r>
          </w:p>
        </w:tc>
      </w:tr>
      <w:tr w:rsidR="0065024E" w14:paraId="65B0C743"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C1D5DF" w:themeFill="accent2" w:themeFillTint="66"/>
          </w:tcPr>
          <w:p w14:paraId="514C6F46" w14:textId="31156E48" w:rsidR="00302B40" w:rsidRPr="00741F9A" w:rsidRDefault="00302B40" w:rsidP="00F83DB9">
            <w:pPr>
              <w:pStyle w:val="Tabletext"/>
              <w:rPr>
                <w:rFonts w:eastAsia="Calibri"/>
              </w:rPr>
            </w:pPr>
            <w:r>
              <w:rPr>
                <w:rFonts w:eastAsia="Calibri"/>
              </w:rPr>
              <w:t>EE</w:t>
            </w:r>
          </w:p>
        </w:tc>
        <w:tc>
          <w:tcPr>
            <w:tcW w:w="831" w:type="pct"/>
            <w:shd w:val="clear" w:color="auto" w:fill="C1D5DF" w:themeFill="accent2" w:themeFillTint="66"/>
          </w:tcPr>
          <w:p w14:paraId="7C55AC4A" w14:textId="32873A93" w:rsidR="00302B40" w:rsidRDefault="00302B40" w:rsidP="00F83DB9">
            <w:pPr>
              <w:pStyle w:val="Tabletext"/>
              <w:rPr>
                <w:rFonts w:eastAsia="Calibri"/>
              </w:rPr>
            </w:pPr>
            <w:r>
              <w:rPr>
                <w:rFonts w:eastAsia="Calibri"/>
              </w:rPr>
              <w:t xml:space="preserve">PME innovante </w:t>
            </w:r>
            <w:r w:rsidR="0017009F">
              <w:rPr>
                <w:rFonts w:eastAsia="Calibri"/>
              </w:rPr>
              <w:t>de la filière rénovation énergétique</w:t>
            </w:r>
          </w:p>
        </w:tc>
        <w:tc>
          <w:tcPr>
            <w:tcW w:w="692" w:type="pct"/>
            <w:shd w:val="clear" w:color="auto" w:fill="C1D5DF" w:themeFill="accent2" w:themeFillTint="66"/>
          </w:tcPr>
          <w:p w14:paraId="7DBF873E" w14:textId="31A949D8" w:rsidR="00302B40" w:rsidRDefault="0017009F" w:rsidP="00F83DB9">
            <w:pPr>
              <w:pStyle w:val="Tabletext"/>
              <w:rPr>
                <w:rFonts w:eastAsia="Calibri"/>
                <w:bCs/>
              </w:rPr>
            </w:pPr>
            <w:r>
              <w:rPr>
                <w:rFonts w:eastAsia="Calibri"/>
                <w:bCs/>
              </w:rPr>
              <w:t>Financement difficile de la création et du développement de PME innovantes d’industrialisation de la rénovation énergétique</w:t>
            </w:r>
          </w:p>
        </w:tc>
        <w:tc>
          <w:tcPr>
            <w:tcW w:w="564" w:type="pct"/>
            <w:shd w:val="clear" w:color="auto" w:fill="C1D5DF" w:themeFill="accent2" w:themeFillTint="66"/>
          </w:tcPr>
          <w:p w14:paraId="5EEDD8F6" w14:textId="77777777" w:rsidR="00302B40" w:rsidRDefault="0017009F" w:rsidP="00F83DB9">
            <w:pPr>
              <w:pStyle w:val="Tabletext"/>
              <w:rPr>
                <w:rFonts w:eastAsia="Calibri"/>
                <w:bCs/>
              </w:rPr>
            </w:pPr>
            <w:r>
              <w:rPr>
                <w:rFonts w:eastAsia="Calibri"/>
                <w:bCs/>
              </w:rPr>
              <w:t>HODEFI</w:t>
            </w:r>
          </w:p>
          <w:p w14:paraId="37B4592C" w14:textId="1F728A13" w:rsidR="0017009F" w:rsidRDefault="0017009F" w:rsidP="00F83DB9">
            <w:pPr>
              <w:pStyle w:val="Tabletext"/>
              <w:rPr>
                <w:rFonts w:eastAsia="Calibri"/>
                <w:bCs/>
              </w:rPr>
            </w:pPr>
            <w:r>
              <w:rPr>
                <w:rFonts w:eastAsia="Calibri"/>
                <w:bCs/>
              </w:rPr>
              <w:t>NFA</w:t>
            </w:r>
          </w:p>
        </w:tc>
        <w:tc>
          <w:tcPr>
            <w:tcW w:w="505" w:type="pct"/>
            <w:shd w:val="clear" w:color="auto" w:fill="C1D5DF" w:themeFill="accent2" w:themeFillTint="66"/>
          </w:tcPr>
          <w:p w14:paraId="7BF6729A" w14:textId="77777777" w:rsidR="00302B40" w:rsidRDefault="0017009F" w:rsidP="00302B40">
            <w:pPr>
              <w:pStyle w:val="Tabletext"/>
              <w:rPr>
                <w:rFonts w:eastAsia="Calibri"/>
                <w:bCs/>
              </w:rPr>
            </w:pPr>
            <w:r>
              <w:rPr>
                <w:rFonts w:eastAsia="Calibri"/>
                <w:bCs/>
              </w:rPr>
              <w:t>Fonds propres</w:t>
            </w:r>
          </w:p>
          <w:p w14:paraId="1CCDCC5F" w14:textId="25881504" w:rsidR="0017009F" w:rsidRDefault="00B5784B" w:rsidP="00302B40">
            <w:pPr>
              <w:pStyle w:val="Tabletext"/>
              <w:rPr>
                <w:rFonts w:eastAsia="Calibri"/>
                <w:bCs/>
              </w:rPr>
            </w:pPr>
            <w:r>
              <w:rPr>
                <w:rFonts w:eastAsia="Calibri"/>
                <w:bCs/>
              </w:rPr>
              <w:t>Quasi-fonds</w:t>
            </w:r>
            <w:r w:rsidR="0017009F">
              <w:rPr>
                <w:rFonts w:eastAsia="Calibri"/>
                <w:bCs/>
              </w:rPr>
              <w:t xml:space="preserve"> propres</w:t>
            </w:r>
          </w:p>
        </w:tc>
        <w:tc>
          <w:tcPr>
            <w:tcW w:w="691" w:type="pct"/>
            <w:shd w:val="clear" w:color="auto" w:fill="C1D5DF" w:themeFill="accent2" w:themeFillTint="66"/>
          </w:tcPr>
          <w:p w14:paraId="1E2614C2" w14:textId="61D7ADEA" w:rsidR="00302B40" w:rsidRPr="00741F9A" w:rsidRDefault="0017009F" w:rsidP="00F83DB9">
            <w:pPr>
              <w:pStyle w:val="Tabletext"/>
              <w:rPr>
                <w:rFonts w:eastAsia="Calibri"/>
              </w:rPr>
            </w:pPr>
            <w:r w:rsidRPr="00741F9A">
              <w:rPr>
                <w:rFonts w:eastAsia="Calibri"/>
              </w:rPr>
              <w:t>Atteinte des</w:t>
            </w:r>
            <w:r w:rsidR="00096305">
              <w:rPr>
                <w:rFonts w:eastAsia="Calibri"/>
              </w:rPr>
              <w:t xml:space="preserve"> objectifs régionaux en matière</w:t>
            </w:r>
            <w:r w:rsidRPr="00741F9A">
              <w:rPr>
                <w:rFonts w:eastAsia="Calibri"/>
              </w:rPr>
              <w:t xml:space="preserve"> d’EE</w:t>
            </w:r>
          </w:p>
        </w:tc>
        <w:tc>
          <w:tcPr>
            <w:tcW w:w="459" w:type="pct"/>
            <w:shd w:val="clear" w:color="auto" w:fill="C1D5DF" w:themeFill="accent2" w:themeFillTint="66"/>
          </w:tcPr>
          <w:p w14:paraId="35F70B74" w14:textId="24CF6974" w:rsidR="00302B40" w:rsidRDefault="00134D50" w:rsidP="00F83DB9">
            <w:pPr>
              <w:pStyle w:val="Tabletext"/>
              <w:rPr>
                <w:rFonts w:eastAsia="Calibri"/>
              </w:rPr>
            </w:pPr>
            <w:r>
              <w:rPr>
                <w:rFonts w:eastAsia="Calibri"/>
              </w:rPr>
              <w:t>Préconisé par l’EEA</w:t>
            </w:r>
          </w:p>
        </w:tc>
        <w:tc>
          <w:tcPr>
            <w:tcW w:w="670" w:type="pct"/>
            <w:shd w:val="clear" w:color="auto" w:fill="C1D5DF" w:themeFill="accent2" w:themeFillTint="66"/>
          </w:tcPr>
          <w:p w14:paraId="617F24B9" w14:textId="6F709203" w:rsidR="00302B40" w:rsidRPr="00741F9A" w:rsidRDefault="004C4AA2" w:rsidP="00F83DB9">
            <w:pPr>
              <w:pStyle w:val="Tabletext"/>
              <w:rPr>
                <w:rFonts w:eastAsia="Calibri"/>
              </w:rPr>
            </w:pPr>
            <w:r>
              <w:rPr>
                <w:rFonts w:eastAsia="Calibri"/>
              </w:rPr>
              <w:t>De minimis ou Jeunes pousses</w:t>
            </w:r>
          </w:p>
        </w:tc>
      </w:tr>
      <w:tr w:rsidR="002C552E" w14:paraId="6A5892A3" w14:textId="77777777" w:rsidTr="00E0238A">
        <w:trPr>
          <w:cnfStyle w:val="000000100000" w:firstRow="0" w:lastRow="0" w:firstColumn="0" w:lastColumn="0" w:oddVBand="0" w:evenVBand="0" w:oddHBand="1" w:evenHBand="0" w:firstRowFirstColumn="0" w:firstRowLastColumn="0" w:lastRowFirstColumn="0" w:lastRowLastColumn="0"/>
        </w:trPr>
        <w:tc>
          <w:tcPr>
            <w:tcW w:w="0" w:type="pct"/>
            <w:shd w:val="clear" w:color="auto" w:fill="C1D5DF" w:themeFill="accent2" w:themeFillTint="66"/>
          </w:tcPr>
          <w:p w14:paraId="5DBBFB11" w14:textId="51EF0ED1" w:rsidR="006F4164" w:rsidRDefault="006F4164" w:rsidP="00F83DB9">
            <w:pPr>
              <w:pStyle w:val="Tabletext"/>
              <w:rPr>
                <w:rFonts w:eastAsia="Calibri"/>
              </w:rPr>
            </w:pPr>
            <w:r>
              <w:rPr>
                <w:rFonts w:eastAsia="Calibri"/>
              </w:rPr>
              <w:t>EE</w:t>
            </w:r>
          </w:p>
        </w:tc>
        <w:tc>
          <w:tcPr>
            <w:tcW w:w="0" w:type="pct"/>
            <w:shd w:val="clear" w:color="auto" w:fill="C1D5DF" w:themeFill="accent2" w:themeFillTint="66"/>
          </w:tcPr>
          <w:p w14:paraId="0F9BA7FA" w14:textId="57C1F7F7" w:rsidR="006F4164" w:rsidRDefault="006F4164" w:rsidP="00F83DB9">
            <w:pPr>
              <w:pStyle w:val="Tabletext"/>
              <w:rPr>
                <w:rFonts w:eastAsia="Calibri"/>
              </w:rPr>
            </w:pPr>
            <w:r>
              <w:rPr>
                <w:rFonts w:eastAsia="Calibri"/>
              </w:rPr>
              <w:t>Bâti résidentiel privé</w:t>
            </w:r>
          </w:p>
        </w:tc>
        <w:tc>
          <w:tcPr>
            <w:tcW w:w="0" w:type="pct"/>
            <w:shd w:val="clear" w:color="auto" w:fill="C1D5DF" w:themeFill="accent2" w:themeFillTint="66"/>
          </w:tcPr>
          <w:p w14:paraId="6187CB67" w14:textId="0D26CA52" w:rsidR="006F4164" w:rsidRDefault="00E0238A" w:rsidP="00F83DB9">
            <w:pPr>
              <w:pStyle w:val="Tabletext"/>
              <w:rPr>
                <w:rFonts w:eastAsia="Calibri"/>
                <w:bCs/>
              </w:rPr>
            </w:pPr>
            <w:proofErr w:type="spellStart"/>
            <w:r>
              <w:rPr>
                <w:rFonts w:eastAsia="Calibri"/>
                <w:bCs/>
              </w:rPr>
              <w:t>Dfficulté</w:t>
            </w:r>
            <w:proofErr w:type="spellEnd"/>
            <w:r>
              <w:rPr>
                <w:rFonts w:eastAsia="Calibri"/>
                <w:bCs/>
              </w:rPr>
              <w:t xml:space="preserve"> de financement des</w:t>
            </w:r>
            <w:r w:rsidR="00487F08">
              <w:rPr>
                <w:rFonts w:eastAsia="Calibri"/>
                <w:bCs/>
              </w:rPr>
              <w:t xml:space="preserve"> travaux de rénovation énergétique pour les ménages modestes, distribution des prêts Eco-PTZ insuffisante pour atteindre les objectifs de massification régionaux</w:t>
            </w:r>
          </w:p>
        </w:tc>
        <w:tc>
          <w:tcPr>
            <w:tcW w:w="0" w:type="pct"/>
            <w:shd w:val="clear" w:color="auto" w:fill="C1D5DF" w:themeFill="accent2" w:themeFillTint="66"/>
          </w:tcPr>
          <w:p w14:paraId="6109DB2D" w14:textId="77777777" w:rsidR="006F4164" w:rsidRDefault="00E0238A" w:rsidP="00F83DB9">
            <w:pPr>
              <w:pStyle w:val="Tabletext"/>
              <w:rPr>
                <w:rFonts w:eastAsia="Calibri"/>
                <w:bCs/>
              </w:rPr>
            </w:pPr>
            <w:r>
              <w:rPr>
                <w:rFonts w:eastAsia="Calibri"/>
                <w:bCs/>
              </w:rPr>
              <w:t>SPEE</w:t>
            </w:r>
          </w:p>
          <w:p w14:paraId="3193275A" w14:textId="047F5BBB" w:rsidR="00E0238A" w:rsidRDefault="00E0238A" w:rsidP="00F83DB9">
            <w:pPr>
              <w:pStyle w:val="Tabletext"/>
              <w:rPr>
                <w:rFonts w:eastAsia="Calibri"/>
                <w:bCs/>
              </w:rPr>
            </w:pPr>
            <w:r>
              <w:rPr>
                <w:rFonts w:eastAsia="Calibri"/>
                <w:bCs/>
              </w:rPr>
              <w:t>Eco-PTZ distribué par les banques</w:t>
            </w:r>
            <w:r w:rsidR="000220AF">
              <w:rPr>
                <w:rFonts w:eastAsia="Calibri"/>
                <w:bCs/>
              </w:rPr>
              <w:t xml:space="preserve"> (expérimentation prolongée jusqu’en </w:t>
            </w:r>
            <w:r w:rsidR="00B92AA1">
              <w:rPr>
                <w:rFonts w:eastAsia="Calibri"/>
                <w:bCs/>
              </w:rPr>
              <w:t>2023)</w:t>
            </w:r>
          </w:p>
        </w:tc>
        <w:tc>
          <w:tcPr>
            <w:tcW w:w="0" w:type="pct"/>
            <w:shd w:val="clear" w:color="auto" w:fill="C1D5DF" w:themeFill="accent2" w:themeFillTint="66"/>
          </w:tcPr>
          <w:p w14:paraId="755987FA" w14:textId="1E180F7C" w:rsidR="006F4164" w:rsidRDefault="00105BBA" w:rsidP="00302B40">
            <w:pPr>
              <w:pStyle w:val="Tabletext"/>
              <w:rPr>
                <w:rFonts w:eastAsia="Calibri"/>
                <w:bCs/>
              </w:rPr>
            </w:pPr>
            <w:r>
              <w:rPr>
                <w:rFonts w:eastAsia="Calibri"/>
                <w:bCs/>
              </w:rPr>
              <w:t>Prêt à bas taux</w:t>
            </w:r>
          </w:p>
        </w:tc>
        <w:tc>
          <w:tcPr>
            <w:tcW w:w="0" w:type="pct"/>
            <w:shd w:val="clear" w:color="auto" w:fill="C1D5DF" w:themeFill="accent2" w:themeFillTint="66"/>
          </w:tcPr>
          <w:p w14:paraId="06C26B53" w14:textId="11E9907C" w:rsidR="006F4164" w:rsidRPr="00741F9A" w:rsidRDefault="00E0238A" w:rsidP="00096305">
            <w:pPr>
              <w:pStyle w:val="Tabletext"/>
              <w:rPr>
                <w:rFonts w:eastAsia="Calibri"/>
              </w:rPr>
            </w:pPr>
            <w:r>
              <w:rPr>
                <w:rFonts w:eastAsia="Calibri"/>
              </w:rPr>
              <w:t>Atteinte des objectifs régionaux en matière d’EE</w:t>
            </w:r>
          </w:p>
        </w:tc>
        <w:tc>
          <w:tcPr>
            <w:tcW w:w="0" w:type="pct"/>
            <w:shd w:val="clear" w:color="auto" w:fill="C1D5DF" w:themeFill="accent2" w:themeFillTint="66"/>
          </w:tcPr>
          <w:p w14:paraId="6B9BF909" w14:textId="6D5DEDF0" w:rsidR="006F4164" w:rsidRDefault="00E0238A" w:rsidP="00F83DB9">
            <w:pPr>
              <w:pStyle w:val="Tabletext"/>
              <w:rPr>
                <w:rFonts w:eastAsia="Calibri"/>
              </w:rPr>
            </w:pPr>
            <w:r>
              <w:rPr>
                <w:rFonts w:eastAsia="Calibri"/>
              </w:rPr>
              <w:t>Préconisé par l’EE</w:t>
            </w:r>
            <w:r w:rsidR="005E3ECD">
              <w:rPr>
                <w:rFonts w:eastAsia="Calibri"/>
              </w:rPr>
              <w:t>A</w:t>
            </w:r>
          </w:p>
        </w:tc>
        <w:tc>
          <w:tcPr>
            <w:tcW w:w="0" w:type="pct"/>
            <w:shd w:val="clear" w:color="auto" w:fill="C1D5DF" w:themeFill="accent2" w:themeFillTint="66"/>
          </w:tcPr>
          <w:p w14:paraId="59ADBCB6" w14:textId="4EEE3ED7" w:rsidR="006F4164" w:rsidRDefault="00E0238A" w:rsidP="00F83DB9">
            <w:pPr>
              <w:pStyle w:val="Tabletext"/>
              <w:rPr>
                <w:rFonts w:eastAsia="Calibri"/>
              </w:rPr>
            </w:pPr>
            <w:r>
              <w:rPr>
                <w:rFonts w:eastAsia="Calibri"/>
              </w:rPr>
              <w:t>SIEG ou De minimis</w:t>
            </w:r>
          </w:p>
        </w:tc>
      </w:tr>
      <w:tr w:rsidR="0065024E" w14:paraId="3E0CB914" w14:textId="77777777" w:rsidTr="006F4164">
        <w:trPr>
          <w:cnfStyle w:val="000000010000" w:firstRow="0" w:lastRow="0" w:firstColumn="0" w:lastColumn="0" w:oddVBand="0" w:evenVBand="0" w:oddHBand="0" w:evenHBand="1" w:firstRowFirstColumn="0" w:firstRowLastColumn="0" w:lastRowFirstColumn="0" w:lastRowLastColumn="0"/>
        </w:trPr>
        <w:tc>
          <w:tcPr>
            <w:tcW w:w="587" w:type="pct"/>
            <w:shd w:val="clear" w:color="auto" w:fill="92D050"/>
          </w:tcPr>
          <w:p w14:paraId="2110AC5E" w14:textId="0BC81AFE" w:rsidR="0017009F" w:rsidRDefault="0017009F" w:rsidP="00F83DB9">
            <w:pPr>
              <w:pStyle w:val="Tabletext"/>
              <w:rPr>
                <w:rFonts w:eastAsia="Calibri"/>
              </w:rPr>
            </w:pPr>
            <w:r>
              <w:rPr>
                <w:rFonts w:eastAsia="Calibri"/>
              </w:rPr>
              <w:t>EE</w:t>
            </w:r>
          </w:p>
        </w:tc>
        <w:tc>
          <w:tcPr>
            <w:tcW w:w="831" w:type="pct"/>
            <w:shd w:val="clear" w:color="auto" w:fill="92D050"/>
          </w:tcPr>
          <w:p w14:paraId="17B15A88" w14:textId="1E2A09F7" w:rsidR="0017009F" w:rsidRDefault="0017009F" w:rsidP="00F83DB9">
            <w:pPr>
              <w:pStyle w:val="Tabletext"/>
              <w:rPr>
                <w:rFonts w:eastAsia="Calibri"/>
              </w:rPr>
            </w:pPr>
            <w:r>
              <w:rPr>
                <w:rFonts w:eastAsia="Calibri"/>
              </w:rPr>
              <w:t>Bâti résidentiel privé</w:t>
            </w:r>
          </w:p>
        </w:tc>
        <w:tc>
          <w:tcPr>
            <w:tcW w:w="692" w:type="pct"/>
            <w:shd w:val="clear" w:color="auto" w:fill="92D050"/>
          </w:tcPr>
          <w:p w14:paraId="09EAD8B8" w14:textId="5FC1D7AF" w:rsidR="0017009F" w:rsidRDefault="0017009F" w:rsidP="00F83DB9">
            <w:pPr>
              <w:pStyle w:val="Tabletext"/>
              <w:rPr>
                <w:rFonts w:eastAsia="Calibri"/>
                <w:bCs/>
              </w:rPr>
            </w:pPr>
            <w:r>
              <w:rPr>
                <w:rFonts w:eastAsia="Calibri"/>
                <w:bCs/>
              </w:rPr>
              <w:t>Difficile financement de l’AMO des travaux de rénovation privé</w:t>
            </w:r>
          </w:p>
        </w:tc>
        <w:tc>
          <w:tcPr>
            <w:tcW w:w="564" w:type="pct"/>
            <w:shd w:val="clear" w:color="auto" w:fill="92D050"/>
          </w:tcPr>
          <w:p w14:paraId="1188BEFF" w14:textId="6F89463B" w:rsidR="0017009F" w:rsidRDefault="00134D50" w:rsidP="00F83DB9">
            <w:pPr>
              <w:pStyle w:val="Tabletext"/>
              <w:rPr>
                <w:rFonts w:eastAsia="Calibri"/>
                <w:bCs/>
              </w:rPr>
            </w:pPr>
            <w:r>
              <w:rPr>
                <w:rFonts w:eastAsia="Calibri"/>
                <w:bCs/>
              </w:rPr>
              <w:t>SPEE</w:t>
            </w:r>
          </w:p>
        </w:tc>
        <w:tc>
          <w:tcPr>
            <w:tcW w:w="505" w:type="pct"/>
            <w:shd w:val="clear" w:color="auto" w:fill="92D050"/>
          </w:tcPr>
          <w:p w14:paraId="4614004C" w14:textId="7E827F94" w:rsidR="0017009F" w:rsidRDefault="0017009F" w:rsidP="00302B40">
            <w:pPr>
              <w:pStyle w:val="Tabletext"/>
              <w:rPr>
                <w:rFonts w:eastAsia="Calibri"/>
                <w:bCs/>
              </w:rPr>
            </w:pPr>
            <w:r>
              <w:rPr>
                <w:rFonts w:eastAsia="Calibri"/>
                <w:bCs/>
              </w:rPr>
              <w:t>Avances remboursables</w:t>
            </w:r>
          </w:p>
        </w:tc>
        <w:tc>
          <w:tcPr>
            <w:tcW w:w="691" w:type="pct"/>
            <w:shd w:val="clear" w:color="auto" w:fill="92D050"/>
          </w:tcPr>
          <w:p w14:paraId="085C3E47" w14:textId="43B1A1F7" w:rsidR="0017009F" w:rsidRPr="00741F9A" w:rsidRDefault="00134D50" w:rsidP="00096305">
            <w:pPr>
              <w:pStyle w:val="Tabletext"/>
              <w:rPr>
                <w:rFonts w:eastAsia="Calibri"/>
              </w:rPr>
            </w:pPr>
            <w:r w:rsidRPr="00741F9A">
              <w:rPr>
                <w:rFonts w:eastAsia="Calibri"/>
              </w:rPr>
              <w:t>Atteinte des</w:t>
            </w:r>
            <w:r w:rsidR="00096305">
              <w:rPr>
                <w:rFonts w:eastAsia="Calibri"/>
              </w:rPr>
              <w:t xml:space="preserve"> objectifs régionaux en matière </w:t>
            </w:r>
            <w:r w:rsidRPr="00741F9A">
              <w:rPr>
                <w:rFonts w:eastAsia="Calibri"/>
              </w:rPr>
              <w:t>d’EE</w:t>
            </w:r>
          </w:p>
        </w:tc>
        <w:tc>
          <w:tcPr>
            <w:tcW w:w="459" w:type="pct"/>
            <w:shd w:val="clear" w:color="auto" w:fill="92D050"/>
          </w:tcPr>
          <w:p w14:paraId="55CDD507" w14:textId="31545627" w:rsidR="0017009F" w:rsidRDefault="006F4164" w:rsidP="00F83DB9">
            <w:pPr>
              <w:pStyle w:val="Tabletext"/>
              <w:rPr>
                <w:rFonts w:eastAsia="Calibri"/>
              </w:rPr>
            </w:pPr>
            <w:r>
              <w:rPr>
                <w:rFonts w:eastAsia="Calibri"/>
              </w:rPr>
              <w:t>Non p</w:t>
            </w:r>
            <w:r w:rsidR="00134D50">
              <w:rPr>
                <w:rFonts w:eastAsia="Calibri"/>
              </w:rPr>
              <w:t>réconisé par l’EEA</w:t>
            </w:r>
          </w:p>
        </w:tc>
        <w:tc>
          <w:tcPr>
            <w:tcW w:w="670" w:type="pct"/>
            <w:shd w:val="clear" w:color="auto" w:fill="92D050"/>
          </w:tcPr>
          <w:p w14:paraId="54723FF7" w14:textId="7013428E" w:rsidR="0017009F" w:rsidRPr="00741F9A" w:rsidRDefault="005A0648" w:rsidP="00F83DB9">
            <w:pPr>
              <w:pStyle w:val="Tabletext"/>
              <w:rPr>
                <w:rFonts w:eastAsia="Calibri"/>
              </w:rPr>
            </w:pPr>
            <w:r>
              <w:rPr>
                <w:rFonts w:eastAsia="Calibri"/>
              </w:rPr>
              <w:t xml:space="preserve">SIEG ou </w:t>
            </w:r>
            <w:r w:rsidR="004C4AA2">
              <w:rPr>
                <w:rFonts w:eastAsia="Calibri"/>
              </w:rPr>
              <w:t>De minimis</w:t>
            </w:r>
          </w:p>
        </w:tc>
      </w:tr>
      <w:tr w:rsidR="0017009F" w14:paraId="40A1076F" w14:textId="77777777" w:rsidTr="006975FB">
        <w:trPr>
          <w:cnfStyle w:val="000000100000" w:firstRow="0" w:lastRow="0" w:firstColumn="0" w:lastColumn="0" w:oddVBand="0" w:evenVBand="0" w:oddHBand="1" w:evenHBand="0" w:firstRowFirstColumn="0" w:firstRowLastColumn="0" w:lastRowFirstColumn="0" w:lastRowLastColumn="0"/>
        </w:trPr>
        <w:tc>
          <w:tcPr>
            <w:tcW w:w="587" w:type="pct"/>
            <w:shd w:val="clear" w:color="auto" w:fill="auto"/>
          </w:tcPr>
          <w:p w14:paraId="40992C6D" w14:textId="6725950F" w:rsidR="0017009F" w:rsidRDefault="0017009F" w:rsidP="00F83DB9">
            <w:pPr>
              <w:pStyle w:val="Tabletext"/>
              <w:rPr>
                <w:rFonts w:eastAsia="Calibri"/>
              </w:rPr>
            </w:pPr>
            <w:r>
              <w:rPr>
                <w:rFonts w:eastAsia="Calibri"/>
              </w:rPr>
              <w:t>EE</w:t>
            </w:r>
          </w:p>
        </w:tc>
        <w:tc>
          <w:tcPr>
            <w:tcW w:w="831" w:type="pct"/>
            <w:shd w:val="clear" w:color="auto" w:fill="auto"/>
          </w:tcPr>
          <w:p w14:paraId="4F4A181B" w14:textId="5E66248F" w:rsidR="0017009F" w:rsidRDefault="0017009F" w:rsidP="00F83DB9">
            <w:pPr>
              <w:pStyle w:val="Tabletext"/>
              <w:rPr>
                <w:rFonts w:eastAsia="Calibri"/>
              </w:rPr>
            </w:pPr>
            <w:r>
              <w:rPr>
                <w:rFonts w:eastAsia="Calibri"/>
              </w:rPr>
              <w:t>Bâti résidentiel privé</w:t>
            </w:r>
          </w:p>
        </w:tc>
        <w:tc>
          <w:tcPr>
            <w:tcW w:w="692" w:type="pct"/>
            <w:shd w:val="clear" w:color="auto" w:fill="auto"/>
          </w:tcPr>
          <w:p w14:paraId="688B9AB9" w14:textId="77042AD8" w:rsidR="0017009F" w:rsidRDefault="0017009F" w:rsidP="00F83DB9">
            <w:pPr>
              <w:pStyle w:val="Tabletext"/>
              <w:rPr>
                <w:rFonts w:eastAsia="Calibri"/>
                <w:bCs/>
              </w:rPr>
            </w:pPr>
            <w:r>
              <w:rPr>
                <w:rFonts w:eastAsia="Calibri"/>
                <w:bCs/>
              </w:rPr>
              <w:t>Difficile financement des travaux « annexes » à la rénovation</w:t>
            </w:r>
          </w:p>
        </w:tc>
        <w:tc>
          <w:tcPr>
            <w:tcW w:w="564" w:type="pct"/>
            <w:shd w:val="clear" w:color="auto" w:fill="auto"/>
          </w:tcPr>
          <w:p w14:paraId="4EBBA005" w14:textId="280452AA" w:rsidR="0017009F" w:rsidRDefault="00134D50" w:rsidP="00F83DB9">
            <w:pPr>
              <w:pStyle w:val="Tabletext"/>
              <w:rPr>
                <w:rFonts w:eastAsia="Calibri"/>
                <w:bCs/>
              </w:rPr>
            </w:pPr>
            <w:r>
              <w:rPr>
                <w:rFonts w:eastAsia="Calibri"/>
                <w:bCs/>
              </w:rPr>
              <w:t>SPEE</w:t>
            </w:r>
          </w:p>
        </w:tc>
        <w:tc>
          <w:tcPr>
            <w:tcW w:w="505" w:type="pct"/>
            <w:shd w:val="clear" w:color="auto" w:fill="auto"/>
          </w:tcPr>
          <w:p w14:paraId="0EF6C07A" w14:textId="610A77B7" w:rsidR="0017009F" w:rsidRDefault="004C4AA2" w:rsidP="00302B40">
            <w:pPr>
              <w:pStyle w:val="Tabletext"/>
              <w:rPr>
                <w:rFonts w:eastAsia="Calibri"/>
                <w:bCs/>
              </w:rPr>
            </w:pPr>
            <w:r>
              <w:rPr>
                <w:rFonts w:eastAsia="Calibri"/>
                <w:bCs/>
              </w:rPr>
              <w:t>Avances remboursables</w:t>
            </w:r>
          </w:p>
        </w:tc>
        <w:tc>
          <w:tcPr>
            <w:tcW w:w="691" w:type="pct"/>
            <w:shd w:val="clear" w:color="auto" w:fill="auto"/>
          </w:tcPr>
          <w:p w14:paraId="2B42C7F0" w14:textId="4B1AB374" w:rsidR="0017009F" w:rsidRPr="00741F9A" w:rsidRDefault="00134D50" w:rsidP="00F83DB9">
            <w:pPr>
              <w:pStyle w:val="Tabletext"/>
              <w:rPr>
                <w:rFonts w:eastAsia="Calibri"/>
              </w:rPr>
            </w:pPr>
            <w:r w:rsidRPr="00741F9A">
              <w:rPr>
                <w:rFonts w:eastAsia="Calibri"/>
              </w:rPr>
              <w:t xml:space="preserve">Atteinte des objectifs régionaux </w:t>
            </w:r>
            <w:r w:rsidR="00096305">
              <w:rPr>
                <w:rFonts w:eastAsia="Calibri"/>
              </w:rPr>
              <w:t>en matière</w:t>
            </w:r>
            <w:r w:rsidRPr="00741F9A">
              <w:rPr>
                <w:rFonts w:eastAsia="Calibri"/>
              </w:rPr>
              <w:t xml:space="preserve"> d’EE</w:t>
            </w:r>
          </w:p>
        </w:tc>
        <w:tc>
          <w:tcPr>
            <w:tcW w:w="459" w:type="pct"/>
            <w:shd w:val="clear" w:color="auto" w:fill="auto"/>
          </w:tcPr>
          <w:p w14:paraId="3BFCFDD5" w14:textId="2579CD08" w:rsidR="0017009F" w:rsidRDefault="00134D50" w:rsidP="00F83DB9">
            <w:pPr>
              <w:pStyle w:val="Tabletext"/>
              <w:rPr>
                <w:rFonts w:eastAsia="Calibri"/>
              </w:rPr>
            </w:pPr>
            <w:r>
              <w:rPr>
                <w:rFonts w:eastAsia="Calibri"/>
              </w:rPr>
              <w:t>Non préconisé par l’EEA</w:t>
            </w:r>
          </w:p>
        </w:tc>
        <w:tc>
          <w:tcPr>
            <w:tcW w:w="670" w:type="pct"/>
            <w:shd w:val="clear" w:color="auto" w:fill="auto"/>
          </w:tcPr>
          <w:p w14:paraId="73A29E55" w14:textId="4D819CDF" w:rsidR="0017009F" w:rsidRPr="00741F9A" w:rsidRDefault="005A0648" w:rsidP="00F83DB9">
            <w:pPr>
              <w:pStyle w:val="Tabletext"/>
              <w:rPr>
                <w:rFonts w:eastAsia="Calibri"/>
              </w:rPr>
            </w:pPr>
            <w:r>
              <w:rPr>
                <w:rFonts w:eastAsia="Calibri"/>
              </w:rPr>
              <w:t xml:space="preserve">SIEG ou </w:t>
            </w:r>
            <w:r w:rsidR="004C4AA2">
              <w:rPr>
                <w:rFonts w:eastAsia="Calibri"/>
              </w:rPr>
              <w:t>De minimis</w:t>
            </w:r>
          </w:p>
        </w:tc>
      </w:tr>
      <w:tr w:rsidR="000D70C1" w14:paraId="3C2426F2" w14:textId="77777777" w:rsidTr="008E41C1">
        <w:trPr>
          <w:cnfStyle w:val="000000010000" w:firstRow="0" w:lastRow="0" w:firstColumn="0" w:lastColumn="0" w:oddVBand="0" w:evenVBand="0" w:oddHBand="0" w:evenHBand="1" w:firstRowFirstColumn="0" w:firstRowLastColumn="0" w:lastRowFirstColumn="0" w:lastRowLastColumn="0"/>
        </w:trPr>
        <w:tc>
          <w:tcPr>
            <w:tcW w:w="0" w:type="pct"/>
            <w:shd w:val="clear" w:color="auto" w:fill="92D050"/>
          </w:tcPr>
          <w:p w14:paraId="6DA4D683" w14:textId="0961CA54" w:rsidR="004C4AA2" w:rsidRDefault="004C4AA2" w:rsidP="00F83DB9">
            <w:pPr>
              <w:pStyle w:val="Tabletext"/>
              <w:rPr>
                <w:rFonts w:eastAsia="Calibri"/>
              </w:rPr>
            </w:pPr>
            <w:r>
              <w:rPr>
                <w:rFonts w:eastAsia="Calibri"/>
              </w:rPr>
              <w:t>Friches</w:t>
            </w:r>
          </w:p>
        </w:tc>
        <w:tc>
          <w:tcPr>
            <w:tcW w:w="0" w:type="pct"/>
            <w:shd w:val="clear" w:color="auto" w:fill="92D050"/>
          </w:tcPr>
          <w:p w14:paraId="67C65B25" w14:textId="2323DB6F" w:rsidR="004C4AA2" w:rsidRDefault="00134D50" w:rsidP="00F83DB9">
            <w:pPr>
              <w:pStyle w:val="Tabletext"/>
              <w:rPr>
                <w:rFonts w:eastAsia="Calibri"/>
              </w:rPr>
            </w:pPr>
            <w:r>
              <w:rPr>
                <w:rFonts w:eastAsia="Calibri"/>
              </w:rPr>
              <w:t>Dépollution de friches</w:t>
            </w:r>
          </w:p>
        </w:tc>
        <w:tc>
          <w:tcPr>
            <w:tcW w:w="0" w:type="pct"/>
            <w:shd w:val="clear" w:color="auto" w:fill="92D050"/>
          </w:tcPr>
          <w:p w14:paraId="3FA38883" w14:textId="225B49E0" w:rsidR="004C4AA2" w:rsidRDefault="00602092" w:rsidP="00F83DB9">
            <w:pPr>
              <w:pStyle w:val="Tabletext"/>
              <w:rPr>
                <w:rFonts w:eastAsia="Calibri"/>
                <w:bCs/>
              </w:rPr>
            </w:pPr>
            <w:r>
              <w:rPr>
                <w:rFonts w:eastAsia="Calibri"/>
                <w:bCs/>
              </w:rPr>
              <w:t>Difficile financement des travaux de dépollution</w:t>
            </w:r>
          </w:p>
        </w:tc>
        <w:tc>
          <w:tcPr>
            <w:tcW w:w="0" w:type="pct"/>
            <w:shd w:val="clear" w:color="auto" w:fill="92D050"/>
          </w:tcPr>
          <w:p w14:paraId="7FB8DCE8" w14:textId="11A30BB6" w:rsidR="004C4AA2" w:rsidRDefault="00602092" w:rsidP="00F83DB9">
            <w:pPr>
              <w:pStyle w:val="Tabletext"/>
              <w:rPr>
                <w:rFonts w:eastAsia="Calibri"/>
                <w:bCs/>
              </w:rPr>
            </w:pPr>
            <w:r>
              <w:rPr>
                <w:rFonts w:eastAsia="Calibri"/>
                <w:bCs/>
              </w:rPr>
              <w:t>Subventions et appels à projets</w:t>
            </w:r>
          </w:p>
        </w:tc>
        <w:tc>
          <w:tcPr>
            <w:tcW w:w="0" w:type="pct"/>
            <w:shd w:val="clear" w:color="auto" w:fill="92D050"/>
          </w:tcPr>
          <w:p w14:paraId="71FFAFE2" w14:textId="676F7DEC" w:rsidR="004C4AA2" w:rsidRDefault="00134D50" w:rsidP="00302B40">
            <w:pPr>
              <w:pStyle w:val="Tabletext"/>
              <w:rPr>
                <w:rFonts w:eastAsia="Calibri"/>
                <w:bCs/>
              </w:rPr>
            </w:pPr>
            <w:r>
              <w:rPr>
                <w:rFonts w:eastAsia="Calibri"/>
                <w:bCs/>
              </w:rPr>
              <w:t>Foncière immobilière</w:t>
            </w:r>
          </w:p>
        </w:tc>
        <w:tc>
          <w:tcPr>
            <w:tcW w:w="0" w:type="pct"/>
            <w:shd w:val="clear" w:color="auto" w:fill="92D050"/>
          </w:tcPr>
          <w:p w14:paraId="790B57D3" w14:textId="507E2498" w:rsidR="004C4AA2" w:rsidRPr="00741F9A" w:rsidRDefault="6CC7874D" w:rsidP="00F83DB9">
            <w:pPr>
              <w:pStyle w:val="Tabletext"/>
              <w:rPr>
                <w:rFonts w:eastAsia="Calibri"/>
              </w:rPr>
            </w:pPr>
            <w:r w:rsidRPr="78586306">
              <w:rPr>
                <w:rFonts w:eastAsia="Calibri"/>
              </w:rPr>
              <w:t>Objectif de zéro artificialisation nette inscrit dans le SRADDET</w:t>
            </w:r>
          </w:p>
        </w:tc>
        <w:tc>
          <w:tcPr>
            <w:tcW w:w="0" w:type="pct"/>
            <w:shd w:val="clear" w:color="auto" w:fill="92D050"/>
          </w:tcPr>
          <w:p w14:paraId="43353B0E" w14:textId="0B79E1A0" w:rsidR="004C4AA2" w:rsidRPr="006975FB" w:rsidRDefault="008E41C1" w:rsidP="00F83DB9">
            <w:pPr>
              <w:pStyle w:val="Tabletext"/>
              <w:rPr>
                <w:rFonts w:eastAsia="Calibri"/>
                <w:iCs/>
              </w:rPr>
            </w:pPr>
            <w:r>
              <w:rPr>
                <w:rFonts w:eastAsia="Calibri"/>
                <w:iCs/>
              </w:rPr>
              <w:t>Non p</w:t>
            </w:r>
            <w:r w:rsidR="006975FB" w:rsidRPr="006975FB">
              <w:rPr>
                <w:rFonts w:eastAsia="Calibri"/>
                <w:iCs/>
              </w:rPr>
              <w:t xml:space="preserve">réconisé </w:t>
            </w:r>
            <w:r>
              <w:rPr>
                <w:rFonts w:eastAsia="Calibri"/>
                <w:iCs/>
              </w:rPr>
              <w:t xml:space="preserve">à ce stade </w:t>
            </w:r>
            <w:r w:rsidR="006975FB" w:rsidRPr="006975FB">
              <w:rPr>
                <w:rFonts w:eastAsia="Calibri"/>
                <w:iCs/>
              </w:rPr>
              <w:t>par l’EEA</w:t>
            </w:r>
            <w:r>
              <w:rPr>
                <w:rFonts w:eastAsia="Calibri"/>
                <w:iCs/>
              </w:rPr>
              <w:t xml:space="preserve">, </w:t>
            </w:r>
            <w:r w:rsidR="00DC2C8D">
              <w:rPr>
                <w:rFonts w:eastAsia="Calibri"/>
                <w:iCs/>
              </w:rPr>
              <w:t>à ré-évaluer en cours de programmation après développement d’un outil régional</w:t>
            </w:r>
          </w:p>
        </w:tc>
        <w:tc>
          <w:tcPr>
            <w:tcW w:w="0" w:type="pct"/>
            <w:shd w:val="clear" w:color="auto" w:fill="92D050"/>
          </w:tcPr>
          <w:p w14:paraId="6C27563C" w14:textId="28257F33" w:rsidR="004C4AA2" w:rsidRPr="006975FB" w:rsidRDefault="00134D50" w:rsidP="00F83DB9">
            <w:pPr>
              <w:pStyle w:val="Tabletext"/>
              <w:rPr>
                <w:rFonts w:eastAsia="Calibri"/>
              </w:rPr>
            </w:pPr>
            <w:r w:rsidRPr="006975FB">
              <w:rPr>
                <w:rFonts w:eastAsia="Calibri"/>
              </w:rPr>
              <w:t>Pari-passu ou RGEC ou De minimis</w:t>
            </w:r>
          </w:p>
        </w:tc>
      </w:tr>
      <w:tr w:rsidR="000D70C1" w14:paraId="514E00ED" w14:textId="77777777" w:rsidTr="008E41C1">
        <w:trPr>
          <w:cnfStyle w:val="000000100000" w:firstRow="0" w:lastRow="0" w:firstColumn="0" w:lastColumn="0" w:oddVBand="0" w:evenVBand="0" w:oddHBand="1" w:evenHBand="0" w:firstRowFirstColumn="0" w:firstRowLastColumn="0" w:lastRowFirstColumn="0" w:lastRowLastColumn="0"/>
          <w:trHeight w:val="25"/>
        </w:trPr>
        <w:tc>
          <w:tcPr>
            <w:tcW w:w="0" w:type="pct"/>
            <w:shd w:val="clear" w:color="auto" w:fill="92D050"/>
          </w:tcPr>
          <w:p w14:paraId="2D49C813" w14:textId="5BE0E919" w:rsidR="006975FB" w:rsidRDefault="006975FB" w:rsidP="006975FB">
            <w:pPr>
              <w:pStyle w:val="Tabletext"/>
              <w:rPr>
                <w:rFonts w:eastAsia="Calibri"/>
              </w:rPr>
            </w:pPr>
            <w:r>
              <w:rPr>
                <w:rFonts w:eastAsia="Calibri"/>
              </w:rPr>
              <w:t>Friches</w:t>
            </w:r>
          </w:p>
        </w:tc>
        <w:tc>
          <w:tcPr>
            <w:tcW w:w="0" w:type="pct"/>
            <w:shd w:val="clear" w:color="auto" w:fill="92D050"/>
          </w:tcPr>
          <w:p w14:paraId="028D50DB" w14:textId="3D65E323" w:rsidR="006975FB" w:rsidRDefault="006975FB" w:rsidP="006975FB">
            <w:pPr>
              <w:pStyle w:val="Tabletext"/>
              <w:rPr>
                <w:rFonts w:eastAsia="Calibri"/>
              </w:rPr>
            </w:pPr>
            <w:proofErr w:type="spellStart"/>
            <w:r>
              <w:rPr>
                <w:rFonts w:eastAsia="Calibri"/>
              </w:rPr>
              <w:t>Réhabiitation</w:t>
            </w:r>
            <w:proofErr w:type="spellEnd"/>
            <w:r>
              <w:rPr>
                <w:rFonts w:eastAsia="Calibri"/>
              </w:rPr>
              <w:t xml:space="preserve"> de friches</w:t>
            </w:r>
          </w:p>
        </w:tc>
        <w:tc>
          <w:tcPr>
            <w:tcW w:w="0" w:type="pct"/>
            <w:shd w:val="clear" w:color="auto" w:fill="92D050"/>
          </w:tcPr>
          <w:p w14:paraId="02638DC5" w14:textId="48E9936F" w:rsidR="006975FB" w:rsidRDefault="006975FB" w:rsidP="006975FB">
            <w:pPr>
              <w:pStyle w:val="Tabletext"/>
              <w:rPr>
                <w:rFonts w:eastAsia="Calibri"/>
                <w:bCs/>
              </w:rPr>
            </w:pPr>
            <w:r>
              <w:rPr>
                <w:rFonts w:eastAsia="Calibri"/>
                <w:bCs/>
              </w:rPr>
              <w:t>Difficile financement des travaux de réhabilitation de friches en zone détendue</w:t>
            </w:r>
          </w:p>
        </w:tc>
        <w:tc>
          <w:tcPr>
            <w:tcW w:w="0" w:type="pct"/>
            <w:shd w:val="clear" w:color="auto" w:fill="92D050"/>
          </w:tcPr>
          <w:p w14:paraId="4042787D" w14:textId="71A49419" w:rsidR="006975FB" w:rsidRDefault="006975FB" w:rsidP="006975FB">
            <w:pPr>
              <w:pStyle w:val="Tabletext"/>
              <w:rPr>
                <w:rFonts w:eastAsia="Calibri"/>
                <w:bCs/>
              </w:rPr>
            </w:pPr>
            <w:r>
              <w:rPr>
                <w:rFonts w:eastAsia="Calibri"/>
                <w:bCs/>
              </w:rPr>
              <w:t>Subventions et appel à projets</w:t>
            </w:r>
          </w:p>
        </w:tc>
        <w:tc>
          <w:tcPr>
            <w:tcW w:w="0" w:type="pct"/>
            <w:shd w:val="clear" w:color="auto" w:fill="92D050"/>
          </w:tcPr>
          <w:p w14:paraId="51152D8B" w14:textId="4533B50C" w:rsidR="006975FB" w:rsidRDefault="006975FB" w:rsidP="006975FB">
            <w:pPr>
              <w:pStyle w:val="Tabletext"/>
              <w:rPr>
                <w:rFonts w:eastAsia="Calibri"/>
                <w:bCs/>
              </w:rPr>
            </w:pPr>
            <w:r>
              <w:rPr>
                <w:rFonts w:eastAsia="Calibri"/>
                <w:bCs/>
              </w:rPr>
              <w:t>Foncière immobilière</w:t>
            </w:r>
          </w:p>
        </w:tc>
        <w:tc>
          <w:tcPr>
            <w:tcW w:w="0" w:type="pct"/>
            <w:shd w:val="clear" w:color="auto" w:fill="92D050"/>
          </w:tcPr>
          <w:p w14:paraId="34811366" w14:textId="2B72881D" w:rsidR="006975FB" w:rsidRPr="78586306" w:rsidRDefault="006975FB" w:rsidP="006975FB">
            <w:pPr>
              <w:pStyle w:val="Tabletext"/>
              <w:rPr>
                <w:rFonts w:eastAsia="Calibri"/>
              </w:rPr>
            </w:pPr>
            <w:r w:rsidRPr="78586306">
              <w:rPr>
                <w:rFonts w:eastAsia="Calibri"/>
              </w:rPr>
              <w:t>Objectif de zéro artificialisation nette inscrit dans le SRADDET</w:t>
            </w:r>
          </w:p>
        </w:tc>
        <w:tc>
          <w:tcPr>
            <w:tcW w:w="0" w:type="pct"/>
            <w:shd w:val="clear" w:color="auto" w:fill="92D050"/>
          </w:tcPr>
          <w:p w14:paraId="56D20B17" w14:textId="5DD1673A" w:rsidR="006975FB" w:rsidRDefault="00DC2C8D" w:rsidP="006975FB">
            <w:pPr>
              <w:pStyle w:val="Tabletext"/>
              <w:rPr>
                <w:rFonts w:eastAsia="Calibri"/>
                <w:i/>
                <w:iCs/>
              </w:rPr>
            </w:pPr>
            <w:r>
              <w:rPr>
                <w:rFonts w:eastAsia="Calibri"/>
                <w:iCs/>
              </w:rPr>
              <w:t>Non p</w:t>
            </w:r>
            <w:r w:rsidRPr="006975FB">
              <w:rPr>
                <w:rFonts w:eastAsia="Calibri"/>
                <w:iCs/>
              </w:rPr>
              <w:t xml:space="preserve">réconisé </w:t>
            </w:r>
            <w:r>
              <w:rPr>
                <w:rFonts w:eastAsia="Calibri"/>
                <w:iCs/>
              </w:rPr>
              <w:t xml:space="preserve">à ce stade </w:t>
            </w:r>
            <w:r w:rsidRPr="006975FB">
              <w:rPr>
                <w:rFonts w:eastAsia="Calibri"/>
                <w:iCs/>
              </w:rPr>
              <w:t>par l’EEA</w:t>
            </w:r>
            <w:r>
              <w:rPr>
                <w:rFonts w:eastAsia="Calibri"/>
                <w:iCs/>
              </w:rPr>
              <w:t>, à ré-évaluer en cours de programmation après développement d’un outil régional</w:t>
            </w:r>
          </w:p>
        </w:tc>
        <w:tc>
          <w:tcPr>
            <w:tcW w:w="0" w:type="pct"/>
            <w:shd w:val="clear" w:color="auto" w:fill="92D050"/>
          </w:tcPr>
          <w:p w14:paraId="530065CB" w14:textId="1B9E0118" w:rsidR="006975FB" w:rsidRDefault="006975FB" w:rsidP="006975FB">
            <w:pPr>
              <w:pStyle w:val="Tabletext"/>
              <w:rPr>
                <w:rFonts w:eastAsia="Calibri"/>
              </w:rPr>
            </w:pPr>
            <w:r w:rsidRPr="006975FB">
              <w:rPr>
                <w:rFonts w:eastAsia="Calibri"/>
              </w:rPr>
              <w:t>Pari-passu ou RGEC ou De minimis</w:t>
            </w:r>
          </w:p>
        </w:tc>
      </w:tr>
    </w:tbl>
    <w:p w14:paraId="2CBEA2D5" w14:textId="1CECB248" w:rsidR="00F81E71" w:rsidRDefault="00F81E71">
      <w:pPr>
        <w:sectPr w:rsidR="00F81E71" w:rsidSect="003C13D2">
          <w:pgSz w:w="16839" w:h="11907" w:orient="landscape" w:code="9"/>
          <w:pgMar w:top="1701" w:right="1701" w:bottom="1134" w:left="1701" w:header="709" w:footer="851" w:gutter="0"/>
          <w:cols w:space="708"/>
          <w:docGrid w:linePitch="360"/>
        </w:sectPr>
      </w:pPr>
    </w:p>
    <w:p w14:paraId="7A266C0C" w14:textId="535729CA" w:rsidR="0004391F" w:rsidRDefault="000D1045" w:rsidP="00654653">
      <w:pPr>
        <w:pStyle w:val="Heading1"/>
      </w:pPr>
      <w:bookmarkStart w:id="134" w:name="_Toc93390298"/>
      <w:r>
        <w:t>Stratégie régionale</w:t>
      </w:r>
      <w:bookmarkEnd w:id="134"/>
    </w:p>
    <w:p w14:paraId="5F85D7CF" w14:textId="5A5BE9ED" w:rsidR="00F81E71" w:rsidRDefault="00F81E71" w:rsidP="00E72DF0">
      <w:pPr>
        <w:pStyle w:val="BodyText"/>
      </w:pPr>
      <w:r>
        <w:t xml:space="preserve">La Région </w:t>
      </w:r>
      <w:r w:rsidR="00324C76">
        <w:t>Hauts-de-France</w:t>
      </w:r>
      <w:r>
        <w:t xml:space="preserve"> souhaite apporter une réponse aux défaillances de marché ou situation de financement sous-optimales constatées</w:t>
      </w:r>
      <w:r w:rsidR="00A178C9">
        <w:t xml:space="preserve">. </w:t>
      </w:r>
      <w:r w:rsidR="005E19AB">
        <w:t>La mobilisation d’instrument ne se fera</w:t>
      </w:r>
      <w:r>
        <w:t xml:space="preserve"> si et seulement si elle s’inscrit dans la mise en œuvre de ses ambitions de développement économique et de transition énergétique telles qu’énoncées dans </w:t>
      </w:r>
      <w:r w:rsidRPr="00F81E71">
        <w:t>son</w:t>
      </w:r>
      <w:r>
        <w:t xml:space="preserve"> SRADETT, et en respect d’un certain nombre de critères développés dans ce chapitre. L’investissement régional se fera sur fonds propres de la </w:t>
      </w:r>
      <w:r w:rsidR="000C3ACC">
        <w:t>R</w:t>
      </w:r>
      <w:r>
        <w:t xml:space="preserve">égion, sur les fonds d’autres acteurs publics dont collectivités locales, et parfois via des ressources FESI lorsque leur </w:t>
      </w:r>
      <w:proofErr w:type="spellStart"/>
      <w:r>
        <w:t>additionnalité</w:t>
      </w:r>
      <w:proofErr w:type="spellEnd"/>
      <w:r>
        <w:t xml:space="preserve"> est démontrée.</w:t>
      </w:r>
    </w:p>
    <w:p w14:paraId="2AB5AAAC" w14:textId="77777777" w:rsidR="0007437F" w:rsidRPr="00022246" w:rsidRDefault="0007437F" w:rsidP="0083297A">
      <w:pPr>
        <w:pStyle w:val="Heading2"/>
      </w:pPr>
      <w:bookmarkStart w:id="135" w:name="_Toc46322927"/>
      <w:bookmarkStart w:id="136" w:name="_Toc52499507"/>
      <w:bookmarkStart w:id="137" w:name="_Toc93390299"/>
      <w:r w:rsidRPr="00022246">
        <w:t>Les paramètres à prendre en compte pour définir la stratégie d’investissement de la région au travers des instruments financiers</w:t>
      </w:r>
      <w:bookmarkEnd w:id="135"/>
      <w:bookmarkEnd w:id="136"/>
      <w:bookmarkEnd w:id="137"/>
    </w:p>
    <w:p w14:paraId="16615FDB" w14:textId="77777777" w:rsidR="0007437F" w:rsidRDefault="0007437F" w:rsidP="00E72DF0">
      <w:pPr>
        <w:pStyle w:val="BodyText"/>
      </w:pPr>
      <w:r>
        <w:t>Au-delà de la réponse aux défaillances de marché constatés, quelques principes directeurs et paramètres méritent d’être pris en compte pour dessiner la stratégie d’investissement qu’entend poursuivre la Région en matière d’ingénierie financière :</w:t>
      </w:r>
    </w:p>
    <w:p w14:paraId="30A70018" w14:textId="602A70D1" w:rsidR="0007437F" w:rsidRDefault="0007437F" w:rsidP="0007437F">
      <w:pPr>
        <w:pStyle w:val="Bullet1"/>
        <w:spacing w:line="256" w:lineRule="auto"/>
      </w:pPr>
      <w:r>
        <w:t>Le premier principe est celui de la cohérence des instruments avec les priorités fixées</w:t>
      </w:r>
      <w:r>
        <w:rPr>
          <w:b/>
        </w:rPr>
        <w:t xml:space="preserve"> dans les documents stratégiques ayant fait l’objet d’une validation politique par la Région (SRDEII, SRDTL, S3, PDRA, SRADDET). Les concertations en fondement de ces documents pour la prochaine période budgétaire n’ont pour la plupart pas encore été lancées sinon pour le SRADETT, dont les principes directeurs </w:t>
      </w:r>
      <w:r w:rsidR="00EB4278">
        <w:rPr>
          <w:b/>
        </w:rPr>
        <w:t xml:space="preserve">sont </w:t>
      </w:r>
      <w:r>
        <w:rPr>
          <w:b/>
        </w:rPr>
        <w:t xml:space="preserve">pris en compte. </w:t>
      </w:r>
    </w:p>
    <w:p w14:paraId="11BB60A7" w14:textId="1A190CA1" w:rsidR="0007437F" w:rsidRDefault="0007437F" w:rsidP="0007437F">
      <w:pPr>
        <w:pStyle w:val="Bullet1"/>
        <w:spacing w:line="256" w:lineRule="auto"/>
      </w:pPr>
      <w:r>
        <w:t>Le deuxième principe est celui de la complémentarité de l</w:t>
      </w:r>
      <w:r>
        <w:rPr>
          <w:b/>
        </w:rPr>
        <w:t>a stratégie d’investissement de la Région avec les outils de financement existants au plan national</w:t>
      </w:r>
      <w:r w:rsidR="005E19AB">
        <w:rPr>
          <w:b/>
        </w:rPr>
        <w:t xml:space="preserve"> et européen</w:t>
      </w:r>
      <w:r>
        <w:rPr>
          <w:b/>
        </w:rPr>
        <w:t xml:space="preserve"> </w:t>
      </w:r>
      <w:r>
        <w:t>(non-duplication), à savoir les actions de la Banque des Territoires (ex-</w:t>
      </w:r>
      <w:proofErr w:type="spellStart"/>
      <w:r>
        <w:t>CdC</w:t>
      </w:r>
      <w:proofErr w:type="spellEnd"/>
      <w:r>
        <w:t xml:space="preserve">), Bpifrance notamment, l’Etat et l’Europe. </w:t>
      </w:r>
    </w:p>
    <w:p w14:paraId="5C77A887" w14:textId="32676D30" w:rsidR="0007437F" w:rsidRDefault="0007437F" w:rsidP="0007437F">
      <w:pPr>
        <w:pStyle w:val="Bullet1"/>
        <w:spacing w:line="256" w:lineRule="auto"/>
      </w:pPr>
      <w:r>
        <w:t xml:space="preserve">Le troisième principe est celui de </w:t>
      </w:r>
      <w:r>
        <w:rPr>
          <w:b/>
          <w:bCs/>
        </w:rPr>
        <w:t>la criticité de l’intervention</w:t>
      </w:r>
      <w:r>
        <w:t xml:space="preserve"> pour générer un effet démonstrateur/d’entrainement et/ou de massification en faveur du développement économique ou de la transition énergétique du territoire. Cela rejoint la nécessité d’atteindre une masse critique d’intervention pour assurer un niveau de rentabilité satisfaisant des investissements (diversification du portefeuille de risques) et attirer des intermédiaires financiers.</w:t>
      </w:r>
    </w:p>
    <w:p w14:paraId="135305E3" w14:textId="77777777" w:rsidR="0007437F" w:rsidRDefault="0007437F" w:rsidP="0083297A">
      <w:pPr>
        <w:pStyle w:val="Heading2"/>
      </w:pPr>
      <w:bookmarkStart w:id="138" w:name="_Toc46322928"/>
      <w:bookmarkStart w:id="139" w:name="_Toc52499508"/>
      <w:bookmarkStart w:id="140" w:name="_Toc93390300"/>
      <w:r>
        <w:t>Les paramètres à prendre en compte pour définir l’intervention des FESI sur les instruments financiers régionaux</w:t>
      </w:r>
      <w:bookmarkEnd w:id="138"/>
      <w:bookmarkEnd w:id="139"/>
      <w:bookmarkEnd w:id="140"/>
    </w:p>
    <w:p w14:paraId="73157E39" w14:textId="77777777" w:rsidR="0007437F" w:rsidRDefault="0007437F" w:rsidP="00E72DF0">
      <w:pPr>
        <w:pStyle w:val="BodyText"/>
      </w:pPr>
      <w:r w:rsidRPr="00B605D2">
        <w:t xml:space="preserve">Le premier principe d’intervention des FESI est celui du </w:t>
      </w:r>
      <w:r w:rsidRPr="007D35A8">
        <w:rPr>
          <w:b/>
          <w:bCs/>
        </w:rPr>
        <w:t xml:space="preserve">pragmatisme dans l’usage des fonds FEDER </w:t>
      </w:r>
      <w:r w:rsidRPr="00B605D2">
        <w:t>au travers d’instruments financiers</w:t>
      </w:r>
      <w:r>
        <w:t>, à savoir :</w:t>
      </w:r>
    </w:p>
    <w:p w14:paraId="1A9849B8" w14:textId="5E445A0A" w:rsidR="0007437F" w:rsidRDefault="0007437F" w:rsidP="001F51C3">
      <w:pPr>
        <w:pStyle w:val="Bullet1"/>
      </w:pPr>
      <w:r>
        <w:t xml:space="preserve">La Région doit cibler un nombre limité d’intervention </w:t>
      </w:r>
      <w:r w:rsidR="001F51C3">
        <w:t xml:space="preserve">en instruments financiers </w:t>
      </w:r>
      <w:r>
        <w:t>mais ayant une masse critique, afin de garantir une concentration des interventions et limiter le saupoudrage.</w:t>
      </w:r>
    </w:p>
    <w:p w14:paraId="5F50D8CE" w14:textId="18CC2230" w:rsidR="0007437F" w:rsidRDefault="0007437F" w:rsidP="00B605D2">
      <w:pPr>
        <w:pStyle w:val="Bullet1"/>
      </w:pPr>
      <w:r w:rsidRPr="001F51C3">
        <w:t xml:space="preserve">La Région doit cibler l’intervention des FESI </w:t>
      </w:r>
      <w:r w:rsidR="001F51C3" w:rsidRPr="001F51C3">
        <w:t xml:space="preserve">via instruments financiers </w:t>
      </w:r>
      <w:r w:rsidRPr="001F51C3">
        <w:t>sur des interventions où la valeur ajoutée des FESI est la plus forte, et produit le maximum de résultats concrets en faveur du développement économique (dans le cadre de la mise en place de nouveaux instruments ou de la consolidation d’instrument</w:t>
      </w:r>
      <w:r>
        <w:t xml:space="preserve"> qui ont fait la preuve de leur pertinence et efficacité) ou de la transition énergétique du territoire (dans le cadre de la mise en place de nouveaux instruments). Cela rejoint la nécessité d’atteindre une masse critique d’intervention pour assurer un niveau de rentabilité satisfaisant des investissements (diversification du portefeuille de risques) et attirer des intermédiaires financiers.</w:t>
      </w:r>
    </w:p>
    <w:p w14:paraId="3B9A432F" w14:textId="095441A7" w:rsidR="0007437F" w:rsidRDefault="0007437F" w:rsidP="00B605D2">
      <w:pPr>
        <w:pStyle w:val="Bullet1"/>
      </w:pPr>
      <w:r>
        <w:t xml:space="preserve">La Région bénéficie de la présence sur son territoire d’opérateurs volontaires et expérimentés dans la gestion de fonds FESI (ex : </w:t>
      </w:r>
      <w:r w:rsidR="00A05195">
        <w:t>Rev3 Capital, SPEE</w:t>
      </w:r>
      <w:r>
        <w:t xml:space="preserve">). La Région devrait donc </w:t>
      </w:r>
      <w:r w:rsidRPr="001F51C3">
        <w:t>logiquement pouvoir s’appuyer sur ces opérateurs, prêts à mobiliser des crédits FESI, sous réserve d’une définition claire des règles en amont et de la disponibilité au sein des services de la Région d’une assistance technique et juridique solide et fiable en matière d’ingénierie financière sur fonds FESI.</w:t>
      </w:r>
      <w:r>
        <w:t xml:space="preserve"> </w:t>
      </w:r>
    </w:p>
    <w:p w14:paraId="28102E94" w14:textId="2F84D018" w:rsidR="0007437F" w:rsidRDefault="0007437F" w:rsidP="00B605D2">
      <w:pPr>
        <w:pStyle w:val="Bullet1"/>
      </w:pPr>
      <w:r>
        <w:t xml:space="preserve">Le deuxième paramètre à prendre en compte est celui de </w:t>
      </w:r>
      <w:r>
        <w:rPr>
          <w:b/>
        </w:rPr>
        <w:t>la nécessaire conformité de l’intervention régionale à la règlementation relative aux aides d’État</w:t>
      </w:r>
      <w:r>
        <w:t xml:space="preserve"> (notamment les lignes directrices sur les investissements en faveur du financement des risques</w:t>
      </w:r>
      <w:r w:rsidR="00A50C5D">
        <w:t xml:space="preserve"> environnement</w:t>
      </w:r>
      <w:r>
        <w:t xml:space="preserve"> et le RGEC)</w:t>
      </w:r>
      <w:r w:rsidR="00CA2A89">
        <w:t xml:space="preserve"> </w:t>
      </w:r>
      <w:r w:rsidR="00CA2A89">
        <w:rPr>
          <w:b/>
          <w:bCs/>
        </w:rPr>
        <w:t xml:space="preserve">et d’aller au-delà de la mise aux normes </w:t>
      </w:r>
      <w:r w:rsidR="00CA2A89">
        <w:t>(ex. décret tertiaire)</w:t>
      </w:r>
      <w:r>
        <w:t>.</w:t>
      </w:r>
    </w:p>
    <w:p w14:paraId="0FD7A8B4" w14:textId="77777777" w:rsidR="0007437F" w:rsidRDefault="0007437F" w:rsidP="00E72DF0">
      <w:pPr>
        <w:pStyle w:val="BodyText"/>
      </w:pPr>
      <w:r>
        <w:t>Ce sont ces principes qui ont été suivis dans le cadre de nos propositions d’intervention.</w:t>
      </w:r>
    </w:p>
    <w:p w14:paraId="5F6FB910" w14:textId="77777777" w:rsidR="0007437F" w:rsidRDefault="0007437F" w:rsidP="00146C55">
      <w:pPr>
        <w:pStyle w:val="Heading2"/>
      </w:pPr>
      <w:bookmarkStart w:id="141" w:name="_Toc46322929"/>
      <w:bookmarkStart w:id="142" w:name="_Toc52499509"/>
      <w:bookmarkStart w:id="143" w:name="_Toc93390301"/>
      <w:r>
        <w:t>Les outils préconisés pour répondre aux défaillances de marché et situations de financement sous-optimales</w:t>
      </w:r>
      <w:bookmarkEnd w:id="141"/>
      <w:bookmarkEnd w:id="142"/>
      <w:bookmarkEnd w:id="143"/>
    </w:p>
    <w:p w14:paraId="5C1B7314" w14:textId="77777777" w:rsidR="0007437F" w:rsidRDefault="0007437F" w:rsidP="00E72DF0">
      <w:pPr>
        <w:pStyle w:val="BodyText"/>
      </w:pPr>
      <w:r>
        <w:t xml:space="preserve">En réponse aux défaillances de marché présentées dans le précédant chapitre, un certain nombre de pistes d’interventions régionales ont donc été identifiées et se traduisent par : </w:t>
      </w:r>
    </w:p>
    <w:p w14:paraId="241A9F0F" w14:textId="77777777" w:rsidR="0007437F" w:rsidRDefault="0007437F" w:rsidP="001F51C3">
      <w:pPr>
        <w:pStyle w:val="Bullet1"/>
      </w:pPr>
      <w:r>
        <w:t xml:space="preserve">La pérennisation d’instruments existants ; </w:t>
      </w:r>
    </w:p>
    <w:p w14:paraId="2C54BF4B" w14:textId="77777777" w:rsidR="0007437F" w:rsidRDefault="0007437F" w:rsidP="001F51C3">
      <w:pPr>
        <w:pStyle w:val="Bullet1"/>
      </w:pPr>
      <w:r>
        <w:t xml:space="preserve">L’évolution d’instruments pour couvrir les situations de financement sous-optimales ; </w:t>
      </w:r>
    </w:p>
    <w:p w14:paraId="4A3B669A" w14:textId="77777777" w:rsidR="0007437F" w:rsidRDefault="0007437F" w:rsidP="001F51C3">
      <w:pPr>
        <w:pStyle w:val="Bullet1"/>
      </w:pPr>
      <w:r>
        <w:t xml:space="preserve">La création d’outils pour couvrir les carences de marché. </w:t>
      </w:r>
    </w:p>
    <w:p w14:paraId="0152CA3A" w14:textId="1FFB1329" w:rsidR="00310A0A" w:rsidRDefault="00310A0A" w:rsidP="001F51C3">
      <w:pPr>
        <w:pStyle w:val="BodyText"/>
      </w:pPr>
      <w:r>
        <w:t xml:space="preserve">Le scénario se dégageant de ces pistes est ainsi celui d’une </w:t>
      </w:r>
      <w:r w:rsidRPr="001E1AC4">
        <w:rPr>
          <w:b/>
          <w:bCs/>
        </w:rPr>
        <w:t>utilisation accrue des instruments financiers</w:t>
      </w:r>
      <w:r w:rsidR="00E622D6">
        <w:rPr>
          <w:b/>
          <w:bCs/>
        </w:rPr>
        <w:t xml:space="preserve"> s’inscrivant dans </w:t>
      </w:r>
      <w:r w:rsidR="005D7B0E">
        <w:rPr>
          <w:b/>
          <w:bCs/>
        </w:rPr>
        <w:t>une</w:t>
      </w:r>
      <w:r w:rsidR="00E622D6">
        <w:rPr>
          <w:b/>
          <w:bCs/>
        </w:rPr>
        <w:t xml:space="preserve"> dynamique régional</w:t>
      </w:r>
      <w:r w:rsidR="005D7B0E">
        <w:rPr>
          <w:b/>
          <w:bCs/>
        </w:rPr>
        <w:t>e</w:t>
      </w:r>
      <w:r w:rsidR="00E622D6">
        <w:rPr>
          <w:b/>
          <w:bCs/>
        </w:rPr>
        <w:t xml:space="preserve"> Rev3</w:t>
      </w:r>
      <w:r w:rsidR="005D7B0E">
        <w:rPr>
          <w:b/>
          <w:bCs/>
        </w:rPr>
        <w:t xml:space="preserve"> intégrée</w:t>
      </w:r>
      <w:r>
        <w:t xml:space="preserve"> afin de :</w:t>
      </w:r>
    </w:p>
    <w:p w14:paraId="3D0B1C0C" w14:textId="7CECBCFE" w:rsidR="00226B97" w:rsidRDefault="00226B97" w:rsidP="003878A7">
      <w:pPr>
        <w:pStyle w:val="Bullet1"/>
      </w:pPr>
      <w:r>
        <w:t>soutenir le</w:t>
      </w:r>
      <w:r w:rsidR="000E236E">
        <w:t xml:space="preserve">s projets territoriaux </w:t>
      </w:r>
      <w:r w:rsidR="00C82822">
        <w:t xml:space="preserve">et la </w:t>
      </w:r>
      <w:r w:rsidR="00C82822" w:rsidRPr="00C82822">
        <w:rPr>
          <w:b/>
          <w:bCs/>
        </w:rPr>
        <w:t xml:space="preserve">structuration de filières </w:t>
      </w:r>
      <w:r w:rsidR="000E236E" w:rsidRPr="00C82822">
        <w:rPr>
          <w:b/>
          <w:bCs/>
        </w:rPr>
        <w:t>d</w:t>
      </w:r>
      <w:r w:rsidR="00C82822">
        <w:rPr>
          <w:b/>
          <w:bCs/>
        </w:rPr>
        <w:t>e production d</w:t>
      </w:r>
      <w:r w:rsidR="000E236E" w:rsidRPr="00C82822">
        <w:rPr>
          <w:b/>
          <w:bCs/>
        </w:rPr>
        <w:t>’énergies</w:t>
      </w:r>
      <w:r w:rsidR="000E236E" w:rsidRPr="009C58DA">
        <w:rPr>
          <w:b/>
          <w:bCs/>
        </w:rPr>
        <w:t xml:space="preserve"> renouvelables </w:t>
      </w:r>
      <w:r w:rsidR="009C58DA" w:rsidRPr="009C58DA">
        <w:rPr>
          <w:b/>
          <w:bCs/>
        </w:rPr>
        <w:t xml:space="preserve">et de rénovation énergétique </w:t>
      </w:r>
      <w:r w:rsidR="009C58DA">
        <w:t>par l’apport de fonds propres aux</w:t>
      </w:r>
      <w:r>
        <w:t xml:space="preserve"> entreprises et porteurs </w:t>
      </w:r>
      <w:r w:rsidR="000E236E">
        <w:t>de projets de la Transition Energétique et Ecologique</w:t>
      </w:r>
      <w:r w:rsidR="00DE298A">
        <w:t> ;</w:t>
      </w:r>
    </w:p>
    <w:p w14:paraId="141F65E2" w14:textId="733FCA55" w:rsidR="000E236E" w:rsidRDefault="009C58DA" w:rsidP="000E236E">
      <w:pPr>
        <w:pStyle w:val="Bullet2"/>
      </w:pPr>
      <w:r>
        <w:t>Abondement d’un instrument de prises de participation</w:t>
      </w:r>
      <w:r w:rsidR="00F5558D">
        <w:t xml:space="preserve">s </w:t>
      </w:r>
      <w:r w:rsidR="00DD3EE3">
        <w:t xml:space="preserve">inférieures à 2M€ </w:t>
      </w:r>
      <w:r w:rsidR="00F5558D">
        <w:t xml:space="preserve">dans des projets d’EnR </w:t>
      </w:r>
    </w:p>
    <w:p w14:paraId="065A681E" w14:textId="35D12678" w:rsidR="00F5558D" w:rsidRDefault="00F5558D" w:rsidP="000E236E">
      <w:pPr>
        <w:pStyle w:val="Bullet2"/>
      </w:pPr>
      <w:r>
        <w:t>Abondement d’un instrument de prises de participations dans des projets ambitieux</w:t>
      </w:r>
      <w:r w:rsidR="001E1AC4">
        <w:t xml:space="preserve"> s’inscrivant dans la dynamique Rev3</w:t>
      </w:r>
    </w:p>
    <w:p w14:paraId="58BA69F9" w14:textId="0F2EBDCB" w:rsidR="00E622D6" w:rsidRDefault="00424DE5" w:rsidP="00E622D6">
      <w:pPr>
        <w:pStyle w:val="Bullet1"/>
      </w:pPr>
      <w:r>
        <w:t xml:space="preserve">accompagner la massification des </w:t>
      </w:r>
      <w:r>
        <w:rPr>
          <w:b/>
          <w:bCs/>
        </w:rPr>
        <w:t>rénovations énergétiques sur le territoire</w:t>
      </w:r>
      <w:r w:rsidR="00DE298A">
        <w:t> ;</w:t>
      </w:r>
    </w:p>
    <w:p w14:paraId="2FD28C62" w14:textId="3F9DD709" w:rsidR="00DF7318" w:rsidRDefault="009F7139" w:rsidP="00DF7318">
      <w:pPr>
        <w:pStyle w:val="Bullet2"/>
      </w:pPr>
      <w:r>
        <w:t>Intervention régionale en prêt bonifié pour le financement des rénovations énergétiques du bâti privé</w:t>
      </w:r>
    </w:p>
    <w:p w14:paraId="6A25B91A" w14:textId="79D042E7" w:rsidR="009F7139" w:rsidRPr="00A63948" w:rsidRDefault="009F7139" w:rsidP="00123CD7">
      <w:pPr>
        <w:pStyle w:val="BodyText0"/>
      </w:pPr>
      <w:r>
        <w:t xml:space="preserve">Un troisième axe </w:t>
      </w:r>
      <w:r w:rsidR="00123CD7">
        <w:t>préconisé par</w:t>
      </w:r>
      <w:r>
        <w:t xml:space="preserve"> l’étude</w:t>
      </w:r>
      <w:r w:rsidR="00A63948">
        <w:t xml:space="preserve">, ne donnant pas lieu à la mobilisation de FESI </w:t>
      </w:r>
      <w:r w:rsidR="00103A34">
        <w:t xml:space="preserve">à ce stade pour manque de maturité de l’écosystème </w:t>
      </w:r>
      <w:r w:rsidR="00A63948">
        <w:t>est celui d</w:t>
      </w:r>
      <w:r w:rsidR="00123CD7">
        <w:t xml:space="preserve">’une </w:t>
      </w:r>
      <w:r w:rsidR="00A63948">
        <w:rPr>
          <w:b/>
          <w:bCs/>
        </w:rPr>
        <w:t>structuration de la réhabilitation urbaine</w:t>
      </w:r>
      <w:r w:rsidR="00A63948">
        <w:t>, afin d’accompagner</w:t>
      </w:r>
      <w:r w:rsidR="00123CD7">
        <w:t xml:space="preserve"> le recyclage foncier sur le territoire et</w:t>
      </w:r>
      <w:r w:rsidR="00A63948">
        <w:t xml:space="preserve"> les collectivités </w:t>
      </w:r>
      <w:r w:rsidR="00123CD7">
        <w:t>souhaitant rénover leur</w:t>
      </w:r>
      <w:r w:rsidR="00A63948">
        <w:t xml:space="preserve"> bâti public</w:t>
      </w:r>
      <w:r w:rsidR="00123CD7">
        <w:t>. Celle-ci pourra passer par une SPL ou une SEM de revitalisation</w:t>
      </w:r>
      <w:r w:rsidR="003F66F9">
        <w:t>, à financer sur fonds régionaux dans un premier temps.</w:t>
      </w:r>
    </w:p>
    <w:p w14:paraId="4E385A9B" w14:textId="06178D8B" w:rsidR="006E6338" w:rsidRDefault="0007437F" w:rsidP="001F51C3">
      <w:pPr>
        <w:pStyle w:val="BodyText"/>
        <w:sectPr w:rsidR="006E6338" w:rsidSect="006E6338">
          <w:pgSz w:w="11907" w:h="16839" w:code="9"/>
          <w:pgMar w:top="1701" w:right="1134" w:bottom="1701" w:left="1701" w:header="709" w:footer="851" w:gutter="0"/>
          <w:cols w:space="708"/>
          <w:docGrid w:linePitch="360"/>
        </w:sectPr>
      </w:pPr>
      <w:r>
        <w:t>Les outils sont présentés dans</w:t>
      </w:r>
      <w:r w:rsidR="009D41E0">
        <w:t xml:space="preserve"> le tableau </w:t>
      </w:r>
      <w:r w:rsidR="00390228">
        <w:t>ci-dessous</w:t>
      </w:r>
      <w:r>
        <w:t xml:space="preserve"> qui explicite les défaillances de marché couverte par ces instruments et le périmètre précis de l’intervention régionale. </w:t>
      </w:r>
      <w:r w:rsidR="00E65345">
        <w:t xml:space="preserve"> </w:t>
      </w:r>
    </w:p>
    <w:p w14:paraId="5CE54F31" w14:textId="71420C7F" w:rsidR="009D41E0" w:rsidRDefault="009D41E0" w:rsidP="009D41E0">
      <w:pPr>
        <w:pStyle w:val="Caption"/>
      </w:pPr>
      <w:bookmarkStart w:id="144" w:name="_Toc88842113"/>
      <w:r>
        <w:t xml:space="preserve">Tableau </w:t>
      </w:r>
      <w:r>
        <w:fldChar w:fldCharType="begin"/>
      </w:r>
      <w:r>
        <w:instrText xml:space="preserve"> SEQ Tableau \* ARABIC </w:instrText>
      </w:r>
      <w:r>
        <w:fldChar w:fldCharType="separate"/>
      </w:r>
      <w:r w:rsidR="009F0282">
        <w:rPr>
          <w:noProof/>
        </w:rPr>
        <w:t>25</w:t>
      </w:r>
      <w:r>
        <w:fldChar w:fldCharType="end"/>
      </w:r>
      <w:r>
        <w:t xml:space="preserve"> </w:t>
      </w:r>
      <w:r w:rsidRPr="004C243D">
        <w:t>Périmètre de l’intervention régionale via les instruments financiers avec FES</w:t>
      </w:r>
      <w:r>
        <w:t>I</w:t>
      </w:r>
      <w:bookmarkEnd w:id="144"/>
    </w:p>
    <w:tbl>
      <w:tblPr>
        <w:tblStyle w:val="TechnopolisTable"/>
        <w:tblpPr w:leftFromText="180" w:rightFromText="180" w:topFromText="60" w:horzAnchor="margin" w:tblpY="500"/>
        <w:tblW w:w="13427" w:type="dxa"/>
        <w:tblBorders>
          <w:insideH w:val="single" w:sz="4" w:space="0" w:color="A69EC1" w:themeColor="accent4"/>
          <w:insideV w:val="single" w:sz="4" w:space="0" w:color="A69EC1" w:themeColor="accent4"/>
        </w:tblBorders>
        <w:shd w:val="clear" w:color="auto" w:fill="E3EEF0" w:themeFill="accent5" w:themeFillTint="66"/>
        <w:tblLook w:val="0480" w:firstRow="0" w:lastRow="0" w:firstColumn="1" w:lastColumn="0" w:noHBand="0" w:noVBand="1"/>
      </w:tblPr>
      <w:tblGrid>
        <w:gridCol w:w="2099"/>
        <w:gridCol w:w="1833"/>
        <w:gridCol w:w="1452"/>
        <w:gridCol w:w="3354"/>
        <w:gridCol w:w="2249"/>
        <w:gridCol w:w="1090"/>
        <w:gridCol w:w="1350"/>
      </w:tblGrid>
      <w:tr w:rsidR="002E1299" w:rsidRPr="00A5472F" w14:paraId="2A3772B0" w14:textId="77777777" w:rsidTr="008811AE">
        <w:trPr>
          <w:cnfStyle w:val="000000100000" w:firstRow="0" w:lastRow="0" w:firstColumn="0" w:lastColumn="0" w:oddVBand="0" w:evenVBand="0" w:oddHBand="1" w:evenHBand="0" w:firstRowFirstColumn="0" w:firstRowLastColumn="0" w:lastRowFirstColumn="0" w:lastRowLastColumn="0"/>
          <w:trHeight w:val="373"/>
        </w:trPr>
        <w:tc>
          <w:tcPr>
            <w:tcW w:w="2099" w:type="dxa"/>
            <w:shd w:val="clear" w:color="auto" w:fill="FFFFFF" w:themeFill="background1"/>
            <w:hideMark/>
          </w:tcPr>
          <w:p w14:paraId="641BF627" w14:textId="77777777" w:rsidR="009D41E0" w:rsidRPr="00525D33" w:rsidRDefault="009D41E0" w:rsidP="00E87874">
            <w:pPr>
              <w:rPr>
                <w:b/>
                <w:color w:val="000000" w:themeColor="text1"/>
              </w:rPr>
            </w:pPr>
            <w:r w:rsidRPr="00525D33">
              <w:rPr>
                <w:b/>
                <w:color w:val="000000" w:themeColor="text1"/>
              </w:rPr>
              <w:t>Intervention régionale préconisée</w:t>
            </w:r>
          </w:p>
        </w:tc>
        <w:tc>
          <w:tcPr>
            <w:tcW w:w="1833" w:type="dxa"/>
            <w:shd w:val="clear" w:color="auto" w:fill="FFFFFF" w:themeFill="background1"/>
            <w:hideMark/>
          </w:tcPr>
          <w:p w14:paraId="1FBF230B" w14:textId="77777777" w:rsidR="009D41E0" w:rsidRPr="00525D33" w:rsidRDefault="009D41E0" w:rsidP="00E87874">
            <w:pPr>
              <w:rPr>
                <w:b/>
                <w:color w:val="000000" w:themeColor="text1"/>
              </w:rPr>
            </w:pPr>
            <w:r w:rsidRPr="00525D33">
              <w:rPr>
                <w:b/>
                <w:color w:val="000000" w:themeColor="text1"/>
              </w:rPr>
              <w:t>Option opérationnelle</w:t>
            </w:r>
          </w:p>
        </w:tc>
        <w:tc>
          <w:tcPr>
            <w:tcW w:w="1452" w:type="dxa"/>
            <w:shd w:val="clear" w:color="auto" w:fill="FFFFFF" w:themeFill="background1"/>
          </w:tcPr>
          <w:p w14:paraId="02B00D8E" w14:textId="77777777" w:rsidR="009D41E0" w:rsidRPr="00525D33" w:rsidRDefault="009D41E0" w:rsidP="00E87874">
            <w:pPr>
              <w:rPr>
                <w:b/>
                <w:color w:val="000000" w:themeColor="text1"/>
              </w:rPr>
            </w:pPr>
            <w:r w:rsidRPr="00525D33">
              <w:rPr>
                <w:b/>
                <w:color w:val="000000" w:themeColor="text1"/>
              </w:rPr>
              <w:t>Tickets</w:t>
            </w:r>
          </w:p>
          <w:p w14:paraId="3704A8AC" w14:textId="77777777" w:rsidR="009D41E0" w:rsidRPr="00525D33" w:rsidRDefault="009D41E0" w:rsidP="00E87874">
            <w:pPr>
              <w:rPr>
                <w:b/>
                <w:strike/>
                <w:color w:val="000000" w:themeColor="text1"/>
              </w:rPr>
            </w:pPr>
          </w:p>
        </w:tc>
        <w:tc>
          <w:tcPr>
            <w:tcW w:w="3354" w:type="dxa"/>
            <w:shd w:val="clear" w:color="auto" w:fill="FFFFFF" w:themeFill="background1"/>
          </w:tcPr>
          <w:p w14:paraId="48C7AF25" w14:textId="77777777" w:rsidR="009D41E0" w:rsidRPr="00525D33" w:rsidRDefault="009D41E0" w:rsidP="00E87874">
            <w:pPr>
              <w:rPr>
                <w:b/>
                <w:color w:val="000000" w:themeColor="text1"/>
              </w:rPr>
            </w:pPr>
            <w:r>
              <w:rPr>
                <w:b/>
                <w:color w:val="000000" w:themeColor="text1"/>
              </w:rPr>
              <w:t>Explications</w:t>
            </w:r>
          </w:p>
        </w:tc>
        <w:tc>
          <w:tcPr>
            <w:tcW w:w="2249" w:type="dxa"/>
            <w:shd w:val="clear" w:color="auto" w:fill="FFFFFF" w:themeFill="background1"/>
            <w:hideMark/>
          </w:tcPr>
          <w:p w14:paraId="2F96F50F" w14:textId="77777777" w:rsidR="009D41E0" w:rsidRPr="00525D33" w:rsidRDefault="009D41E0" w:rsidP="00E87874">
            <w:pPr>
              <w:rPr>
                <w:b/>
                <w:color w:val="000000" w:themeColor="text1"/>
              </w:rPr>
            </w:pPr>
            <w:r w:rsidRPr="00525D33">
              <w:rPr>
                <w:b/>
                <w:color w:val="000000" w:themeColor="text1"/>
              </w:rPr>
              <w:t>Volumétrie totale du Fonds</w:t>
            </w:r>
          </w:p>
        </w:tc>
        <w:tc>
          <w:tcPr>
            <w:tcW w:w="1090" w:type="dxa"/>
            <w:shd w:val="clear" w:color="auto" w:fill="FFFFFF" w:themeFill="background1"/>
          </w:tcPr>
          <w:p w14:paraId="4D441963" w14:textId="77777777" w:rsidR="009D41E0" w:rsidRPr="00525D33" w:rsidRDefault="009D41E0" w:rsidP="00E87874">
            <w:pPr>
              <w:rPr>
                <w:b/>
                <w:color w:val="000000" w:themeColor="text1"/>
              </w:rPr>
            </w:pPr>
            <w:r w:rsidRPr="00525D33">
              <w:rPr>
                <w:b/>
                <w:color w:val="000000" w:themeColor="text1"/>
              </w:rPr>
              <w:t>Volumétrie REACT EU</w:t>
            </w:r>
          </w:p>
          <w:p w14:paraId="488EDC1B" w14:textId="77777777" w:rsidR="009D41E0" w:rsidRPr="00525D33" w:rsidRDefault="009D41E0" w:rsidP="00E87874">
            <w:pPr>
              <w:rPr>
                <w:b/>
                <w:color w:val="000000" w:themeColor="text1"/>
              </w:rPr>
            </w:pPr>
            <w:r w:rsidRPr="00525D33">
              <w:rPr>
                <w:b/>
                <w:color w:val="000000" w:themeColor="text1"/>
              </w:rPr>
              <w:t>2014-2020</w:t>
            </w:r>
          </w:p>
        </w:tc>
        <w:tc>
          <w:tcPr>
            <w:tcW w:w="1350" w:type="dxa"/>
            <w:shd w:val="clear" w:color="auto" w:fill="FFFFFF" w:themeFill="background1"/>
            <w:hideMark/>
          </w:tcPr>
          <w:p w14:paraId="2B9EDC4A" w14:textId="3F1D86CA" w:rsidR="009D41E0" w:rsidRPr="00525D33" w:rsidRDefault="009D41E0" w:rsidP="00E87874">
            <w:pPr>
              <w:rPr>
                <w:b/>
                <w:color w:val="000000" w:themeColor="text1"/>
              </w:rPr>
            </w:pPr>
            <w:r w:rsidRPr="00525D33">
              <w:rPr>
                <w:b/>
                <w:color w:val="000000" w:themeColor="text1"/>
              </w:rPr>
              <w:t xml:space="preserve">Volumétrie </w:t>
            </w:r>
            <w:r w:rsidR="006D54F0">
              <w:rPr>
                <w:b/>
                <w:color w:val="000000" w:themeColor="text1"/>
              </w:rPr>
              <w:t>FESI</w:t>
            </w:r>
          </w:p>
          <w:p w14:paraId="0875CC9E" w14:textId="4525FF3D" w:rsidR="009D41E0" w:rsidRPr="00525D33" w:rsidRDefault="009D41E0" w:rsidP="00E87874">
            <w:pPr>
              <w:rPr>
                <w:b/>
                <w:color w:val="000000" w:themeColor="text1"/>
              </w:rPr>
            </w:pPr>
            <w:r w:rsidRPr="00525D33">
              <w:rPr>
                <w:b/>
                <w:color w:val="000000" w:themeColor="text1"/>
              </w:rPr>
              <w:t xml:space="preserve"> 2021-2027</w:t>
            </w:r>
          </w:p>
        </w:tc>
      </w:tr>
      <w:tr w:rsidR="009D41E0" w:rsidRPr="00A5472F" w14:paraId="684EB79E" w14:textId="77777777" w:rsidTr="00E87874">
        <w:trPr>
          <w:cnfStyle w:val="000000010000" w:firstRow="0" w:lastRow="0" w:firstColumn="0" w:lastColumn="0" w:oddVBand="0" w:evenVBand="0" w:oddHBand="0" w:evenHBand="1" w:firstRowFirstColumn="0" w:firstRowLastColumn="0" w:lastRowFirstColumn="0" w:lastRowLastColumn="0"/>
          <w:trHeight w:val="159"/>
        </w:trPr>
        <w:tc>
          <w:tcPr>
            <w:tcW w:w="13427" w:type="dxa"/>
            <w:gridSpan w:val="7"/>
            <w:shd w:val="clear" w:color="auto" w:fill="E3EEF0" w:themeFill="accent5" w:themeFillTint="66"/>
          </w:tcPr>
          <w:p w14:paraId="2C3780A3" w14:textId="77777777" w:rsidR="009D41E0" w:rsidRPr="00A5472F" w:rsidRDefault="009D41E0" w:rsidP="00E87874">
            <w:pPr>
              <w:jc w:val="center"/>
              <w:rPr>
                <w:bCs/>
                <w:i/>
                <w:iCs/>
                <w:color w:val="000000" w:themeColor="text1"/>
              </w:rPr>
            </w:pPr>
            <w:r>
              <w:rPr>
                <w:b/>
                <w:i/>
                <w:iCs/>
                <w:color w:val="000000" w:themeColor="text1"/>
              </w:rPr>
              <w:t xml:space="preserve">Renforcer le soutien régional aux </w:t>
            </w:r>
            <w:proofErr w:type="spellStart"/>
            <w:r>
              <w:rPr>
                <w:b/>
                <w:i/>
                <w:iCs/>
                <w:color w:val="000000" w:themeColor="text1"/>
              </w:rPr>
              <w:t>EnR</w:t>
            </w:r>
            <w:proofErr w:type="spellEnd"/>
          </w:p>
        </w:tc>
      </w:tr>
      <w:tr w:rsidR="00F630BB" w:rsidRPr="00A5472F" w14:paraId="6A450A2C" w14:textId="77777777" w:rsidTr="008811AE">
        <w:trPr>
          <w:cnfStyle w:val="000000100000" w:firstRow="0" w:lastRow="0" w:firstColumn="0" w:lastColumn="0" w:oddVBand="0" w:evenVBand="0" w:oddHBand="1" w:evenHBand="0" w:firstRowFirstColumn="0" w:firstRowLastColumn="0" w:lastRowFirstColumn="0" w:lastRowLastColumn="0"/>
          <w:trHeight w:val="945"/>
        </w:trPr>
        <w:tc>
          <w:tcPr>
            <w:tcW w:w="2099" w:type="dxa"/>
            <w:shd w:val="clear" w:color="auto" w:fill="auto"/>
          </w:tcPr>
          <w:p w14:paraId="50FA42BE" w14:textId="7D5CF349" w:rsidR="00F630BB" w:rsidRDefault="00F630BB" w:rsidP="00E87874">
            <w:pPr>
              <w:jc w:val="both"/>
              <w:rPr>
                <w:b/>
                <w:bCs/>
                <w:color w:val="000000" w:themeColor="text1"/>
              </w:rPr>
            </w:pPr>
            <w:r>
              <w:rPr>
                <w:b/>
                <w:bCs/>
                <w:color w:val="000000" w:themeColor="text1"/>
              </w:rPr>
              <w:t>Intervention en fonds propres pour le développement des énergies renouvelables</w:t>
            </w:r>
          </w:p>
        </w:tc>
        <w:tc>
          <w:tcPr>
            <w:tcW w:w="1833" w:type="dxa"/>
            <w:shd w:val="clear" w:color="auto" w:fill="auto"/>
          </w:tcPr>
          <w:p w14:paraId="2BDF6451" w14:textId="0EEE02ED" w:rsidR="00F630BB" w:rsidRDefault="00F91C0D" w:rsidP="00E87874">
            <w:pPr>
              <w:jc w:val="both"/>
              <w:rPr>
                <w:b/>
                <w:bCs/>
                <w:color w:val="000000" w:themeColor="text1"/>
              </w:rPr>
            </w:pPr>
            <w:r>
              <w:rPr>
                <w:b/>
                <w:bCs/>
                <w:color w:val="000000" w:themeColor="text1"/>
              </w:rPr>
              <w:t>Abondement d’un instrument</w:t>
            </w:r>
            <w:r w:rsidR="0058717A">
              <w:rPr>
                <w:b/>
                <w:bCs/>
                <w:color w:val="000000" w:themeColor="text1"/>
              </w:rPr>
              <w:t xml:space="preserve"> de prises de participation à destination des entreprises et sociétés de projets pour la méthanisation, la production d’hydrogène et la distribution de carburants alternatifs</w:t>
            </w:r>
          </w:p>
        </w:tc>
        <w:tc>
          <w:tcPr>
            <w:tcW w:w="1452" w:type="dxa"/>
            <w:shd w:val="clear" w:color="auto" w:fill="auto"/>
            <w:vAlign w:val="center"/>
          </w:tcPr>
          <w:p w14:paraId="3418437B" w14:textId="5A067628" w:rsidR="00F630BB" w:rsidRDefault="007C231B" w:rsidP="00E87874">
            <w:pPr>
              <w:jc w:val="both"/>
              <w:rPr>
                <w:b/>
                <w:color w:val="000000" w:themeColor="text1"/>
              </w:rPr>
            </w:pPr>
            <w:r>
              <w:rPr>
                <w:b/>
                <w:color w:val="000000" w:themeColor="text1"/>
              </w:rPr>
              <w:t>500k€-2M€</w:t>
            </w:r>
          </w:p>
        </w:tc>
        <w:tc>
          <w:tcPr>
            <w:tcW w:w="3354" w:type="dxa"/>
            <w:shd w:val="clear" w:color="auto" w:fill="auto"/>
          </w:tcPr>
          <w:p w14:paraId="1FE01128" w14:textId="37F7D710" w:rsidR="00245B2F" w:rsidRPr="00B5041D" w:rsidRDefault="007C231B" w:rsidP="00245B2F">
            <w:pPr>
              <w:jc w:val="both"/>
              <w:rPr>
                <w:color w:val="000000" w:themeColor="text1"/>
              </w:rPr>
            </w:pPr>
            <w:r>
              <w:rPr>
                <w:b/>
                <w:color w:val="000000" w:themeColor="text1"/>
              </w:rPr>
              <w:t xml:space="preserve">Raison d’être : </w:t>
            </w:r>
            <w:r w:rsidR="00245B2F">
              <w:rPr>
                <w:bCs/>
                <w:color w:val="000000" w:themeColor="text1"/>
              </w:rPr>
              <w:t xml:space="preserve"> Accompagner le financement en fonds propres des </w:t>
            </w:r>
            <w:r w:rsidR="00EA0AC6">
              <w:rPr>
                <w:bCs/>
                <w:color w:val="000000" w:themeColor="text1"/>
              </w:rPr>
              <w:t>acteurs</w:t>
            </w:r>
            <w:r w:rsidR="00245B2F">
              <w:rPr>
                <w:bCs/>
                <w:color w:val="000000" w:themeColor="text1"/>
              </w:rPr>
              <w:t xml:space="preserve"> portant la transition énergétique sur le territoire. Possibilité de réponse aux besoins notés de fonds propres pour :</w:t>
            </w:r>
          </w:p>
          <w:p w14:paraId="594E0671" w14:textId="5186C622" w:rsidR="00245B2F" w:rsidRPr="00B5041D" w:rsidRDefault="00EA0AC6" w:rsidP="00245B2F">
            <w:pPr>
              <w:pStyle w:val="Tablebullet1"/>
            </w:pPr>
            <w:r>
              <w:t>les</w:t>
            </w:r>
            <w:r w:rsidR="00245B2F" w:rsidRPr="00B5041D">
              <w:rPr>
                <w:bCs/>
                <w:color w:val="000000" w:themeColor="text1"/>
              </w:rPr>
              <w:t xml:space="preserve"> projets de méthanisation</w:t>
            </w:r>
          </w:p>
          <w:p w14:paraId="2159FDC9" w14:textId="77777777" w:rsidR="00245B2F" w:rsidRPr="00B5041D" w:rsidRDefault="00245B2F" w:rsidP="00245B2F">
            <w:pPr>
              <w:pStyle w:val="Tablebullet1"/>
            </w:pPr>
            <w:r w:rsidRPr="00B5041D">
              <w:rPr>
                <w:bCs/>
                <w:color w:val="000000" w:themeColor="text1"/>
              </w:rPr>
              <w:t>Le biogaz</w:t>
            </w:r>
          </w:p>
          <w:p w14:paraId="3A27C7D5" w14:textId="77777777" w:rsidR="00245B2F" w:rsidRPr="005A0648" w:rsidRDefault="00245B2F" w:rsidP="00245B2F">
            <w:pPr>
              <w:pStyle w:val="Tablebullet1"/>
            </w:pPr>
            <w:r w:rsidRPr="001A306E">
              <w:rPr>
                <w:bCs/>
                <w:color w:val="000000" w:themeColor="text1"/>
              </w:rPr>
              <w:t>Infrastructures</w:t>
            </w:r>
            <w:r>
              <w:rPr>
                <w:bCs/>
                <w:color w:val="000000" w:themeColor="text1"/>
              </w:rPr>
              <w:t xml:space="preserve"> et </w:t>
            </w:r>
            <w:r w:rsidRPr="001A306E">
              <w:rPr>
                <w:bCs/>
                <w:color w:val="000000" w:themeColor="text1"/>
              </w:rPr>
              <w:t>R&amp;D hydrogène</w:t>
            </w:r>
          </w:p>
          <w:p w14:paraId="7F204A2E" w14:textId="45656D08" w:rsidR="007C231B" w:rsidRPr="00EA0AC6" w:rsidRDefault="007C231B" w:rsidP="00E87874">
            <w:pPr>
              <w:jc w:val="both"/>
              <w:rPr>
                <w:bCs/>
                <w:color w:val="000000" w:themeColor="text1"/>
              </w:rPr>
            </w:pPr>
            <w:r>
              <w:rPr>
                <w:b/>
                <w:color w:val="000000" w:themeColor="text1"/>
              </w:rPr>
              <w:t xml:space="preserve">Temporalité : </w:t>
            </w:r>
            <w:r w:rsidR="00EA0AC6">
              <w:rPr>
                <w:bCs/>
                <w:color w:val="000000" w:themeColor="text1"/>
              </w:rPr>
              <w:t>Dès 2022</w:t>
            </w:r>
          </w:p>
          <w:p w14:paraId="21E1872C" w14:textId="775E2FF0" w:rsidR="007C231B" w:rsidRPr="00EA0AC6" w:rsidRDefault="007C231B" w:rsidP="00E87874">
            <w:pPr>
              <w:jc w:val="both"/>
              <w:rPr>
                <w:bCs/>
                <w:color w:val="000000" w:themeColor="text1"/>
              </w:rPr>
            </w:pPr>
            <w:r>
              <w:rPr>
                <w:b/>
                <w:color w:val="000000" w:themeColor="text1"/>
              </w:rPr>
              <w:t>Articulation avec d’</w:t>
            </w:r>
            <w:proofErr w:type="spellStart"/>
            <w:r>
              <w:rPr>
                <w:b/>
                <w:color w:val="000000" w:themeColor="text1"/>
              </w:rPr>
              <w:t>autrs</w:t>
            </w:r>
            <w:proofErr w:type="spellEnd"/>
            <w:r>
              <w:rPr>
                <w:b/>
                <w:color w:val="000000" w:themeColor="text1"/>
              </w:rPr>
              <w:t xml:space="preserve"> outils</w:t>
            </w:r>
            <w:r w:rsidR="00EA0AC6">
              <w:rPr>
                <w:b/>
                <w:color w:val="000000" w:themeColor="text1"/>
              </w:rPr>
              <w:t xml:space="preserve"> : </w:t>
            </w:r>
            <w:r w:rsidR="00EA0AC6">
              <w:rPr>
                <w:bCs/>
                <w:color w:val="000000" w:themeColor="text1"/>
              </w:rPr>
              <w:t>Articulation avec les outils nationaux (notamment ADEME) et les SEM du territoire</w:t>
            </w:r>
          </w:p>
        </w:tc>
        <w:tc>
          <w:tcPr>
            <w:tcW w:w="2249" w:type="dxa"/>
            <w:shd w:val="clear" w:color="auto" w:fill="auto"/>
            <w:vAlign w:val="center"/>
          </w:tcPr>
          <w:p w14:paraId="27368DC0" w14:textId="77777777" w:rsidR="00F630BB" w:rsidRDefault="007C231B" w:rsidP="00E87874">
            <w:pPr>
              <w:jc w:val="both"/>
              <w:rPr>
                <w:bCs/>
                <w:color w:val="000000" w:themeColor="text1"/>
              </w:rPr>
            </w:pPr>
            <w:r w:rsidRPr="007C231B">
              <w:rPr>
                <w:bCs/>
                <w:color w:val="000000" w:themeColor="text1"/>
              </w:rPr>
              <w:t xml:space="preserve">Besoin </w:t>
            </w:r>
            <w:r w:rsidR="00AD54B6">
              <w:rPr>
                <w:bCs/>
                <w:color w:val="000000" w:themeColor="text1"/>
              </w:rPr>
              <w:t>total estimé à 44,5M€ ventilés de la manière suivante :</w:t>
            </w:r>
          </w:p>
          <w:p w14:paraId="2F766DD2" w14:textId="77777777" w:rsidR="00AD54B6" w:rsidRDefault="00AD54B6" w:rsidP="00AD54B6">
            <w:pPr>
              <w:pStyle w:val="Tablebullet1"/>
            </w:pPr>
            <w:r>
              <w:t>17,5M€ de projets de méthanisation</w:t>
            </w:r>
          </w:p>
          <w:p w14:paraId="2C671172" w14:textId="77777777" w:rsidR="00AD54B6" w:rsidRDefault="00AD54B6" w:rsidP="00AD54B6">
            <w:pPr>
              <w:pStyle w:val="Tablebullet1"/>
            </w:pPr>
            <w:r>
              <w:t xml:space="preserve">9M€ de projets </w:t>
            </w:r>
            <w:proofErr w:type="spellStart"/>
            <w:r>
              <w:t>hydrog</w:t>
            </w:r>
            <w:proofErr w:type="spellEnd"/>
            <w:r>
              <w:t>-ne</w:t>
            </w:r>
          </w:p>
          <w:p w14:paraId="640B7361" w14:textId="3DC20EDC" w:rsidR="00AD54B6" w:rsidRPr="007C231B" w:rsidRDefault="00AD54B6" w:rsidP="00AD54B6">
            <w:pPr>
              <w:pStyle w:val="Tablebullet1"/>
            </w:pPr>
            <w:r>
              <w:t xml:space="preserve">18M€ </w:t>
            </w:r>
            <w:r w:rsidR="00F91C0D">
              <w:t>de besoins pour les stations multi-énergies</w:t>
            </w:r>
          </w:p>
        </w:tc>
        <w:tc>
          <w:tcPr>
            <w:tcW w:w="1090" w:type="dxa"/>
            <w:shd w:val="clear" w:color="auto" w:fill="auto"/>
          </w:tcPr>
          <w:p w14:paraId="26564C9F" w14:textId="1564ED25" w:rsidR="00F630BB" w:rsidRDefault="00F91C0D" w:rsidP="00E87874">
            <w:pPr>
              <w:jc w:val="both"/>
              <w:rPr>
                <w:iCs/>
                <w:color w:val="000000" w:themeColor="text1"/>
              </w:rPr>
            </w:pPr>
            <w:r>
              <w:rPr>
                <w:iCs/>
                <w:color w:val="000000" w:themeColor="text1"/>
              </w:rPr>
              <w:t>N/A</w:t>
            </w:r>
          </w:p>
        </w:tc>
        <w:tc>
          <w:tcPr>
            <w:tcW w:w="1350" w:type="dxa"/>
            <w:shd w:val="clear" w:color="auto" w:fill="auto"/>
          </w:tcPr>
          <w:p w14:paraId="57C63751" w14:textId="3063B0CB" w:rsidR="00F630BB" w:rsidRDefault="00F91C0D" w:rsidP="00E87874">
            <w:pPr>
              <w:jc w:val="both"/>
              <w:rPr>
                <w:iCs/>
                <w:color w:val="000000" w:themeColor="text1"/>
              </w:rPr>
            </w:pPr>
            <w:r>
              <w:rPr>
                <w:iCs/>
                <w:color w:val="000000" w:themeColor="text1"/>
              </w:rPr>
              <w:t xml:space="preserve">22,5M€ </w:t>
            </w:r>
          </w:p>
        </w:tc>
      </w:tr>
      <w:tr w:rsidR="00B47783" w:rsidRPr="00A5472F" w14:paraId="2753DC67" w14:textId="77777777" w:rsidTr="00256A6E">
        <w:trPr>
          <w:cnfStyle w:val="000000010000" w:firstRow="0" w:lastRow="0" w:firstColumn="0" w:lastColumn="0" w:oddVBand="0" w:evenVBand="0" w:oddHBand="0" w:evenHBand="1" w:firstRowFirstColumn="0" w:firstRowLastColumn="0" w:lastRowFirstColumn="0" w:lastRowLastColumn="0"/>
          <w:trHeight w:val="500"/>
        </w:trPr>
        <w:tc>
          <w:tcPr>
            <w:tcW w:w="2099" w:type="dxa"/>
            <w:shd w:val="clear" w:color="auto" w:fill="auto"/>
          </w:tcPr>
          <w:p w14:paraId="4CF0DCC9" w14:textId="2637151A" w:rsidR="00B47783" w:rsidRDefault="00B47783" w:rsidP="00B47783">
            <w:pPr>
              <w:jc w:val="both"/>
              <w:rPr>
                <w:b/>
                <w:bCs/>
                <w:color w:val="000000" w:themeColor="text1"/>
              </w:rPr>
            </w:pPr>
            <w:r>
              <w:rPr>
                <w:b/>
                <w:bCs/>
                <w:color w:val="000000" w:themeColor="text1"/>
              </w:rPr>
              <w:t>Intervention en capital pour le développement des projets liés à la transition écologique</w:t>
            </w:r>
          </w:p>
        </w:tc>
        <w:tc>
          <w:tcPr>
            <w:tcW w:w="1833" w:type="dxa"/>
            <w:shd w:val="clear" w:color="auto" w:fill="auto"/>
          </w:tcPr>
          <w:p w14:paraId="4F52E23C" w14:textId="0947B32F" w:rsidR="00B47783" w:rsidRPr="00D83DDB" w:rsidRDefault="00C13668" w:rsidP="00B47783">
            <w:pPr>
              <w:jc w:val="both"/>
              <w:rPr>
                <w:b/>
                <w:bCs/>
                <w:color w:val="000000" w:themeColor="text1"/>
              </w:rPr>
            </w:pPr>
            <w:r w:rsidRPr="00D83DDB">
              <w:rPr>
                <w:b/>
                <w:bCs/>
                <w:color w:val="000000" w:themeColor="text1"/>
              </w:rPr>
              <w:t>Ré</w:t>
            </w:r>
            <w:r w:rsidR="00EC016F" w:rsidRPr="00D83DDB">
              <w:rPr>
                <w:b/>
                <w:bCs/>
                <w:color w:val="000000" w:themeColor="text1"/>
              </w:rPr>
              <w:t>-a</w:t>
            </w:r>
            <w:r w:rsidR="00CD0909" w:rsidRPr="00D83DDB">
              <w:rPr>
                <w:b/>
                <w:bCs/>
                <w:color w:val="000000" w:themeColor="text1"/>
              </w:rPr>
              <w:t>b</w:t>
            </w:r>
            <w:r w:rsidR="00B47783" w:rsidRPr="00D83DDB">
              <w:rPr>
                <w:b/>
                <w:bCs/>
                <w:color w:val="000000" w:themeColor="text1"/>
              </w:rPr>
              <w:t xml:space="preserve">ondement d’un instrument </w:t>
            </w:r>
            <w:r w:rsidR="00722950" w:rsidRPr="00D83DDB">
              <w:rPr>
                <w:b/>
                <w:bCs/>
                <w:color w:val="000000" w:themeColor="text1"/>
              </w:rPr>
              <w:t xml:space="preserve">existant </w:t>
            </w:r>
            <w:r w:rsidR="00B47783" w:rsidRPr="00D83DDB">
              <w:rPr>
                <w:b/>
                <w:bCs/>
                <w:color w:val="000000" w:themeColor="text1"/>
              </w:rPr>
              <w:t>de prises de participation à destination des entreprises et sociétés de projets portant les projets stratégiques de Transition Energétique et Ecologique sur le territoire</w:t>
            </w:r>
            <w:r w:rsidR="00641A76">
              <w:rPr>
                <w:b/>
                <w:bCs/>
                <w:color w:val="000000" w:themeColor="text1"/>
              </w:rPr>
              <w:t xml:space="preserve"> (Rev3 Capital)</w:t>
            </w:r>
          </w:p>
        </w:tc>
        <w:tc>
          <w:tcPr>
            <w:tcW w:w="1452" w:type="dxa"/>
            <w:shd w:val="clear" w:color="auto" w:fill="auto"/>
            <w:vAlign w:val="center"/>
          </w:tcPr>
          <w:p w14:paraId="39BE021F" w14:textId="5D8EFFEF" w:rsidR="00B47783" w:rsidRDefault="00EA650F" w:rsidP="00B47783">
            <w:pPr>
              <w:jc w:val="both"/>
              <w:rPr>
                <w:b/>
                <w:color w:val="000000" w:themeColor="text1"/>
              </w:rPr>
            </w:pPr>
            <w:r>
              <w:rPr>
                <w:b/>
                <w:color w:val="000000" w:themeColor="text1"/>
              </w:rPr>
              <w:t>500k€-4M€</w:t>
            </w:r>
          </w:p>
        </w:tc>
        <w:tc>
          <w:tcPr>
            <w:tcW w:w="3354" w:type="dxa"/>
            <w:shd w:val="clear" w:color="auto" w:fill="auto"/>
          </w:tcPr>
          <w:p w14:paraId="55D82405" w14:textId="376FE949" w:rsidR="00B47783" w:rsidRPr="00D83DDB" w:rsidRDefault="00B47783" w:rsidP="00B47783">
            <w:pPr>
              <w:jc w:val="both"/>
              <w:rPr>
                <w:color w:val="000000" w:themeColor="text1"/>
              </w:rPr>
            </w:pPr>
            <w:r>
              <w:rPr>
                <w:b/>
                <w:color w:val="000000" w:themeColor="text1"/>
              </w:rPr>
              <w:t xml:space="preserve">Raison d’être : </w:t>
            </w:r>
            <w:r w:rsidR="003406EC" w:rsidRPr="00D83DDB">
              <w:rPr>
                <w:bCs/>
                <w:color w:val="000000" w:themeColor="text1"/>
              </w:rPr>
              <w:t xml:space="preserve">Poursuivre l’accompagnement du </w:t>
            </w:r>
            <w:r w:rsidRPr="00D83DDB">
              <w:rPr>
                <w:bCs/>
                <w:color w:val="000000" w:themeColor="text1"/>
              </w:rPr>
              <w:t>financement en fonds propres des entreprises portant la transition énergétique sur le territoire. Possibilité de réponse aux besoins notés de fonds propres pour :</w:t>
            </w:r>
          </w:p>
          <w:p w14:paraId="5FEAC807" w14:textId="7CF03EEF" w:rsidR="00B47783" w:rsidRPr="00D83DDB" w:rsidRDefault="00B47783" w:rsidP="00B47783">
            <w:pPr>
              <w:pStyle w:val="Tablebullet1"/>
            </w:pPr>
            <w:r w:rsidRPr="00D83DDB">
              <w:t>Les projets de développement d’éolien offshore</w:t>
            </w:r>
          </w:p>
          <w:p w14:paraId="17D42742" w14:textId="77777777" w:rsidR="00B47783" w:rsidRPr="00D83DDB" w:rsidRDefault="00B47783" w:rsidP="00B47783">
            <w:pPr>
              <w:pStyle w:val="Tablebullet1"/>
            </w:pPr>
            <w:r w:rsidRPr="00D83DDB">
              <w:rPr>
                <w:bCs/>
                <w:color w:val="000000" w:themeColor="text1"/>
              </w:rPr>
              <w:t>Projets de démonstration EmR</w:t>
            </w:r>
          </w:p>
          <w:p w14:paraId="40F2CEBE" w14:textId="77777777" w:rsidR="00B47783" w:rsidRPr="005A0648" w:rsidRDefault="00B47783" w:rsidP="00B47783">
            <w:pPr>
              <w:pStyle w:val="Tablebullet1"/>
            </w:pPr>
            <w:r w:rsidRPr="001A306E">
              <w:rPr>
                <w:bCs/>
                <w:color w:val="000000" w:themeColor="text1"/>
              </w:rPr>
              <w:t>Infrastructures</w:t>
            </w:r>
            <w:r>
              <w:rPr>
                <w:bCs/>
                <w:color w:val="000000" w:themeColor="text1"/>
              </w:rPr>
              <w:t xml:space="preserve"> et </w:t>
            </w:r>
            <w:r w:rsidRPr="001A306E">
              <w:rPr>
                <w:bCs/>
                <w:color w:val="000000" w:themeColor="text1"/>
              </w:rPr>
              <w:t>R&amp;D hydrogène</w:t>
            </w:r>
          </w:p>
          <w:p w14:paraId="3DF2189A" w14:textId="77777777" w:rsidR="00B47783" w:rsidRPr="005A0648" w:rsidRDefault="00B47783" w:rsidP="00B47783">
            <w:pPr>
              <w:pStyle w:val="Tablebullet1"/>
            </w:pPr>
            <w:r w:rsidRPr="005A0648">
              <w:rPr>
                <w:bCs/>
                <w:color w:val="000000" w:themeColor="text1"/>
              </w:rPr>
              <w:t>Possibilité de développement d’une nouvelle poche afin de soutenir les PME industrialisant la réhabilitation énergétique (Energi</w:t>
            </w:r>
            <w:r>
              <w:rPr>
                <w:bCs/>
                <w:color w:val="000000" w:themeColor="text1"/>
              </w:rPr>
              <w:t>e</w:t>
            </w:r>
            <w:r w:rsidRPr="005A0648">
              <w:rPr>
                <w:bCs/>
                <w:color w:val="000000" w:themeColor="text1"/>
              </w:rPr>
              <w:t>Sprong)</w:t>
            </w:r>
          </w:p>
          <w:p w14:paraId="0BA6B406" w14:textId="34D18EB8" w:rsidR="00B47783" w:rsidRPr="00B5041D" w:rsidRDefault="00B47783" w:rsidP="00B47783">
            <w:pPr>
              <w:jc w:val="both"/>
              <w:rPr>
                <w:color w:val="000000" w:themeColor="text1"/>
              </w:rPr>
            </w:pPr>
            <w:r>
              <w:rPr>
                <w:b/>
                <w:color w:val="000000" w:themeColor="text1"/>
              </w:rPr>
              <w:t xml:space="preserve">Temporalité : </w:t>
            </w:r>
            <w:r>
              <w:rPr>
                <w:bCs/>
                <w:color w:val="000000" w:themeColor="text1"/>
              </w:rPr>
              <w:t>A partir de 2023</w:t>
            </w:r>
            <w:r w:rsidR="008249F7">
              <w:rPr>
                <w:bCs/>
                <w:color w:val="000000" w:themeColor="text1"/>
              </w:rPr>
              <w:t xml:space="preserve"> (fin de consommation de l’enveloppe existante)</w:t>
            </w:r>
          </w:p>
          <w:p w14:paraId="49642F6F" w14:textId="1555091F" w:rsidR="00B47783" w:rsidRDefault="00B47783" w:rsidP="00B47783">
            <w:pPr>
              <w:jc w:val="both"/>
              <w:rPr>
                <w:b/>
                <w:color w:val="000000" w:themeColor="text1"/>
              </w:rPr>
            </w:pPr>
            <w:r>
              <w:rPr>
                <w:b/>
                <w:color w:val="000000" w:themeColor="text1"/>
              </w:rPr>
              <w:t xml:space="preserve">Articulation avec d’autres outils : </w:t>
            </w:r>
            <w:r>
              <w:rPr>
                <w:bCs/>
                <w:color w:val="000000" w:themeColor="text1"/>
              </w:rPr>
              <w:t>Autres fonds régionaux, notamment de soutien à l’innovation (NFA, FINOVAM) ainsi qu’outils nationaux (ADEME, Bpifrance…)</w:t>
            </w:r>
          </w:p>
        </w:tc>
        <w:tc>
          <w:tcPr>
            <w:tcW w:w="2249" w:type="dxa"/>
            <w:shd w:val="clear" w:color="auto" w:fill="auto"/>
            <w:vAlign w:val="center"/>
          </w:tcPr>
          <w:p w14:paraId="237C9CCD" w14:textId="085D6771" w:rsidR="00B47783" w:rsidRPr="00E5480F" w:rsidRDefault="00E5480F" w:rsidP="00B47783">
            <w:pPr>
              <w:jc w:val="both"/>
              <w:rPr>
                <w:bCs/>
                <w:color w:val="000000" w:themeColor="text1"/>
              </w:rPr>
            </w:pPr>
            <w:r>
              <w:rPr>
                <w:bCs/>
                <w:color w:val="000000" w:themeColor="text1"/>
              </w:rPr>
              <w:t xml:space="preserve">Besoin </w:t>
            </w:r>
            <w:r w:rsidR="00472235">
              <w:rPr>
                <w:bCs/>
                <w:color w:val="000000" w:themeColor="text1"/>
              </w:rPr>
              <w:t>constaté à hauteurs de 35M€ sur la période sur le segment actuellement couvert par Rev3 Capital</w:t>
            </w:r>
            <w:r w:rsidR="004F61FF">
              <w:rPr>
                <w:bCs/>
                <w:color w:val="000000" w:themeColor="text1"/>
              </w:rPr>
              <w:t>, a</w:t>
            </w:r>
            <w:r w:rsidR="00FB417F">
              <w:rPr>
                <w:bCs/>
                <w:color w:val="000000" w:themeColor="text1"/>
              </w:rPr>
              <w:t xml:space="preserve">insi qu’un besoin </w:t>
            </w:r>
            <w:r w:rsidR="00CB0080">
              <w:rPr>
                <w:bCs/>
                <w:color w:val="000000" w:themeColor="text1"/>
              </w:rPr>
              <w:t>encore à quantifier de projets innovants de démonstrateurs EmR et hydrogène</w:t>
            </w:r>
            <w:r w:rsidR="00FB417F">
              <w:rPr>
                <w:bCs/>
                <w:color w:val="000000" w:themeColor="text1"/>
              </w:rPr>
              <w:t xml:space="preserve"> d’environ </w:t>
            </w:r>
            <w:r w:rsidR="00CB0080">
              <w:rPr>
                <w:bCs/>
                <w:color w:val="000000" w:themeColor="text1"/>
              </w:rPr>
              <w:t>500k€ par projet. On peut</w:t>
            </w:r>
            <w:r w:rsidR="00F0419B">
              <w:rPr>
                <w:bCs/>
                <w:color w:val="000000" w:themeColor="text1"/>
              </w:rPr>
              <w:t xml:space="preserve"> raisonnablement anticiper un besoin de 3,5M€ sur la période (1 projet à financer par an).</w:t>
            </w:r>
            <w:r w:rsidR="00CB0080">
              <w:rPr>
                <w:bCs/>
                <w:color w:val="000000" w:themeColor="text1"/>
              </w:rPr>
              <w:t xml:space="preserve"> </w:t>
            </w:r>
          </w:p>
        </w:tc>
        <w:tc>
          <w:tcPr>
            <w:tcW w:w="1090" w:type="dxa"/>
            <w:shd w:val="clear" w:color="auto" w:fill="auto"/>
          </w:tcPr>
          <w:p w14:paraId="7E983864" w14:textId="5B50CE7D" w:rsidR="00B47783" w:rsidRDefault="005D3AFE" w:rsidP="00B47783">
            <w:pPr>
              <w:jc w:val="both"/>
              <w:rPr>
                <w:iCs/>
                <w:color w:val="000000" w:themeColor="text1"/>
              </w:rPr>
            </w:pPr>
            <w:r>
              <w:rPr>
                <w:iCs/>
                <w:color w:val="000000" w:themeColor="text1"/>
              </w:rPr>
              <w:t>4M€</w:t>
            </w:r>
          </w:p>
        </w:tc>
        <w:tc>
          <w:tcPr>
            <w:tcW w:w="1350" w:type="dxa"/>
            <w:shd w:val="clear" w:color="auto" w:fill="auto"/>
          </w:tcPr>
          <w:p w14:paraId="30B83EF4" w14:textId="3DAF9BB6" w:rsidR="00B47783" w:rsidRDefault="005D3AFE" w:rsidP="00B47783">
            <w:pPr>
              <w:jc w:val="both"/>
              <w:rPr>
                <w:iCs/>
                <w:color w:val="000000" w:themeColor="text1"/>
              </w:rPr>
            </w:pPr>
            <w:r>
              <w:rPr>
                <w:iCs/>
                <w:color w:val="000000" w:themeColor="text1"/>
              </w:rPr>
              <w:t>Jusqu’à 14,5M€ (en fonction de la décision de recyclage des fonds régionaux dans le fonds Rev3 capital)</w:t>
            </w:r>
          </w:p>
        </w:tc>
      </w:tr>
      <w:tr w:rsidR="00B47783" w:rsidRPr="00A5472F" w14:paraId="127AC561" w14:textId="77777777" w:rsidTr="00E87874">
        <w:trPr>
          <w:cnfStyle w:val="000000100000" w:firstRow="0" w:lastRow="0" w:firstColumn="0" w:lastColumn="0" w:oddVBand="0" w:evenVBand="0" w:oddHBand="1" w:evenHBand="0" w:firstRowFirstColumn="0" w:firstRowLastColumn="0" w:lastRowFirstColumn="0" w:lastRowLastColumn="0"/>
          <w:trHeight w:val="91"/>
        </w:trPr>
        <w:tc>
          <w:tcPr>
            <w:tcW w:w="13427" w:type="dxa"/>
            <w:gridSpan w:val="7"/>
            <w:shd w:val="clear" w:color="auto" w:fill="E3EEF0" w:themeFill="accent5" w:themeFillTint="66"/>
          </w:tcPr>
          <w:p w14:paraId="16714542" w14:textId="6E58B71D" w:rsidR="00B47783" w:rsidRPr="00A5472F" w:rsidRDefault="00B47783" w:rsidP="00B47783">
            <w:pPr>
              <w:jc w:val="center"/>
              <w:rPr>
                <w:i/>
                <w:iCs/>
                <w:color w:val="000000" w:themeColor="text1"/>
              </w:rPr>
            </w:pPr>
            <w:r w:rsidRPr="008B71BD">
              <w:rPr>
                <w:b/>
                <w:bCs/>
                <w:i/>
                <w:iCs/>
                <w:color w:val="000000" w:themeColor="text1"/>
              </w:rPr>
              <w:t>Accompagner les démarches de rénovation énergétique</w:t>
            </w:r>
            <w:r>
              <w:rPr>
                <w:b/>
                <w:bCs/>
                <w:i/>
                <w:iCs/>
                <w:color w:val="000000" w:themeColor="text1"/>
              </w:rPr>
              <w:t xml:space="preserve"> du logement</w:t>
            </w:r>
            <w:r w:rsidRPr="008B71BD">
              <w:rPr>
                <w:b/>
                <w:bCs/>
                <w:i/>
                <w:iCs/>
                <w:color w:val="000000" w:themeColor="text1"/>
              </w:rPr>
              <w:t xml:space="preserve"> en Hauts-de-France</w:t>
            </w:r>
          </w:p>
        </w:tc>
      </w:tr>
      <w:tr w:rsidR="00B47783" w:rsidRPr="00A5472F" w14:paraId="79191420" w14:textId="77777777" w:rsidTr="008811AE">
        <w:trPr>
          <w:cnfStyle w:val="000000010000" w:firstRow="0" w:lastRow="0" w:firstColumn="0" w:lastColumn="0" w:oddVBand="0" w:evenVBand="0" w:oddHBand="0" w:evenHBand="1" w:firstRowFirstColumn="0" w:firstRowLastColumn="0" w:lastRowFirstColumn="0" w:lastRowLastColumn="0"/>
          <w:trHeight w:val="91"/>
        </w:trPr>
        <w:tc>
          <w:tcPr>
            <w:tcW w:w="2099" w:type="dxa"/>
            <w:shd w:val="clear" w:color="auto" w:fill="auto"/>
          </w:tcPr>
          <w:p w14:paraId="6A2C2C85" w14:textId="77777777" w:rsidR="00B47783" w:rsidRDefault="00B47783" w:rsidP="00B47783">
            <w:pPr>
              <w:jc w:val="both"/>
              <w:rPr>
                <w:b/>
                <w:color w:val="000000" w:themeColor="text1"/>
              </w:rPr>
            </w:pPr>
            <w:r>
              <w:rPr>
                <w:b/>
                <w:color w:val="000000" w:themeColor="text1"/>
              </w:rPr>
              <w:t xml:space="preserve">Intervention régionale en </w:t>
            </w:r>
            <w:r w:rsidR="002F752C">
              <w:rPr>
                <w:b/>
                <w:color w:val="000000" w:themeColor="text1"/>
              </w:rPr>
              <w:t>prêt bonifié</w:t>
            </w:r>
            <w:r>
              <w:rPr>
                <w:b/>
                <w:color w:val="000000" w:themeColor="text1"/>
              </w:rPr>
              <w:t xml:space="preserve"> pour le financement des rénovations énergétiques du bâti privé</w:t>
            </w:r>
          </w:p>
          <w:p w14:paraId="6015CC28" w14:textId="2DB839AB" w:rsidR="006418AC" w:rsidRPr="004C07E9" w:rsidRDefault="006418AC" w:rsidP="00B47783">
            <w:pPr>
              <w:jc w:val="both"/>
              <w:rPr>
                <w:b/>
                <w:color w:val="000000" w:themeColor="text1"/>
              </w:rPr>
            </w:pPr>
          </w:p>
        </w:tc>
        <w:tc>
          <w:tcPr>
            <w:tcW w:w="1833" w:type="dxa"/>
            <w:shd w:val="clear" w:color="auto" w:fill="auto"/>
          </w:tcPr>
          <w:p w14:paraId="3F460741" w14:textId="03A02675" w:rsidR="00B47783" w:rsidRPr="00D83DDB" w:rsidRDefault="008C3C07" w:rsidP="00B47783">
            <w:pPr>
              <w:jc w:val="both"/>
              <w:rPr>
                <w:b/>
                <w:color w:val="000000" w:themeColor="text1"/>
              </w:rPr>
            </w:pPr>
            <w:r w:rsidRPr="00D83DDB">
              <w:rPr>
                <w:b/>
                <w:color w:val="000000" w:themeColor="text1"/>
              </w:rPr>
              <w:t xml:space="preserve">Abonder un fonds </w:t>
            </w:r>
            <w:r w:rsidR="006418AC" w:rsidRPr="00D83DDB">
              <w:rPr>
                <w:b/>
                <w:color w:val="000000" w:themeColor="text1"/>
              </w:rPr>
              <w:t xml:space="preserve"> de prêts à bas taux (de type ECO PTZ) </w:t>
            </w:r>
            <w:r w:rsidRPr="00D83DDB">
              <w:rPr>
                <w:b/>
                <w:color w:val="000000" w:themeColor="text1"/>
              </w:rPr>
              <w:t>pour la rénovation énergétique du b</w:t>
            </w:r>
            <w:r w:rsidR="00047E35" w:rsidRPr="00D83DDB">
              <w:rPr>
                <w:b/>
                <w:color w:val="000000" w:themeColor="text1"/>
              </w:rPr>
              <w:t>â</w:t>
            </w:r>
            <w:r w:rsidRPr="00D83DDB">
              <w:rPr>
                <w:b/>
                <w:color w:val="000000" w:themeColor="text1"/>
              </w:rPr>
              <w:t>ti privé</w:t>
            </w:r>
          </w:p>
        </w:tc>
        <w:tc>
          <w:tcPr>
            <w:tcW w:w="1452" w:type="dxa"/>
            <w:shd w:val="clear" w:color="auto" w:fill="auto"/>
          </w:tcPr>
          <w:p w14:paraId="7C911197" w14:textId="7E6093FA" w:rsidR="00B47783" w:rsidRPr="000D3801" w:rsidRDefault="00B47783" w:rsidP="00B47783">
            <w:pPr>
              <w:jc w:val="both"/>
              <w:rPr>
                <w:b/>
                <w:bCs/>
                <w:color w:val="000000" w:themeColor="text1"/>
                <w:highlight w:val="yellow"/>
              </w:rPr>
            </w:pPr>
            <w:r w:rsidRPr="008B71BD">
              <w:rPr>
                <w:b/>
                <w:bCs/>
                <w:color w:val="000000" w:themeColor="text1"/>
              </w:rPr>
              <w:t>0-</w:t>
            </w:r>
            <w:r w:rsidR="008C0C5B">
              <w:rPr>
                <w:b/>
                <w:bCs/>
                <w:color w:val="000000" w:themeColor="text1"/>
              </w:rPr>
              <w:t>5</w:t>
            </w:r>
            <w:r w:rsidRPr="008B71BD">
              <w:rPr>
                <w:b/>
                <w:bCs/>
                <w:color w:val="000000" w:themeColor="text1"/>
              </w:rPr>
              <w:t>0K€</w:t>
            </w:r>
          </w:p>
        </w:tc>
        <w:tc>
          <w:tcPr>
            <w:tcW w:w="3354" w:type="dxa"/>
            <w:shd w:val="clear" w:color="auto" w:fill="auto"/>
          </w:tcPr>
          <w:p w14:paraId="645CCAE9" w14:textId="470CEE30" w:rsidR="00B47783" w:rsidRPr="00420CE3" w:rsidRDefault="00B47783" w:rsidP="00B47783">
            <w:pPr>
              <w:pStyle w:val="Tabletext"/>
              <w:jc w:val="both"/>
              <w:rPr>
                <w:b/>
              </w:rPr>
            </w:pPr>
            <w:r w:rsidRPr="00420CE3">
              <w:rPr>
                <w:b/>
                <w:bCs/>
              </w:rPr>
              <w:t>Raison d’être</w:t>
            </w:r>
            <w:r w:rsidRPr="008B71BD">
              <w:t> :</w:t>
            </w:r>
            <w:r>
              <w:t xml:space="preserve"> Renforcer les solutions régionales de financement des travaux de rénovation énergétique </w:t>
            </w:r>
            <w:r w:rsidR="003E00AC">
              <w:t xml:space="preserve">du logement </w:t>
            </w:r>
            <w:r>
              <w:t>privé</w:t>
            </w:r>
            <w:r w:rsidR="00BE78C8">
              <w:t xml:space="preserve"> des ménages </w:t>
            </w:r>
            <w:r w:rsidR="00C47D27">
              <w:t>les plus modestes</w:t>
            </w:r>
            <w:r>
              <w:t>. Accompagner une démarche importante de communication et de réponse aux freins non financiers limitant la massification de l’utilisation de l’outil</w:t>
            </w:r>
          </w:p>
          <w:p w14:paraId="56E12CA0" w14:textId="77777777" w:rsidR="00B47783" w:rsidRPr="008B71BD" w:rsidRDefault="00B47783" w:rsidP="00B47783">
            <w:pPr>
              <w:pStyle w:val="Tabletext"/>
              <w:jc w:val="both"/>
            </w:pPr>
            <w:r w:rsidRPr="00420CE3">
              <w:rPr>
                <w:b/>
              </w:rPr>
              <w:t>Temporalité</w:t>
            </w:r>
            <w:r w:rsidRPr="008B71BD">
              <w:t> : 2022-2023</w:t>
            </w:r>
          </w:p>
          <w:p w14:paraId="1779EA1E" w14:textId="22164912" w:rsidR="00B47783" w:rsidRPr="00670B06" w:rsidRDefault="00B47783" w:rsidP="00B47783">
            <w:pPr>
              <w:pStyle w:val="Tabletext"/>
              <w:jc w:val="both"/>
              <w:rPr>
                <w:highlight w:val="yellow"/>
              </w:rPr>
            </w:pPr>
            <w:r w:rsidRPr="00420CE3">
              <w:rPr>
                <w:b/>
              </w:rPr>
              <w:t>Articulation avec d’autres outils</w:t>
            </w:r>
            <w:r w:rsidRPr="008B71BD">
              <w:t> : CEE, prêts bancaires classiques</w:t>
            </w:r>
            <w:r w:rsidR="000C080B">
              <w:t xml:space="preserve"> et éco-PTZ bancaires</w:t>
            </w:r>
            <w:r w:rsidRPr="008B71BD">
              <w:t>, subventions</w:t>
            </w:r>
            <w:r w:rsidR="00BE78C8">
              <w:t>, ANAH</w:t>
            </w:r>
          </w:p>
        </w:tc>
        <w:tc>
          <w:tcPr>
            <w:tcW w:w="2249" w:type="dxa"/>
            <w:shd w:val="clear" w:color="auto" w:fill="auto"/>
          </w:tcPr>
          <w:p w14:paraId="7260BBB1" w14:textId="4C23207C" w:rsidR="00B47783" w:rsidRDefault="00316244" w:rsidP="000806CD">
            <w:pPr>
              <w:jc w:val="both"/>
              <w:rPr>
                <w:color w:val="000000" w:themeColor="text1"/>
              </w:rPr>
            </w:pPr>
            <w:r>
              <w:rPr>
                <w:color w:val="000000" w:themeColor="text1"/>
              </w:rPr>
              <w:t>Besoin de rénovation de 63k logement</w:t>
            </w:r>
            <w:r w:rsidR="00276C5C">
              <w:rPr>
                <w:color w:val="000000" w:themeColor="text1"/>
              </w:rPr>
              <w:t>s</w:t>
            </w:r>
            <w:r>
              <w:rPr>
                <w:color w:val="000000" w:themeColor="text1"/>
              </w:rPr>
              <w:t xml:space="preserve"> par an en Hauts-de-France dont 65-70% sont éligibles à l’ANAH soit 3</w:t>
            </w:r>
            <w:r w:rsidR="00A76216">
              <w:rPr>
                <w:color w:val="000000" w:themeColor="text1"/>
              </w:rPr>
              <w:t>8k logement</w:t>
            </w:r>
            <w:r w:rsidR="00D60755">
              <w:rPr>
                <w:color w:val="000000" w:themeColor="text1"/>
              </w:rPr>
              <w:t>s</w:t>
            </w:r>
            <w:r w:rsidR="00A76216">
              <w:rPr>
                <w:color w:val="000000" w:themeColor="text1"/>
              </w:rPr>
              <w:t xml:space="preserve"> par an environ. </w:t>
            </w:r>
          </w:p>
          <w:p w14:paraId="3B173B45" w14:textId="5EE241EB" w:rsidR="00A76216" w:rsidRPr="008B3DAA" w:rsidRDefault="00A76216" w:rsidP="000806CD">
            <w:pPr>
              <w:jc w:val="both"/>
              <w:rPr>
                <w:bCs/>
                <w:color w:val="000000" w:themeColor="text1"/>
              </w:rPr>
            </w:pPr>
            <w:r>
              <w:rPr>
                <w:bCs/>
                <w:color w:val="000000" w:themeColor="text1"/>
              </w:rPr>
              <w:t xml:space="preserve">Une hypothèse raisonnable de dimensionnement de l’instrument régional peut être une cible de </w:t>
            </w:r>
            <w:r w:rsidR="00D133CA">
              <w:rPr>
                <w:bCs/>
                <w:color w:val="000000" w:themeColor="text1"/>
              </w:rPr>
              <w:t>1000</w:t>
            </w:r>
            <w:r w:rsidR="006A47FD">
              <w:rPr>
                <w:bCs/>
                <w:color w:val="000000" w:themeColor="text1"/>
              </w:rPr>
              <w:t xml:space="preserve"> </w:t>
            </w:r>
            <w:r>
              <w:rPr>
                <w:bCs/>
                <w:color w:val="000000" w:themeColor="text1"/>
              </w:rPr>
              <w:t>logements par an</w:t>
            </w:r>
            <w:r w:rsidR="00E3689A">
              <w:rPr>
                <w:bCs/>
                <w:color w:val="000000" w:themeColor="text1"/>
              </w:rPr>
              <w:t xml:space="preserve">, le reste devant être financé par des banques commerciales. Cela représente 46,6M€ de financement pour 2022-2024 dont 20 à 25M€ pour les ménages </w:t>
            </w:r>
            <w:r w:rsidR="00FC0116">
              <w:rPr>
                <w:bCs/>
                <w:color w:val="000000" w:themeColor="text1"/>
              </w:rPr>
              <w:t xml:space="preserve">les plus modestes </w:t>
            </w:r>
            <w:r w:rsidR="00E3689A">
              <w:rPr>
                <w:bCs/>
                <w:color w:val="000000" w:themeColor="text1"/>
              </w:rPr>
              <w:t>. Sur 2021-2027 cela représenterait dont 60 à 75M€ de besoins de financement, dont 36 à 45M€ de FEDER et 24 à 30M€ de contreparties</w:t>
            </w:r>
          </w:p>
        </w:tc>
        <w:tc>
          <w:tcPr>
            <w:tcW w:w="1090" w:type="dxa"/>
            <w:shd w:val="clear" w:color="auto" w:fill="auto"/>
          </w:tcPr>
          <w:p w14:paraId="05498CA7" w14:textId="2390F338" w:rsidR="00B47783" w:rsidRPr="007D09C2" w:rsidRDefault="00B47783" w:rsidP="00B47783">
            <w:pPr>
              <w:jc w:val="both"/>
              <w:rPr>
                <w:color w:val="000000" w:themeColor="text1"/>
              </w:rPr>
            </w:pPr>
            <w:r>
              <w:rPr>
                <w:color w:val="000000" w:themeColor="text1"/>
              </w:rPr>
              <w:t>N/A</w:t>
            </w:r>
          </w:p>
        </w:tc>
        <w:tc>
          <w:tcPr>
            <w:tcW w:w="1350" w:type="dxa"/>
            <w:shd w:val="clear" w:color="auto" w:fill="auto"/>
          </w:tcPr>
          <w:p w14:paraId="71A59A30" w14:textId="3D61938E" w:rsidR="00B47783" w:rsidRPr="007D09C2" w:rsidRDefault="00E3689A" w:rsidP="00B47783">
            <w:pPr>
              <w:jc w:val="both"/>
              <w:rPr>
                <w:iCs/>
                <w:color w:val="000000" w:themeColor="text1"/>
              </w:rPr>
            </w:pPr>
            <w:r>
              <w:rPr>
                <w:iCs/>
                <w:color w:val="000000" w:themeColor="text1"/>
              </w:rPr>
              <w:t>36-45M€</w:t>
            </w:r>
          </w:p>
        </w:tc>
      </w:tr>
    </w:tbl>
    <w:p w14:paraId="4352B953" w14:textId="77777777" w:rsidR="00546713" w:rsidRDefault="00546713"/>
    <w:p w14:paraId="2D3B526F" w14:textId="39A94E52" w:rsidR="00BE0776" w:rsidRDefault="00E17FE5" w:rsidP="002526BD">
      <w:pPr>
        <w:pStyle w:val="BodyText0"/>
      </w:pPr>
      <w:r>
        <w:t xml:space="preserve">Dans l’optique de soutenir le développement territorial de projets de réhabilitation urbaine (rénovation énergétique du bâti et recyclage du foncier), une étude </w:t>
      </w:r>
      <w:r w:rsidR="005417B6">
        <w:t xml:space="preserve">a préconisé </w:t>
      </w:r>
      <w:r w:rsidR="00FB56EB">
        <w:t xml:space="preserve">en mars 2021 </w:t>
      </w:r>
      <w:r w:rsidR="005417B6">
        <w:t>la mise en place d’une</w:t>
      </w:r>
      <w:r w:rsidR="006815DD">
        <w:t xml:space="preserve"> SPL et d’une</w:t>
      </w:r>
      <w:r w:rsidR="005417B6">
        <w:t xml:space="preserve"> SEM de </w:t>
      </w:r>
      <w:r w:rsidR="00B04FC9">
        <w:t>portage immobilier/de revitalisation</w:t>
      </w:r>
      <w:r w:rsidR="00FB56EB">
        <w:t>. Nous considérons que cette piste permettrait de répondre aux enjeux constatés dans le cadre de l’évaluation ex-ante</w:t>
      </w:r>
      <w:r w:rsidR="0073504F">
        <w:t> ;</w:t>
      </w:r>
      <w:r w:rsidR="006815DD">
        <w:t xml:space="preserve"> en particulier </w:t>
      </w:r>
      <w:r w:rsidR="0073504F">
        <w:t>au</w:t>
      </w:r>
      <w:r w:rsidR="006815DD">
        <w:t xml:space="preserve"> déficit d’ingénierie de projet des collectivités souhaitant </w:t>
      </w:r>
      <w:r w:rsidR="0073504F">
        <w:t>rénover leur parc immobilier et à la faible appétence du secteur privé au développement de réhabilitations de friches en zones détendues</w:t>
      </w:r>
      <w:r w:rsidR="00FB56EB" w:rsidRPr="007E0AE3">
        <w:t xml:space="preserve">. </w:t>
      </w:r>
      <w:r w:rsidR="00D732C7" w:rsidRPr="007E0AE3">
        <w:t xml:space="preserve">L’intervention du FEDER </w:t>
      </w:r>
      <w:r w:rsidR="00746FFF" w:rsidRPr="007E0AE3">
        <w:t xml:space="preserve">dans le cadre </w:t>
      </w:r>
      <w:r w:rsidR="00D732C7" w:rsidRPr="007E0AE3">
        <w:t>d’</w:t>
      </w:r>
      <w:r w:rsidR="00F16F90" w:rsidRPr="007E0AE3">
        <w:t xml:space="preserve">un </w:t>
      </w:r>
      <w:r w:rsidR="00D732C7" w:rsidRPr="007E0AE3">
        <w:t>instrument financier pourrait être envisagé</w:t>
      </w:r>
      <w:r w:rsidR="0016278F" w:rsidRPr="007E0AE3">
        <w:t xml:space="preserve">e via </w:t>
      </w:r>
      <w:r w:rsidR="00FC3B51" w:rsidRPr="007E0AE3">
        <w:t>ces SPL et/ou SEM</w:t>
      </w:r>
      <w:r w:rsidR="00746FFF" w:rsidRPr="007E0AE3">
        <w:t>,</w:t>
      </w:r>
      <w:r w:rsidR="00D732C7" w:rsidRPr="007E0AE3">
        <w:t xml:space="preserve"> </w:t>
      </w:r>
      <w:r w:rsidR="00EF18A3" w:rsidRPr="007E0AE3">
        <w:t xml:space="preserve">sous </w:t>
      </w:r>
      <w:r w:rsidR="00746FFF" w:rsidRPr="007E0AE3">
        <w:t xml:space="preserve">la </w:t>
      </w:r>
      <w:r w:rsidR="00EF18A3" w:rsidRPr="007E0AE3">
        <w:t>forme de prise</w:t>
      </w:r>
      <w:r w:rsidR="005C2F98" w:rsidRPr="007E0AE3">
        <w:t>s</w:t>
      </w:r>
      <w:r w:rsidR="00EF18A3" w:rsidRPr="007E0AE3">
        <w:t xml:space="preserve"> de participation dans le capital de foncières régionales </w:t>
      </w:r>
      <w:r w:rsidR="00A26236" w:rsidRPr="007E0AE3">
        <w:t>et/ou de prêts à ces foncières</w:t>
      </w:r>
      <w:r w:rsidR="00494D33" w:rsidRPr="007E0AE3">
        <w:rPr>
          <w:rStyle w:val="FootnoteReference"/>
        </w:rPr>
        <w:footnoteReference w:id="122"/>
      </w:r>
      <w:r w:rsidR="00A26236" w:rsidRPr="007E0AE3">
        <w:t xml:space="preserve">. </w:t>
      </w:r>
      <w:r w:rsidR="00FB56EB" w:rsidRPr="007E0AE3">
        <w:t>Toutefois</w:t>
      </w:r>
      <w:r w:rsidR="002526BD" w:rsidRPr="007E0AE3">
        <w:t>,</w:t>
      </w:r>
      <w:r w:rsidR="009A1A5E" w:rsidRPr="007E0AE3">
        <w:t xml:space="preserve"> </w:t>
      </w:r>
      <w:r w:rsidR="00D33DB2" w:rsidRPr="007E0AE3">
        <w:t>les foncières n’étant pas encore mises en place dans la région,</w:t>
      </w:r>
      <w:r w:rsidR="002526BD" w:rsidRPr="007E0AE3">
        <w:t xml:space="preserve"> il ne nous apparaît </w:t>
      </w:r>
      <w:r w:rsidR="0073504F" w:rsidRPr="007E0AE3">
        <w:t xml:space="preserve">pas </w:t>
      </w:r>
      <w:r w:rsidR="002526BD" w:rsidRPr="007E0AE3">
        <w:t xml:space="preserve">pertinent de préconiser un abondement en fonds FEDER </w:t>
      </w:r>
      <w:r w:rsidR="0073504F" w:rsidRPr="007E0AE3">
        <w:t xml:space="preserve">au sein </w:t>
      </w:r>
      <w:r w:rsidR="00D430C3" w:rsidRPr="007E0AE3">
        <w:t xml:space="preserve">de </w:t>
      </w:r>
      <w:r w:rsidR="002526BD" w:rsidRPr="007E0AE3">
        <w:t>tel</w:t>
      </w:r>
      <w:r w:rsidR="00D430C3" w:rsidRPr="007E0AE3">
        <w:t>s</w:t>
      </w:r>
      <w:r w:rsidR="002526BD" w:rsidRPr="007E0AE3">
        <w:t xml:space="preserve"> outil</w:t>
      </w:r>
      <w:r w:rsidR="00D430C3" w:rsidRPr="007E0AE3">
        <w:t>s</w:t>
      </w:r>
      <w:r w:rsidR="002526BD" w:rsidRPr="007E0AE3">
        <w:t xml:space="preserve"> à ce stade</w:t>
      </w:r>
      <w:r w:rsidR="0073504F" w:rsidRPr="007E0AE3">
        <w:t xml:space="preserve">. En effet, </w:t>
      </w:r>
      <w:r w:rsidR="002526BD" w:rsidRPr="007E0AE3">
        <w:t xml:space="preserve">le montage serait complexe </w:t>
      </w:r>
      <w:r w:rsidR="00A117E9" w:rsidRPr="007E0AE3">
        <w:t xml:space="preserve">et nécessiterait une charge d’ingénierie disproportionnée </w:t>
      </w:r>
      <w:r w:rsidR="003229B5" w:rsidRPr="007E0AE3">
        <w:t xml:space="preserve">alors que </w:t>
      </w:r>
      <w:r w:rsidR="004340D9" w:rsidRPr="007E0AE3">
        <w:t>les outils opérationnels</w:t>
      </w:r>
      <w:r w:rsidR="003229B5" w:rsidRPr="007E0AE3">
        <w:t xml:space="preserve"> n’existe</w:t>
      </w:r>
      <w:r w:rsidR="004340D9" w:rsidRPr="007E0AE3">
        <w:t>nt</w:t>
      </w:r>
      <w:r w:rsidR="003229B5" w:rsidRPr="007E0AE3">
        <w:t xml:space="preserve"> actuellement pas sur le territoire. Ainsi, nous préconisons d</w:t>
      </w:r>
      <w:r w:rsidR="0073504F" w:rsidRPr="007E0AE3">
        <w:t>e ré-</w:t>
      </w:r>
      <w:r w:rsidR="003229B5" w:rsidRPr="007E0AE3">
        <w:t xml:space="preserve">évaluer les possibilités de financement de la SEM de revitalisation </w:t>
      </w:r>
      <w:r w:rsidR="003E3269" w:rsidRPr="007E0AE3">
        <w:t>via fonds FEDER après une phase de mise en place sur fonds régiona</w:t>
      </w:r>
      <w:r w:rsidR="0073504F" w:rsidRPr="007E0AE3">
        <w:t>ux</w:t>
      </w:r>
      <w:r w:rsidR="003E3269" w:rsidRPr="007E0AE3">
        <w:t xml:space="preserve"> d’ici 2025.</w:t>
      </w:r>
      <w:r w:rsidR="00A117E9">
        <w:t xml:space="preserve"> </w:t>
      </w:r>
    </w:p>
    <w:tbl>
      <w:tblPr>
        <w:tblStyle w:val="TechnopolisTable"/>
        <w:tblpPr w:leftFromText="180" w:rightFromText="180" w:topFromText="60" w:vertAnchor="page" w:horzAnchor="margin" w:tblpY="3506"/>
        <w:tblW w:w="13427" w:type="dxa"/>
        <w:tblBorders>
          <w:insideH w:val="single" w:sz="4" w:space="0" w:color="A69EC1" w:themeColor="accent4"/>
          <w:insideV w:val="single" w:sz="4" w:space="0" w:color="A69EC1" w:themeColor="accent4"/>
        </w:tblBorders>
        <w:shd w:val="clear" w:color="auto" w:fill="E3EEF0" w:themeFill="accent5" w:themeFillTint="66"/>
        <w:tblLook w:val="0480" w:firstRow="0" w:lastRow="0" w:firstColumn="1" w:lastColumn="0" w:noHBand="0" w:noVBand="1"/>
      </w:tblPr>
      <w:tblGrid>
        <w:gridCol w:w="2099"/>
        <w:gridCol w:w="1833"/>
        <w:gridCol w:w="1452"/>
        <w:gridCol w:w="3354"/>
        <w:gridCol w:w="2249"/>
        <w:gridCol w:w="1090"/>
        <w:gridCol w:w="1350"/>
      </w:tblGrid>
      <w:tr w:rsidR="007E0AE3" w:rsidRPr="00A5472F" w14:paraId="421796B9" w14:textId="77777777" w:rsidTr="007E0AE3">
        <w:trPr>
          <w:cnfStyle w:val="000000100000" w:firstRow="0" w:lastRow="0" w:firstColumn="0" w:lastColumn="0" w:oddVBand="0" w:evenVBand="0" w:oddHBand="1" w:evenHBand="0" w:firstRowFirstColumn="0" w:firstRowLastColumn="0" w:lastRowFirstColumn="0" w:lastRowLastColumn="0"/>
          <w:trHeight w:val="373"/>
        </w:trPr>
        <w:tc>
          <w:tcPr>
            <w:tcW w:w="2099" w:type="dxa"/>
            <w:shd w:val="clear" w:color="auto" w:fill="FFFFFF" w:themeFill="background1"/>
            <w:hideMark/>
          </w:tcPr>
          <w:p w14:paraId="705D4F85" w14:textId="77777777" w:rsidR="007E0AE3" w:rsidRPr="00525D33" w:rsidRDefault="007E0AE3" w:rsidP="007E0AE3">
            <w:pPr>
              <w:rPr>
                <w:b/>
                <w:color w:val="000000" w:themeColor="text1"/>
              </w:rPr>
            </w:pPr>
            <w:r w:rsidRPr="00525D33">
              <w:rPr>
                <w:b/>
                <w:color w:val="000000" w:themeColor="text1"/>
              </w:rPr>
              <w:t>Intervention régionale préconisée</w:t>
            </w:r>
          </w:p>
        </w:tc>
        <w:tc>
          <w:tcPr>
            <w:tcW w:w="1833" w:type="dxa"/>
            <w:shd w:val="clear" w:color="auto" w:fill="FFFFFF" w:themeFill="background1"/>
            <w:hideMark/>
          </w:tcPr>
          <w:p w14:paraId="46C084BF" w14:textId="77777777" w:rsidR="007E0AE3" w:rsidRPr="00525D33" w:rsidRDefault="007E0AE3" w:rsidP="007E0AE3">
            <w:pPr>
              <w:rPr>
                <w:b/>
                <w:color w:val="000000" w:themeColor="text1"/>
              </w:rPr>
            </w:pPr>
            <w:r w:rsidRPr="00525D33">
              <w:rPr>
                <w:b/>
                <w:color w:val="000000" w:themeColor="text1"/>
              </w:rPr>
              <w:t>Option opérationnelle</w:t>
            </w:r>
          </w:p>
        </w:tc>
        <w:tc>
          <w:tcPr>
            <w:tcW w:w="1452" w:type="dxa"/>
            <w:shd w:val="clear" w:color="auto" w:fill="FFFFFF" w:themeFill="background1"/>
          </w:tcPr>
          <w:p w14:paraId="62B17A43" w14:textId="77777777" w:rsidR="007E0AE3" w:rsidRPr="00525D33" w:rsidRDefault="007E0AE3" w:rsidP="007E0AE3">
            <w:pPr>
              <w:rPr>
                <w:b/>
                <w:color w:val="000000" w:themeColor="text1"/>
              </w:rPr>
            </w:pPr>
            <w:r w:rsidRPr="00525D33">
              <w:rPr>
                <w:b/>
                <w:color w:val="000000" w:themeColor="text1"/>
              </w:rPr>
              <w:t>Tickets</w:t>
            </w:r>
          </w:p>
          <w:p w14:paraId="4DAC453D" w14:textId="77777777" w:rsidR="007E0AE3" w:rsidRPr="00525D33" w:rsidRDefault="007E0AE3" w:rsidP="007E0AE3">
            <w:pPr>
              <w:rPr>
                <w:b/>
                <w:strike/>
                <w:color w:val="000000" w:themeColor="text1"/>
              </w:rPr>
            </w:pPr>
          </w:p>
        </w:tc>
        <w:tc>
          <w:tcPr>
            <w:tcW w:w="3354" w:type="dxa"/>
            <w:shd w:val="clear" w:color="auto" w:fill="FFFFFF" w:themeFill="background1"/>
          </w:tcPr>
          <w:p w14:paraId="64E91A63" w14:textId="77777777" w:rsidR="007E0AE3" w:rsidRPr="00525D33" w:rsidRDefault="007E0AE3" w:rsidP="007E0AE3">
            <w:pPr>
              <w:rPr>
                <w:b/>
                <w:color w:val="000000" w:themeColor="text1"/>
              </w:rPr>
            </w:pPr>
            <w:r>
              <w:rPr>
                <w:b/>
                <w:color w:val="000000" w:themeColor="text1"/>
              </w:rPr>
              <w:t>Explications</w:t>
            </w:r>
          </w:p>
        </w:tc>
        <w:tc>
          <w:tcPr>
            <w:tcW w:w="2249" w:type="dxa"/>
            <w:shd w:val="clear" w:color="auto" w:fill="FFFFFF" w:themeFill="background1"/>
            <w:hideMark/>
          </w:tcPr>
          <w:p w14:paraId="5DA63103" w14:textId="77777777" w:rsidR="007E0AE3" w:rsidRPr="00525D33" w:rsidRDefault="007E0AE3" w:rsidP="007E0AE3">
            <w:pPr>
              <w:rPr>
                <w:b/>
                <w:color w:val="000000" w:themeColor="text1"/>
              </w:rPr>
            </w:pPr>
            <w:r w:rsidRPr="00525D33">
              <w:rPr>
                <w:b/>
                <w:color w:val="000000" w:themeColor="text1"/>
              </w:rPr>
              <w:t>Volumétrie totale du Fonds</w:t>
            </w:r>
          </w:p>
        </w:tc>
        <w:tc>
          <w:tcPr>
            <w:tcW w:w="1090" w:type="dxa"/>
            <w:shd w:val="clear" w:color="auto" w:fill="FFFFFF" w:themeFill="background1"/>
          </w:tcPr>
          <w:p w14:paraId="4BB33341" w14:textId="77777777" w:rsidR="007E0AE3" w:rsidRPr="00525D33" w:rsidRDefault="007E0AE3" w:rsidP="007E0AE3">
            <w:pPr>
              <w:rPr>
                <w:b/>
                <w:color w:val="000000" w:themeColor="text1"/>
              </w:rPr>
            </w:pPr>
            <w:r w:rsidRPr="00525D33">
              <w:rPr>
                <w:b/>
                <w:color w:val="000000" w:themeColor="text1"/>
              </w:rPr>
              <w:t>Volumétrie REACT EU</w:t>
            </w:r>
          </w:p>
          <w:p w14:paraId="34C2256C" w14:textId="77777777" w:rsidR="007E0AE3" w:rsidRPr="00525D33" w:rsidRDefault="007E0AE3" w:rsidP="007E0AE3">
            <w:pPr>
              <w:rPr>
                <w:b/>
                <w:color w:val="000000" w:themeColor="text1"/>
              </w:rPr>
            </w:pPr>
            <w:r w:rsidRPr="00525D33">
              <w:rPr>
                <w:b/>
                <w:color w:val="000000" w:themeColor="text1"/>
              </w:rPr>
              <w:t>2014-2020</w:t>
            </w:r>
          </w:p>
        </w:tc>
        <w:tc>
          <w:tcPr>
            <w:tcW w:w="1350" w:type="dxa"/>
            <w:shd w:val="clear" w:color="auto" w:fill="FFFFFF" w:themeFill="background1"/>
            <w:hideMark/>
          </w:tcPr>
          <w:p w14:paraId="17226DCA" w14:textId="77777777" w:rsidR="007E0AE3" w:rsidRPr="00525D33" w:rsidRDefault="007E0AE3" w:rsidP="007E0AE3">
            <w:pPr>
              <w:rPr>
                <w:b/>
                <w:color w:val="000000" w:themeColor="text1"/>
              </w:rPr>
            </w:pPr>
            <w:r w:rsidRPr="00525D33">
              <w:rPr>
                <w:b/>
                <w:color w:val="000000" w:themeColor="text1"/>
              </w:rPr>
              <w:t xml:space="preserve">Volumétrie </w:t>
            </w:r>
            <w:r>
              <w:rPr>
                <w:b/>
                <w:color w:val="000000" w:themeColor="text1"/>
              </w:rPr>
              <w:t>FESI</w:t>
            </w:r>
          </w:p>
          <w:p w14:paraId="1EDA91C9" w14:textId="77777777" w:rsidR="007E0AE3" w:rsidRPr="00525D33" w:rsidRDefault="007E0AE3" w:rsidP="007E0AE3">
            <w:pPr>
              <w:rPr>
                <w:b/>
                <w:color w:val="000000" w:themeColor="text1"/>
              </w:rPr>
            </w:pPr>
            <w:r w:rsidRPr="00525D33">
              <w:rPr>
                <w:b/>
                <w:color w:val="000000" w:themeColor="text1"/>
              </w:rPr>
              <w:t xml:space="preserve"> 2021-2027</w:t>
            </w:r>
          </w:p>
        </w:tc>
      </w:tr>
      <w:tr w:rsidR="007E0AE3" w:rsidRPr="00A5472F" w14:paraId="376DA4B2" w14:textId="77777777" w:rsidTr="007E0AE3">
        <w:trPr>
          <w:cnfStyle w:val="000000010000" w:firstRow="0" w:lastRow="0" w:firstColumn="0" w:lastColumn="0" w:oddVBand="0" w:evenVBand="0" w:oddHBand="0" w:evenHBand="1" w:firstRowFirstColumn="0" w:firstRowLastColumn="0" w:lastRowFirstColumn="0" w:lastRowLastColumn="0"/>
          <w:trHeight w:val="159"/>
        </w:trPr>
        <w:tc>
          <w:tcPr>
            <w:tcW w:w="13427" w:type="dxa"/>
            <w:gridSpan w:val="7"/>
            <w:shd w:val="clear" w:color="auto" w:fill="E3EEF0" w:themeFill="accent5" w:themeFillTint="66"/>
          </w:tcPr>
          <w:p w14:paraId="1DFE14B8" w14:textId="77777777" w:rsidR="007E0AE3" w:rsidRPr="00A5472F" w:rsidRDefault="007E0AE3" w:rsidP="007E0AE3">
            <w:pPr>
              <w:jc w:val="center"/>
              <w:rPr>
                <w:bCs/>
                <w:i/>
                <w:iCs/>
                <w:color w:val="000000" w:themeColor="text1"/>
              </w:rPr>
            </w:pPr>
            <w:r>
              <w:rPr>
                <w:b/>
                <w:bCs/>
                <w:i/>
                <w:iCs/>
                <w:color w:val="000000" w:themeColor="text1"/>
              </w:rPr>
              <w:t>Soutenir le portage de projets de réhabilitation urbaine (rénovation énergétique et friches)</w:t>
            </w:r>
          </w:p>
        </w:tc>
      </w:tr>
      <w:tr w:rsidR="007E0AE3" w:rsidRPr="00A5472F" w14:paraId="37A5DE6D" w14:textId="77777777" w:rsidTr="007E0AE3">
        <w:trPr>
          <w:cnfStyle w:val="000000100000" w:firstRow="0" w:lastRow="0" w:firstColumn="0" w:lastColumn="0" w:oddVBand="0" w:evenVBand="0" w:oddHBand="1" w:evenHBand="0" w:firstRowFirstColumn="0" w:firstRowLastColumn="0" w:lastRowFirstColumn="0" w:lastRowLastColumn="0"/>
          <w:trHeight w:val="945"/>
        </w:trPr>
        <w:tc>
          <w:tcPr>
            <w:tcW w:w="2099" w:type="dxa"/>
            <w:shd w:val="clear" w:color="auto" w:fill="auto"/>
          </w:tcPr>
          <w:p w14:paraId="04540FF1" w14:textId="77777777" w:rsidR="007E0AE3" w:rsidRPr="00F04D4E" w:rsidRDefault="007E0AE3" w:rsidP="007E0AE3">
            <w:pPr>
              <w:jc w:val="both"/>
              <w:rPr>
                <w:b/>
                <w:bCs/>
                <w:color w:val="000000" w:themeColor="text1"/>
              </w:rPr>
            </w:pPr>
            <w:r w:rsidRPr="00F04D4E">
              <w:rPr>
                <w:b/>
                <w:bCs/>
                <w:color w:val="000000" w:themeColor="text1"/>
              </w:rPr>
              <w:t>Développer le portage des opérations de réhabilitation urbaine via une intervention auprès des foncières régionales</w:t>
            </w:r>
          </w:p>
        </w:tc>
        <w:tc>
          <w:tcPr>
            <w:tcW w:w="1833" w:type="dxa"/>
            <w:shd w:val="clear" w:color="auto" w:fill="auto"/>
          </w:tcPr>
          <w:p w14:paraId="33D15B88" w14:textId="77777777" w:rsidR="007E0AE3" w:rsidRPr="00F04D4E" w:rsidRDefault="007E0AE3" w:rsidP="007E0AE3">
            <w:pPr>
              <w:jc w:val="both"/>
              <w:rPr>
                <w:b/>
                <w:bCs/>
                <w:color w:val="000000" w:themeColor="text1"/>
              </w:rPr>
            </w:pPr>
            <w:r w:rsidRPr="00F04D4E">
              <w:rPr>
                <w:b/>
                <w:bCs/>
                <w:color w:val="000000" w:themeColor="text1"/>
              </w:rPr>
              <w:t>Abondement d’un instrument de prises de participation et/ou de prêts à destination des foncières régionales pour la rénovation énergétique et la réhabilitation de friches</w:t>
            </w:r>
          </w:p>
        </w:tc>
        <w:tc>
          <w:tcPr>
            <w:tcW w:w="1452" w:type="dxa"/>
            <w:shd w:val="clear" w:color="auto" w:fill="auto"/>
          </w:tcPr>
          <w:p w14:paraId="01B139FD" w14:textId="77777777" w:rsidR="007E0AE3" w:rsidRPr="00F04D4E" w:rsidRDefault="007E0AE3" w:rsidP="007E0AE3">
            <w:pPr>
              <w:jc w:val="both"/>
              <w:rPr>
                <w:b/>
                <w:color w:val="000000" w:themeColor="text1"/>
              </w:rPr>
            </w:pPr>
            <w:r w:rsidRPr="00F04D4E">
              <w:rPr>
                <w:b/>
                <w:bCs/>
                <w:color w:val="000000" w:themeColor="text1"/>
              </w:rPr>
              <w:t>500K-2M€</w:t>
            </w:r>
          </w:p>
        </w:tc>
        <w:tc>
          <w:tcPr>
            <w:tcW w:w="3354" w:type="dxa"/>
            <w:shd w:val="clear" w:color="auto" w:fill="auto"/>
          </w:tcPr>
          <w:p w14:paraId="070A60A0" w14:textId="77777777" w:rsidR="007E0AE3" w:rsidRPr="00F04D4E" w:rsidRDefault="007E0AE3" w:rsidP="007E0AE3">
            <w:pPr>
              <w:pStyle w:val="Tabletext"/>
              <w:jc w:val="both"/>
            </w:pPr>
            <w:r w:rsidRPr="00F04D4E">
              <w:rPr>
                <w:b/>
                <w:bCs/>
              </w:rPr>
              <w:t xml:space="preserve">Raison d’être : </w:t>
            </w:r>
            <w:r w:rsidRPr="00F04D4E">
              <w:t xml:space="preserve">Offrir une solution de portage aux propriétaires ne parvenant pas à réhabiliter leurs friches et mobiliser le capital privé dans une solution de tiers-financement. Développer une expertise et un effet de masse permettant d’atteindre une rentabilité à long-terme et un capital patient (exemple d’outil similaire pour la réhabilitation du tertiaire privé : Breizh </w:t>
            </w:r>
            <w:proofErr w:type="spellStart"/>
            <w:r w:rsidRPr="00F04D4E">
              <w:t>Immo</w:t>
            </w:r>
            <w:proofErr w:type="spellEnd"/>
            <w:r w:rsidRPr="00F04D4E">
              <w:t>)</w:t>
            </w:r>
          </w:p>
          <w:p w14:paraId="34299911" w14:textId="77777777" w:rsidR="007E0AE3" w:rsidRPr="00F04D4E" w:rsidRDefault="007E0AE3" w:rsidP="007E0AE3">
            <w:pPr>
              <w:pStyle w:val="Tabletext"/>
              <w:jc w:val="both"/>
            </w:pPr>
            <w:r w:rsidRPr="00F04D4E">
              <w:rPr>
                <w:b/>
                <w:bCs/>
              </w:rPr>
              <w:t>Temporalité</w:t>
            </w:r>
            <w:r w:rsidRPr="00F04D4E">
              <w:t> : Après cartographie et maturation de l’écosystème, à partir de 2025</w:t>
            </w:r>
          </w:p>
          <w:p w14:paraId="3AE201D3" w14:textId="77777777" w:rsidR="007E0AE3" w:rsidRPr="00F04D4E" w:rsidRDefault="007E0AE3" w:rsidP="007E0AE3">
            <w:pPr>
              <w:jc w:val="both"/>
              <w:rPr>
                <w:bCs/>
                <w:color w:val="000000" w:themeColor="text1"/>
              </w:rPr>
            </w:pPr>
            <w:r w:rsidRPr="00F04D4E">
              <w:rPr>
                <w:b/>
                <w:bCs/>
              </w:rPr>
              <w:t>Articulation avec d’autres outils</w:t>
            </w:r>
            <w:r w:rsidRPr="00F04D4E">
              <w:t> : EPF, SEM Ville Renouvelée, besoin de cartographie précise du territoire (</w:t>
            </w:r>
            <w:proofErr w:type="spellStart"/>
            <w:r w:rsidRPr="00F04D4E">
              <w:t>Cartofriche</w:t>
            </w:r>
            <w:proofErr w:type="spellEnd"/>
            <w:r w:rsidRPr="00F04D4E">
              <w:t xml:space="preserve">), </w:t>
            </w:r>
          </w:p>
        </w:tc>
        <w:tc>
          <w:tcPr>
            <w:tcW w:w="2249" w:type="dxa"/>
            <w:shd w:val="clear" w:color="auto" w:fill="auto"/>
          </w:tcPr>
          <w:p w14:paraId="0B6CD263" w14:textId="77777777" w:rsidR="007E0AE3" w:rsidRPr="00F04D4E" w:rsidRDefault="007E0AE3" w:rsidP="007E0AE3">
            <w:pPr>
              <w:jc w:val="both"/>
              <w:rPr>
                <w:color w:val="000000" w:themeColor="text1"/>
              </w:rPr>
            </w:pPr>
            <w:r w:rsidRPr="00F04D4E">
              <w:t xml:space="preserve">Besoin anticipé de 1M€ par hectare de friche à réhabiliter, à affiner </w:t>
            </w:r>
            <w:r w:rsidRPr="00F04D4E">
              <w:rPr>
                <w:color w:val="000000" w:themeColor="text1"/>
              </w:rPr>
              <w:t>après cartographie des friches régionales et mobilisation du principe de pollueur-payeur</w:t>
            </w:r>
          </w:p>
          <w:p w14:paraId="68CFC9C6" w14:textId="2DA4DFCD" w:rsidR="007E0AE3" w:rsidRPr="00F04D4E" w:rsidRDefault="007E0AE3" w:rsidP="007E0AE3">
            <w:pPr>
              <w:jc w:val="both"/>
              <w:rPr>
                <w:color w:val="000000" w:themeColor="text1"/>
              </w:rPr>
            </w:pPr>
            <w:r w:rsidRPr="00F04D4E">
              <w:rPr>
                <w:color w:val="000000" w:themeColor="text1"/>
              </w:rPr>
              <w:t>Si l’on considère que l’engagement de l’instrument est à hauteur de ce million par hectare réhabilité</w:t>
            </w:r>
            <w:r w:rsidRPr="00F04D4E">
              <w:rPr>
                <w:rStyle w:val="FootnoteReference"/>
                <w:color w:val="000000" w:themeColor="text1"/>
              </w:rPr>
              <w:footnoteReference w:id="123"/>
            </w:r>
            <w:r w:rsidRPr="00F04D4E">
              <w:rPr>
                <w:color w:val="000000" w:themeColor="text1"/>
              </w:rPr>
              <w:t>, et que la taille moyenne d’une friche est de 5 ha</w:t>
            </w:r>
            <w:r w:rsidRPr="00F04D4E">
              <w:rPr>
                <w:rStyle w:val="FootnoteReference"/>
                <w:color w:val="000000" w:themeColor="text1"/>
              </w:rPr>
              <w:footnoteReference w:id="124"/>
            </w:r>
            <w:r w:rsidRPr="00F04D4E">
              <w:rPr>
                <w:color w:val="000000" w:themeColor="text1"/>
              </w:rPr>
              <w:t>, une capitalisation à hauteur de 20M€ devrait permettre de réaliser environ 4 projets de manière expérimentale.</w:t>
            </w:r>
          </w:p>
          <w:p w14:paraId="067C9869" w14:textId="77777777" w:rsidR="007E0AE3" w:rsidRPr="00F04D4E" w:rsidRDefault="007E0AE3" w:rsidP="00F04D4E">
            <w:pPr>
              <w:pStyle w:val="Tablebullet1"/>
              <w:numPr>
                <w:ilvl w:val="0"/>
                <w:numId w:val="0"/>
              </w:numPr>
              <w:ind w:left="227"/>
            </w:pPr>
          </w:p>
        </w:tc>
        <w:tc>
          <w:tcPr>
            <w:tcW w:w="1090" w:type="dxa"/>
            <w:shd w:val="clear" w:color="auto" w:fill="auto"/>
          </w:tcPr>
          <w:p w14:paraId="74EFA1B3" w14:textId="77777777" w:rsidR="007E0AE3" w:rsidRDefault="007E0AE3" w:rsidP="007E0AE3">
            <w:pPr>
              <w:jc w:val="both"/>
              <w:rPr>
                <w:iCs/>
                <w:color w:val="000000" w:themeColor="text1"/>
              </w:rPr>
            </w:pPr>
            <w:r>
              <w:rPr>
                <w:iCs/>
                <w:color w:val="000000" w:themeColor="text1"/>
              </w:rPr>
              <w:t>N/A</w:t>
            </w:r>
          </w:p>
        </w:tc>
        <w:tc>
          <w:tcPr>
            <w:tcW w:w="1350" w:type="dxa"/>
            <w:shd w:val="clear" w:color="auto" w:fill="auto"/>
          </w:tcPr>
          <w:p w14:paraId="281B3AA7" w14:textId="77777777" w:rsidR="007E0AE3" w:rsidRDefault="007E0AE3" w:rsidP="007E0AE3">
            <w:pPr>
              <w:jc w:val="both"/>
              <w:rPr>
                <w:iCs/>
                <w:color w:val="000000" w:themeColor="text1"/>
              </w:rPr>
            </w:pPr>
            <w:r>
              <w:rPr>
                <w:iCs/>
                <w:color w:val="000000" w:themeColor="text1"/>
              </w:rPr>
              <w:t>A réévaluer en 2025 après phase de test de l’outil sur fonds régionaux</w:t>
            </w:r>
          </w:p>
        </w:tc>
      </w:tr>
    </w:tbl>
    <w:p w14:paraId="12F92388" w14:textId="77777777" w:rsidR="009D41E0" w:rsidRDefault="009D41E0" w:rsidP="009D41E0">
      <w:pPr>
        <w:pStyle w:val="BodyText"/>
      </w:pPr>
    </w:p>
    <w:p w14:paraId="57D30082" w14:textId="65F8C061" w:rsidR="0073504F" w:rsidRDefault="0073504F" w:rsidP="009D41E0">
      <w:pPr>
        <w:pStyle w:val="BodyText"/>
        <w:sectPr w:rsidR="0073504F" w:rsidSect="003C13D2">
          <w:pgSz w:w="16839" w:h="11907" w:orient="landscape" w:code="9"/>
          <w:pgMar w:top="1701" w:right="1701" w:bottom="1134" w:left="1701" w:header="709" w:footer="851" w:gutter="0"/>
          <w:cols w:space="708"/>
          <w:docGrid w:linePitch="360"/>
        </w:sectPr>
      </w:pPr>
    </w:p>
    <w:p w14:paraId="1547B832" w14:textId="77777777" w:rsidR="00561C9C" w:rsidRPr="00102433" w:rsidRDefault="00561C9C" w:rsidP="00561C9C"/>
    <w:p w14:paraId="4185948F" w14:textId="77777777" w:rsidR="003A41E8" w:rsidRDefault="003A41E8" w:rsidP="00B237D8">
      <w:pPr>
        <w:pStyle w:val="Heading2"/>
      </w:pPr>
      <w:bookmarkStart w:id="145" w:name="_Toc46322930"/>
      <w:bookmarkStart w:id="146" w:name="_Toc52499510"/>
      <w:bookmarkStart w:id="147" w:name="_Toc93390302"/>
      <w:r>
        <w:t>La gouvernance de la politique régionale des instruments financiers recevant du FEDER</w:t>
      </w:r>
      <w:bookmarkEnd w:id="145"/>
      <w:bookmarkEnd w:id="146"/>
      <w:bookmarkEnd w:id="147"/>
    </w:p>
    <w:p w14:paraId="3CA10F03" w14:textId="77777777" w:rsidR="003A41E8" w:rsidRDefault="003A41E8" w:rsidP="003A41E8">
      <w:pPr>
        <w:pStyle w:val="BodyText"/>
      </w:pPr>
      <w:r>
        <w:t xml:space="preserve">La gouvernance nécessaire à la mise en œuvre de cette stratégie et son suivi est cruciale pour son succès. </w:t>
      </w:r>
    </w:p>
    <w:p w14:paraId="09C9B07F" w14:textId="2E0A8132" w:rsidR="003A41E8" w:rsidRDefault="003A41E8" w:rsidP="003A41E8">
      <w:pPr>
        <w:pStyle w:val="BodyText"/>
      </w:pPr>
      <w:r>
        <w:t xml:space="preserve">La </w:t>
      </w:r>
      <w:r w:rsidR="00D464AB">
        <w:t>C</w:t>
      </w:r>
      <w:r>
        <w:t>ommission européenne propose quatre options de gouvernance aux Autorités de Gestion :</w:t>
      </w:r>
    </w:p>
    <w:p w14:paraId="1984B9C7" w14:textId="77777777" w:rsidR="003A41E8" w:rsidRPr="0059485A" w:rsidRDefault="003A41E8" w:rsidP="00607D27">
      <w:pPr>
        <w:pStyle w:val="Bullet1"/>
      </w:pPr>
      <w:r w:rsidRPr="0059485A">
        <w:t xml:space="preserve">Option 1 : Investir au capital de personnes morales existantes (1a) ou nouvellement créées (1b) ; </w:t>
      </w:r>
    </w:p>
    <w:p w14:paraId="13D7BF44" w14:textId="77777777" w:rsidR="003A41E8" w:rsidRPr="0059485A" w:rsidRDefault="003A41E8" w:rsidP="00607D27">
      <w:pPr>
        <w:pStyle w:val="Bullet1"/>
      </w:pPr>
      <w:r w:rsidRPr="0059485A">
        <w:t xml:space="preserve">Option 2 : Confier des tâches d’exécution à des entités mandatées (potentiellement par le biais d’un Fonds-de-Fonds) ; et </w:t>
      </w:r>
    </w:p>
    <w:p w14:paraId="56D1617A" w14:textId="77777777" w:rsidR="003A41E8" w:rsidRPr="0059485A" w:rsidRDefault="003A41E8" w:rsidP="00607D27">
      <w:pPr>
        <w:pStyle w:val="Bullet1"/>
      </w:pPr>
      <w:r w:rsidRPr="0059485A">
        <w:t>Option 3 : Mettre directement en œuvre des instruments de prêts ou de garantie par l’Autorité de Gestion ;</w:t>
      </w:r>
    </w:p>
    <w:p w14:paraId="399573FD" w14:textId="77777777" w:rsidR="003A41E8" w:rsidRPr="0059485A" w:rsidRDefault="003A41E8" w:rsidP="00607D27">
      <w:pPr>
        <w:pStyle w:val="Bullet1"/>
      </w:pPr>
      <w:r w:rsidRPr="0059485A">
        <w:t>Option 4 : Abonder un compartiment Invest EU afin de débloquer une garantie pour des outils proposés par la Banque des Territoires et Bpifrance.</w:t>
      </w:r>
    </w:p>
    <w:p w14:paraId="358F959D" w14:textId="77777777" w:rsidR="003A41E8" w:rsidRDefault="003A41E8" w:rsidP="00E72DF0">
      <w:pPr>
        <w:pStyle w:val="BodyText"/>
      </w:pPr>
      <w:r>
        <w:t>Ces options peuvent être combinées.</w:t>
      </w:r>
    </w:p>
    <w:p w14:paraId="0A7ED1ED" w14:textId="77777777" w:rsidR="003A41E8" w:rsidRDefault="003A41E8" w:rsidP="00F42170">
      <w:pPr>
        <w:pStyle w:val="BodyText"/>
        <w:sectPr w:rsidR="003A41E8">
          <w:pgSz w:w="11901" w:h="16817"/>
          <w:pgMar w:top="1701" w:right="1418" w:bottom="1701" w:left="1418" w:header="709" w:footer="590" w:gutter="0"/>
          <w:cols w:space="720"/>
        </w:sectPr>
      </w:pPr>
    </w:p>
    <w:p w14:paraId="40848BBC" w14:textId="2907B2B5" w:rsidR="003A41E8" w:rsidRDefault="003A41E8" w:rsidP="003A41E8">
      <w:pPr>
        <w:pStyle w:val="Caption"/>
      </w:pPr>
      <w:bookmarkStart w:id="148" w:name="_Toc88842114"/>
      <w:r>
        <w:t xml:space="preserve">Tableau </w:t>
      </w:r>
      <w:r>
        <w:fldChar w:fldCharType="begin"/>
      </w:r>
      <w:r>
        <w:instrText xml:space="preserve"> SEQ Tableau \* ARABIC </w:instrText>
      </w:r>
      <w:r>
        <w:fldChar w:fldCharType="separate"/>
      </w:r>
      <w:r w:rsidR="009F0282">
        <w:rPr>
          <w:noProof/>
        </w:rPr>
        <w:t>26</w:t>
      </w:r>
      <w:r>
        <w:fldChar w:fldCharType="end"/>
      </w:r>
      <w:r>
        <w:t xml:space="preserve"> </w:t>
      </w:r>
      <w:r w:rsidRPr="007B6065">
        <w:t>Présentation des options de gouvernance pour la mobilisation des outils financiers</w:t>
      </w:r>
      <w:bookmarkEnd w:id="148"/>
    </w:p>
    <w:tbl>
      <w:tblPr>
        <w:tblStyle w:val="TechnopolisTable"/>
        <w:tblW w:w="5000" w:type="pct"/>
        <w:tblLook w:val="04A0" w:firstRow="1" w:lastRow="0" w:firstColumn="1" w:lastColumn="0" w:noHBand="0" w:noVBand="1"/>
      </w:tblPr>
      <w:tblGrid>
        <w:gridCol w:w="1883"/>
        <w:gridCol w:w="2312"/>
        <w:gridCol w:w="2312"/>
        <w:gridCol w:w="2728"/>
        <w:gridCol w:w="2312"/>
        <w:gridCol w:w="1880"/>
      </w:tblGrid>
      <w:tr w:rsidR="003A41E8" w14:paraId="71E57DE1" w14:textId="77777777" w:rsidTr="005D1E80">
        <w:trPr>
          <w:cnfStyle w:val="100000000000" w:firstRow="1" w:lastRow="0" w:firstColumn="0" w:lastColumn="0" w:oddVBand="0" w:evenVBand="0" w:oddHBand="0" w:evenHBand="0" w:firstRowFirstColumn="0" w:firstRowLastColumn="0" w:lastRowFirstColumn="0" w:lastRowLastColumn="0"/>
        </w:trPr>
        <w:tc>
          <w:tcPr>
            <w:tcW w:w="701" w:type="pct"/>
          </w:tcPr>
          <w:p w14:paraId="40DA5EC0" w14:textId="77777777" w:rsidR="003A41E8" w:rsidRPr="0059485A" w:rsidRDefault="003A41E8" w:rsidP="003814FB">
            <w:pPr>
              <w:pStyle w:val="Tabletext"/>
            </w:pPr>
          </w:p>
        </w:tc>
        <w:tc>
          <w:tcPr>
            <w:tcW w:w="861" w:type="pct"/>
          </w:tcPr>
          <w:p w14:paraId="373F63B2" w14:textId="77777777" w:rsidR="00D80670" w:rsidRDefault="00D80670" w:rsidP="00D80670">
            <w:pPr>
              <w:pStyle w:val="Tabletext"/>
            </w:pPr>
            <w:r>
              <w:t>Option 1a</w:t>
            </w:r>
          </w:p>
          <w:p w14:paraId="7AFBD5CE" w14:textId="15E077F6" w:rsidR="003F1C2A" w:rsidRPr="003F1C2A" w:rsidRDefault="003F1C2A" w:rsidP="00D80670">
            <w:pPr>
              <w:pStyle w:val="Tabletext"/>
            </w:pPr>
            <w:r w:rsidRPr="003F1C2A">
              <w:t xml:space="preserve">Investir au capital de personnes morales  existantes (1a) </w:t>
            </w:r>
          </w:p>
          <w:p w14:paraId="6D904E30" w14:textId="77777777" w:rsidR="003A41E8" w:rsidRPr="0059485A" w:rsidRDefault="003A41E8" w:rsidP="003814FB">
            <w:pPr>
              <w:pStyle w:val="Tabletext"/>
            </w:pPr>
          </w:p>
        </w:tc>
        <w:tc>
          <w:tcPr>
            <w:tcW w:w="861" w:type="pct"/>
            <w:hideMark/>
          </w:tcPr>
          <w:p w14:paraId="2E27E4B1" w14:textId="77777777" w:rsidR="003A41E8" w:rsidRDefault="003A41E8" w:rsidP="003814FB">
            <w:pPr>
              <w:pStyle w:val="Tabletext"/>
            </w:pPr>
            <w:r w:rsidRPr="0059485A">
              <w:t>Option 1b</w:t>
            </w:r>
          </w:p>
          <w:p w14:paraId="4B7D2E5F" w14:textId="72F63D6A" w:rsidR="003F1C2A" w:rsidRPr="003F1C2A" w:rsidRDefault="003F1C2A" w:rsidP="003F1C2A">
            <w:pPr>
              <w:pStyle w:val="Bullet1"/>
              <w:numPr>
                <w:ilvl w:val="0"/>
                <w:numId w:val="0"/>
              </w:numPr>
              <w:rPr>
                <w:sz w:val="16"/>
              </w:rPr>
            </w:pPr>
            <w:r w:rsidRPr="003F1C2A">
              <w:rPr>
                <w:sz w:val="16"/>
              </w:rPr>
              <w:t xml:space="preserve">Investir au capital de personnes morales nouvellement créées (1b) ; </w:t>
            </w:r>
          </w:p>
          <w:p w14:paraId="54146B64" w14:textId="77777777" w:rsidR="003F1C2A" w:rsidRPr="0059485A" w:rsidRDefault="003F1C2A" w:rsidP="003814FB">
            <w:pPr>
              <w:pStyle w:val="Tabletext"/>
            </w:pPr>
          </w:p>
        </w:tc>
        <w:tc>
          <w:tcPr>
            <w:tcW w:w="1016" w:type="pct"/>
            <w:hideMark/>
          </w:tcPr>
          <w:p w14:paraId="4DEA89CD" w14:textId="77777777" w:rsidR="003A41E8" w:rsidRDefault="003A41E8" w:rsidP="003814FB">
            <w:pPr>
              <w:pStyle w:val="Tabletext"/>
            </w:pPr>
            <w:r w:rsidRPr="0059485A">
              <w:t>Option 2</w:t>
            </w:r>
          </w:p>
          <w:p w14:paraId="2E68C128" w14:textId="66FE3169" w:rsidR="003F1C2A" w:rsidRPr="0059485A" w:rsidRDefault="003F1C2A" w:rsidP="003814FB">
            <w:pPr>
              <w:pStyle w:val="Tabletext"/>
            </w:pPr>
            <w:r w:rsidRPr="0059485A">
              <w:t xml:space="preserve">Confier des tâches d’exécution à des entités mandatées (potentiellement par le biais d’un Fonds-de-Fonds) ; </w:t>
            </w:r>
          </w:p>
        </w:tc>
        <w:tc>
          <w:tcPr>
            <w:tcW w:w="861" w:type="pct"/>
            <w:hideMark/>
          </w:tcPr>
          <w:p w14:paraId="687B5987" w14:textId="77777777" w:rsidR="003A41E8" w:rsidRDefault="003A41E8" w:rsidP="003814FB">
            <w:pPr>
              <w:pStyle w:val="Tabletext"/>
            </w:pPr>
            <w:r w:rsidRPr="0059485A">
              <w:t>Option 3</w:t>
            </w:r>
          </w:p>
          <w:p w14:paraId="03C6EF9B" w14:textId="5F266DA0" w:rsidR="003F1C2A" w:rsidRPr="0059485A" w:rsidRDefault="003F1C2A" w:rsidP="003814FB">
            <w:pPr>
              <w:pStyle w:val="Tabletext"/>
            </w:pPr>
            <w:r w:rsidRPr="0059485A">
              <w:t>Mettre directement en œuvre des instruments de prêts ou de garantie par l’Autorité de Gestion ;</w:t>
            </w:r>
          </w:p>
        </w:tc>
        <w:tc>
          <w:tcPr>
            <w:tcW w:w="700" w:type="pct"/>
            <w:hideMark/>
          </w:tcPr>
          <w:p w14:paraId="36D38727" w14:textId="77777777" w:rsidR="003A41E8" w:rsidRDefault="003A41E8" w:rsidP="003814FB">
            <w:pPr>
              <w:pStyle w:val="Tabletext"/>
            </w:pPr>
            <w:r w:rsidRPr="0059485A">
              <w:t>Option 4</w:t>
            </w:r>
          </w:p>
          <w:p w14:paraId="01E2B925" w14:textId="673626C1" w:rsidR="003F1C2A" w:rsidRPr="0059485A" w:rsidRDefault="003F1C2A" w:rsidP="003814FB">
            <w:pPr>
              <w:pStyle w:val="Tabletext"/>
            </w:pPr>
            <w:r w:rsidRPr="0059485A">
              <w:t>Abonder un compartiment Invest EU</w:t>
            </w:r>
            <w:r w:rsidR="001C57EA">
              <w:rPr>
                <w:rStyle w:val="FootnoteReference"/>
              </w:rPr>
              <w:footnoteReference w:id="125"/>
            </w:r>
            <w:r w:rsidRPr="0059485A">
              <w:t xml:space="preserve"> afin de débloquer une garantie pour des outils proposés par la Banque des Territoires et Bpifrance.</w:t>
            </w:r>
          </w:p>
        </w:tc>
      </w:tr>
      <w:tr w:rsidR="00D614CF" w14:paraId="51520CCD" w14:textId="77777777" w:rsidTr="005D1E80">
        <w:trPr>
          <w:cnfStyle w:val="000000100000" w:firstRow="0" w:lastRow="0" w:firstColumn="0" w:lastColumn="0" w:oddVBand="0" w:evenVBand="0" w:oddHBand="1" w:evenHBand="0" w:firstRowFirstColumn="0" w:firstRowLastColumn="0" w:lastRowFirstColumn="0" w:lastRowLastColumn="0"/>
        </w:trPr>
        <w:tc>
          <w:tcPr>
            <w:tcW w:w="701" w:type="pct"/>
          </w:tcPr>
          <w:p w14:paraId="27B6FCD6" w14:textId="77777777" w:rsidR="00D614CF" w:rsidRPr="0059485A" w:rsidRDefault="00D614CF" w:rsidP="00D614CF"/>
          <w:p w14:paraId="077B29DA" w14:textId="320E624E" w:rsidR="00D614CF" w:rsidRPr="0059485A" w:rsidRDefault="00D614CF" w:rsidP="00D614CF">
            <w:pPr>
              <w:pStyle w:val="Tabletext"/>
            </w:pPr>
            <w:r w:rsidRPr="0059485A">
              <w:t>Mise en œuvre de la politique régionale</w:t>
            </w:r>
          </w:p>
        </w:tc>
        <w:tc>
          <w:tcPr>
            <w:tcW w:w="861" w:type="pct"/>
          </w:tcPr>
          <w:p w14:paraId="6CDE0587" w14:textId="77777777" w:rsidR="00D614CF" w:rsidRPr="0059485A" w:rsidRDefault="00D614CF" w:rsidP="00D614CF"/>
          <w:p w14:paraId="1C86F8EB" w14:textId="77777777" w:rsidR="00D614CF" w:rsidRPr="0059485A" w:rsidRDefault="00D614CF" w:rsidP="00D614CF">
            <w:r w:rsidRPr="0059485A">
              <w:t xml:space="preserve">Visibilité de l’AG limitée dans le cas de FCPI et des réseaux bancaires </w:t>
            </w:r>
          </w:p>
          <w:p w14:paraId="01080001" w14:textId="77777777" w:rsidR="00D614CF" w:rsidRPr="0059485A" w:rsidRDefault="00D614CF" w:rsidP="00D614CF"/>
          <w:p w14:paraId="2AF4D56B" w14:textId="77777777" w:rsidR="00D614CF" w:rsidRPr="0059485A" w:rsidRDefault="00D614CF" w:rsidP="00D614CF">
            <w:r w:rsidRPr="0059485A">
              <w:t>Visibilité stratégique sur l’ensemble des outils dépendante du suivi opéré par les services de la Région</w:t>
            </w:r>
          </w:p>
          <w:p w14:paraId="6ACF47BB" w14:textId="77777777" w:rsidR="00D614CF" w:rsidRPr="0059485A" w:rsidRDefault="00D614CF" w:rsidP="00D614CF">
            <w:pPr>
              <w:pStyle w:val="Tabletext"/>
            </w:pPr>
          </w:p>
        </w:tc>
        <w:tc>
          <w:tcPr>
            <w:tcW w:w="861" w:type="pct"/>
          </w:tcPr>
          <w:p w14:paraId="0DAC4669" w14:textId="77777777" w:rsidR="00D614CF" w:rsidRPr="0059485A" w:rsidRDefault="00D614CF" w:rsidP="00D614CF">
            <w:pPr>
              <w:rPr>
                <w:highlight w:val="yellow"/>
              </w:rPr>
            </w:pPr>
          </w:p>
          <w:p w14:paraId="2515F5A3" w14:textId="77777777" w:rsidR="00D614CF" w:rsidRPr="001A29D2" w:rsidRDefault="00D614CF" w:rsidP="00D614CF">
            <w:r w:rsidRPr="001A29D2">
              <w:t>Création - évolution d’un outil régional sur le modèle de Breiz</w:t>
            </w:r>
            <w:r>
              <w:t>h</w:t>
            </w:r>
            <w:r w:rsidRPr="001A29D2">
              <w:t xml:space="preserve"> Up</w:t>
            </w:r>
          </w:p>
          <w:p w14:paraId="567D34FC" w14:textId="77777777" w:rsidR="00D614CF" w:rsidRPr="001A29D2" w:rsidRDefault="00D614CF" w:rsidP="00D614CF"/>
          <w:p w14:paraId="1C6683AC" w14:textId="77777777" w:rsidR="00D614CF" w:rsidRPr="001A29D2" w:rsidRDefault="00D614CF" w:rsidP="00D614CF">
            <w:r w:rsidRPr="001A29D2">
              <w:t>Visibilité stratégique sur l’ensemble des outils dépendante du suivi opéré par les services de la Région</w:t>
            </w:r>
          </w:p>
          <w:p w14:paraId="5C055121" w14:textId="77777777" w:rsidR="00D614CF" w:rsidRPr="0059485A" w:rsidRDefault="00D614CF" w:rsidP="00D614CF">
            <w:pPr>
              <w:pStyle w:val="Tabletext"/>
              <w:rPr>
                <w:highlight w:val="yellow"/>
              </w:rPr>
            </w:pPr>
          </w:p>
        </w:tc>
        <w:tc>
          <w:tcPr>
            <w:tcW w:w="1016" w:type="pct"/>
          </w:tcPr>
          <w:p w14:paraId="23D630A8" w14:textId="77777777" w:rsidR="00D614CF" w:rsidRPr="0059485A" w:rsidRDefault="00D614CF" w:rsidP="00D614CF"/>
          <w:p w14:paraId="6B156855" w14:textId="77777777" w:rsidR="00D614CF" w:rsidRPr="0059485A" w:rsidRDefault="00D614CF" w:rsidP="00D614CF">
            <w:r w:rsidRPr="0059485A">
              <w:t>Création d’une marque régionale sur le modèle de l’Occitanie ou de la Réunion</w:t>
            </w:r>
          </w:p>
          <w:p w14:paraId="2F5073C6" w14:textId="77777777" w:rsidR="00D614CF" w:rsidRPr="0059485A" w:rsidRDefault="00D614CF" w:rsidP="00D614CF"/>
          <w:p w14:paraId="3C76462D" w14:textId="77777777" w:rsidR="00D614CF" w:rsidRPr="0059485A" w:rsidRDefault="00D614CF" w:rsidP="00D614CF">
            <w:r w:rsidRPr="0059485A">
              <w:t>Visibilité de l’AG réduite, nécessitant de prévoir des modalités de communication/coordination dédiée par le gestionnaire</w:t>
            </w:r>
          </w:p>
          <w:p w14:paraId="70FA389B" w14:textId="77777777" w:rsidR="00D614CF" w:rsidRPr="0059485A" w:rsidRDefault="00D614CF" w:rsidP="00D614CF">
            <w:pPr>
              <w:pStyle w:val="Tabletext"/>
            </w:pPr>
          </w:p>
        </w:tc>
        <w:tc>
          <w:tcPr>
            <w:tcW w:w="861" w:type="pct"/>
          </w:tcPr>
          <w:p w14:paraId="206EFE9F" w14:textId="77777777" w:rsidR="00D614CF" w:rsidRPr="0059485A" w:rsidRDefault="00D614CF" w:rsidP="00D614CF"/>
          <w:p w14:paraId="5D2ADE2B" w14:textId="77777777" w:rsidR="00D614CF" w:rsidRPr="0059485A" w:rsidRDefault="00D614CF" w:rsidP="00D614CF">
            <w:r w:rsidRPr="0059485A">
              <w:t>Visibilité de la Région dans les outils</w:t>
            </w:r>
          </w:p>
          <w:p w14:paraId="509A119B" w14:textId="77777777" w:rsidR="00D614CF" w:rsidRPr="0059485A" w:rsidRDefault="00D614CF" w:rsidP="00D614CF"/>
          <w:p w14:paraId="41A2360F" w14:textId="77777777" w:rsidR="00D614CF" w:rsidRPr="0059485A" w:rsidRDefault="00D614CF" w:rsidP="00D614CF">
            <w:r w:rsidRPr="0059485A">
              <w:t>Visibilité stratégique sur l’ensemble des outils dépendante du suivi opéré par les services de la Région</w:t>
            </w:r>
          </w:p>
          <w:p w14:paraId="37FCC589" w14:textId="77777777" w:rsidR="00D614CF" w:rsidRPr="0059485A" w:rsidRDefault="00D614CF" w:rsidP="00D614CF">
            <w:pPr>
              <w:pStyle w:val="Tabletext"/>
            </w:pPr>
          </w:p>
        </w:tc>
        <w:tc>
          <w:tcPr>
            <w:tcW w:w="700" w:type="pct"/>
          </w:tcPr>
          <w:p w14:paraId="40F789E4" w14:textId="77777777" w:rsidR="00D614CF" w:rsidRPr="0059485A" w:rsidRDefault="00D614CF" w:rsidP="00D614CF"/>
          <w:p w14:paraId="7371D355" w14:textId="77777777" w:rsidR="00D614CF" w:rsidRPr="0059485A" w:rsidRDefault="00D614CF" w:rsidP="00D614CF">
            <w:r w:rsidRPr="0059485A">
              <w:t>Pas de visibilité des interventions via des outils « sur l’étagère »</w:t>
            </w:r>
          </w:p>
          <w:p w14:paraId="70C5461B" w14:textId="77777777" w:rsidR="00D614CF" w:rsidRPr="0059485A" w:rsidRDefault="00D614CF" w:rsidP="00D614CF"/>
          <w:p w14:paraId="1E94E641" w14:textId="5B1F7F1B" w:rsidR="00D614CF" w:rsidRPr="0059485A" w:rsidRDefault="00D614CF" w:rsidP="00D614CF">
            <w:pPr>
              <w:pStyle w:val="Tabletext"/>
            </w:pPr>
            <w:r w:rsidRPr="0059485A">
              <w:t>Visibilité stratégique sur l’ensemble des outils dépendante du suivi opéré par les services de la Région et les interventions des banques publiques</w:t>
            </w:r>
          </w:p>
        </w:tc>
      </w:tr>
      <w:tr w:rsidR="00D614CF" w14:paraId="5692E1DA" w14:textId="77777777" w:rsidTr="005D1E80">
        <w:trPr>
          <w:cnfStyle w:val="000000010000" w:firstRow="0" w:lastRow="0" w:firstColumn="0" w:lastColumn="0" w:oddVBand="0" w:evenVBand="0" w:oddHBand="0" w:evenHBand="1" w:firstRowFirstColumn="0" w:firstRowLastColumn="0" w:lastRowFirstColumn="0" w:lastRowLastColumn="0"/>
        </w:trPr>
        <w:tc>
          <w:tcPr>
            <w:tcW w:w="701" w:type="pct"/>
          </w:tcPr>
          <w:p w14:paraId="009390AB" w14:textId="77777777" w:rsidR="00D614CF" w:rsidRPr="0059485A" w:rsidRDefault="00D614CF" w:rsidP="00D614CF"/>
          <w:p w14:paraId="520882EC" w14:textId="3821AD57" w:rsidR="00D614CF" w:rsidRPr="0059485A" w:rsidRDefault="00D614CF" w:rsidP="00D614CF">
            <w:pPr>
              <w:pStyle w:val="Tabletext"/>
            </w:pPr>
            <w:r w:rsidRPr="0059485A">
              <w:t>Mise en œuvre de l’outil</w:t>
            </w:r>
          </w:p>
        </w:tc>
        <w:tc>
          <w:tcPr>
            <w:tcW w:w="861" w:type="pct"/>
          </w:tcPr>
          <w:p w14:paraId="7F03A570" w14:textId="77777777" w:rsidR="00D614CF" w:rsidRPr="0059485A" w:rsidRDefault="00D614CF" w:rsidP="00D614CF"/>
          <w:p w14:paraId="49EEC641" w14:textId="77777777" w:rsidR="00D614CF" w:rsidRPr="0059485A" w:rsidRDefault="00D614CF" w:rsidP="00D614CF">
            <w:r w:rsidRPr="0059485A">
              <w:t>Mise en œuvre rapide</w:t>
            </w:r>
          </w:p>
          <w:p w14:paraId="68387C29" w14:textId="77777777" w:rsidR="00D614CF" w:rsidRPr="0059485A" w:rsidRDefault="00D614CF" w:rsidP="00D614CF">
            <w:r w:rsidRPr="0059485A">
              <w:t>Bon contrôle des conditions de mise en œuvre des outils</w:t>
            </w:r>
          </w:p>
          <w:p w14:paraId="5A0014D9" w14:textId="77777777" w:rsidR="00D614CF" w:rsidRPr="0059485A" w:rsidRDefault="00D614CF" w:rsidP="00D614CF">
            <w:r w:rsidRPr="0059485A">
              <w:t>Entité juridique dédiée à la mise en œuvre de l’outil</w:t>
            </w:r>
          </w:p>
          <w:p w14:paraId="502CAE82" w14:textId="77777777" w:rsidR="00D614CF" w:rsidRPr="0059485A" w:rsidRDefault="00D614CF" w:rsidP="00D614CF">
            <w:r w:rsidRPr="0059485A">
              <w:t>Montants et finalité des investissements directs sont limités aux montants nécessaires à la mise en œuvre de nouveaux investissements</w:t>
            </w:r>
          </w:p>
          <w:p w14:paraId="5D2F9DB9" w14:textId="77777777" w:rsidR="00D614CF" w:rsidRPr="0059485A" w:rsidRDefault="00D614CF" w:rsidP="00D614CF">
            <w:r w:rsidRPr="0059485A">
              <w:t xml:space="preserve">Doit être strictement conforme aux constatations et conclusions de l’analyse ex-ante </w:t>
            </w:r>
          </w:p>
          <w:p w14:paraId="06C29CA6" w14:textId="77777777" w:rsidR="00D614CF" w:rsidRPr="0059485A" w:rsidRDefault="00D614CF" w:rsidP="00D614CF">
            <w:r w:rsidRPr="0059485A">
              <w:t>Possible dispersion des outils</w:t>
            </w:r>
          </w:p>
          <w:p w14:paraId="730048FE" w14:textId="77777777" w:rsidR="00D614CF" w:rsidRPr="0059485A" w:rsidRDefault="00D614CF" w:rsidP="00D614CF">
            <w:r w:rsidRPr="0059485A">
              <w:t>Synergies entre outils dépendantes des gestionnaires financiers</w:t>
            </w:r>
          </w:p>
          <w:p w14:paraId="6CFD3D6B" w14:textId="77777777" w:rsidR="00D614CF" w:rsidRPr="0059485A" w:rsidRDefault="00D614CF" w:rsidP="00D614CF"/>
          <w:p w14:paraId="080B276F" w14:textId="77777777" w:rsidR="00D614CF" w:rsidRPr="000D4248" w:rsidRDefault="00D614CF" w:rsidP="00D614CF">
            <w:pPr>
              <w:pStyle w:val="Tabletext"/>
            </w:pPr>
          </w:p>
        </w:tc>
        <w:tc>
          <w:tcPr>
            <w:tcW w:w="861" w:type="pct"/>
          </w:tcPr>
          <w:p w14:paraId="4A2A2988" w14:textId="77777777" w:rsidR="00D614CF" w:rsidRPr="0059485A" w:rsidRDefault="00D614CF" w:rsidP="00D614CF"/>
          <w:p w14:paraId="4E882364" w14:textId="77777777" w:rsidR="00D614CF" w:rsidRPr="0059485A" w:rsidRDefault="00D614CF" w:rsidP="00D614CF">
            <w:r w:rsidRPr="0059485A">
              <w:t>Bon contrôle des conditions de mise en œuvre des outils</w:t>
            </w:r>
          </w:p>
          <w:p w14:paraId="57C29D20" w14:textId="77777777" w:rsidR="00D614CF" w:rsidRPr="0059485A" w:rsidRDefault="00D614CF" w:rsidP="00D614CF">
            <w:r w:rsidRPr="0059485A">
              <w:t>Entité juridique dédiée à la mise en œuvre de l’outil</w:t>
            </w:r>
          </w:p>
          <w:p w14:paraId="6012C0BF" w14:textId="77777777" w:rsidR="00D614CF" w:rsidRPr="0059485A" w:rsidRDefault="00D614CF" w:rsidP="00D614CF">
            <w:r w:rsidRPr="0059485A">
              <w:t>Montants et finalité des investissements directs sont limités aux montants nécessaires à la mise en œuvre de nouveaux investissements</w:t>
            </w:r>
          </w:p>
          <w:p w14:paraId="4A793D59" w14:textId="77777777" w:rsidR="00D614CF" w:rsidRPr="0059485A" w:rsidRDefault="00D614CF" w:rsidP="00D614CF">
            <w:r w:rsidRPr="0059485A">
              <w:t xml:space="preserve">Doit être strictement conforme aux constatations et conclusions de l’analyse ex-ante </w:t>
            </w:r>
          </w:p>
          <w:p w14:paraId="283350A2" w14:textId="77777777" w:rsidR="00D614CF" w:rsidRPr="0059485A" w:rsidRDefault="00D614CF" w:rsidP="00D614CF">
            <w:r w:rsidRPr="0059485A">
              <w:t xml:space="preserve">Démarches potentiellement lourdes dans la mise en œuvre de la personne morale </w:t>
            </w:r>
          </w:p>
          <w:p w14:paraId="53A90D66" w14:textId="77777777" w:rsidR="00D614CF" w:rsidRPr="0059485A" w:rsidRDefault="00D614CF" w:rsidP="00D614CF">
            <w:r w:rsidRPr="0059485A">
              <w:t>Synergies entre outils dépendantes des gestionnaires financiers</w:t>
            </w:r>
          </w:p>
          <w:p w14:paraId="21A68A75" w14:textId="77777777" w:rsidR="00D614CF" w:rsidRPr="000D4248" w:rsidRDefault="00D614CF" w:rsidP="00D614CF">
            <w:pPr>
              <w:pStyle w:val="Tabletext"/>
            </w:pPr>
          </w:p>
        </w:tc>
        <w:tc>
          <w:tcPr>
            <w:tcW w:w="1016" w:type="pct"/>
          </w:tcPr>
          <w:p w14:paraId="5420A258" w14:textId="77777777" w:rsidR="00D614CF" w:rsidRPr="0059485A" w:rsidRDefault="00D614CF" w:rsidP="00D614CF"/>
          <w:p w14:paraId="0300E78F" w14:textId="50E93CA8" w:rsidR="00D614CF" w:rsidRPr="0059485A" w:rsidRDefault="00D614CF" w:rsidP="00D614CF">
            <w:r w:rsidRPr="0059485A">
              <w:t xml:space="preserve">Soutien possible d’une entité expérimentée dans la gestion des fonds structurels en faveur de l’accès au financement des PME </w:t>
            </w:r>
          </w:p>
          <w:p w14:paraId="54C00767" w14:textId="77777777" w:rsidR="00D614CF" w:rsidRPr="0059485A" w:rsidRDefault="00D614CF" w:rsidP="00D614CF">
            <w:r w:rsidRPr="0059485A">
              <w:t>Termes du mandat de gestion à négocier</w:t>
            </w:r>
          </w:p>
          <w:p w14:paraId="65E8EBEF" w14:textId="77777777" w:rsidR="00D614CF" w:rsidRPr="0059485A" w:rsidRDefault="00D614CF" w:rsidP="00D614CF">
            <w:r w:rsidRPr="0059485A">
              <w:t>Procédure de sélection des intermédiaires financiers transparente et alignée sur les exigences européennes (concurrentielle)</w:t>
            </w:r>
          </w:p>
          <w:p w14:paraId="33B027C9" w14:textId="77777777" w:rsidR="00D614CF" w:rsidRPr="0059485A" w:rsidRDefault="00D614CF" w:rsidP="00D614CF">
            <w:r w:rsidRPr="0059485A">
              <w:t>Peu de risque de conflit d’intérêt entre le gestionnaire et les intermédiaires financiers</w:t>
            </w:r>
          </w:p>
          <w:p w14:paraId="07F31C72" w14:textId="77777777" w:rsidR="00D614CF" w:rsidRPr="0059485A" w:rsidRDefault="00D614CF" w:rsidP="00D614CF">
            <w:r w:rsidRPr="0059485A">
              <w:t xml:space="preserve">Pas de contrôle de l’AG et peu de risque d’influence politique </w:t>
            </w:r>
          </w:p>
          <w:p w14:paraId="3975E627" w14:textId="1496ED66" w:rsidR="00D614CF" w:rsidRPr="000D4248" w:rsidRDefault="00D614CF" w:rsidP="00D614CF">
            <w:pPr>
              <w:pStyle w:val="Tabletext"/>
            </w:pPr>
            <w:r w:rsidRPr="0059485A">
              <w:t>Synergies possibles entre instruments</w:t>
            </w:r>
          </w:p>
        </w:tc>
        <w:tc>
          <w:tcPr>
            <w:tcW w:w="861" w:type="pct"/>
          </w:tcPr>
          <w:p w14:paraId="7D1E2D6E" w14:textId="77777777" w:rsidR="00D614CF" w:rsidRPr="0059485A" w:rsidRDefault="00D614CF" w:rsidP="00D614CF"/>
          <w:p w14:paraId="09C1CAD4" w14:textId="77777777" w:rsidR="00D614CF" w:rsidRPr="0059485A" w:rsidRDefault="00D614CF" w:rsidP="00D614CF">
            <w:r w:rsidRPr="0059485A">
              <w:t>Ne nécessite pas un accord de financement, mais exige l’élaboration d’un document de stratégie à présenter au comité de suivi</w:t>
            </w:r>
          </w:p>
          <w:p w14:paraId="6A8ECFD9" w14:textId="77777777" w:rsidR="00D614CF" w:rsidRPr="0059485A" w:rsidRDefault="00D614CF" w:rsidP="00D614CF">
            <w:r w:rsidRPr="0059485A">
              <w:t>Remboursement ex-post des prêts décaissés ou garanties engagées</w:t>
            </w:r>
          </w:p>
          <w:p w14:paraId="03C8B7D0" w14:textId="77777777" w:rsidR="00D614CF" w:rsidRPr="0059485A" w:rsidRDefault="00D614CF" w:rsidP="00D614CF">
            <w:r w:rsidRPr="0059485A">
              <w:t>Mise en œuvre relativement rapide si l’AG a un savoir-faire technique suffisant</w:t>
            </w:r>
          </w:p>
          <w:p w14:paraId="46406354" w14:textId="77777777" w:rsidR="00D614CF" w:rsidRPr="0059485A" w:rsidRDefault="00D614CF" w:rsidP="00D614CF">
            <w:r w:rsidRPr="0059485A">
              <w:t>Contrôle de la Région sur les interventions</w:t>
            </w:r>
          </w:p>
          <w:p w14:paraId="2F2F7345" w14:textId="77777777" w:rsidR="00D614CF" w:rsidRPr="0059485A" w:rsidRDefault="00D614CF" w:rsidP="00D614CF">
            <w:r w:rsidRPr="0059485A">
              <w:t>Risque de conflit d’intérêt, d’influence politique</w:t>
            </w:r>
          </w:p>
          <w:p w14:paraId="733D0C6F" w14:textId="77777777" w:rsidR="00D614CF" w:rsidRPr="000D4248" w:rsidRDefault="00D614CF" w:rsidP="00D614CF">
            <w:pPr>
              <w:pStyle w:val="Tabletext"/>
            </w:pPr>
          </w:p>
        </w:tc>
        <w:tc>
          <w:tcPr>
            <w:tcW w:w="700" w:type="pct"/>
          </w:tcPr>
          <w:p w14:paraId="42FBA6F0" w14:textId="77777777" w:rsidR="00D614CF" w:rsidRPr="0059485A" w:rsidRDefault="00D614CF" w:rsidP="00D614CF"/>
          <w:p w14:paraId="583A7B23" w14:textId="4B40289E" w:rsidR="00D614CF" w:rsidRPr="000D4248" w:rsidRDefault="00D614CF" w:rsidP="00D614CF">
            <w:pPr>
              <w:pStyle w:val="Tabletext"/>
            </w:pPr>
            <w:r w:rsidRPr="0059485A">
              <w:t>Ne permet pas un contrôle régional</w:t>
            </w:r>
          </w:p>
        </w:tc>
      </w:tr>
      <w:tr w:rsidR="00D614CF" w14:paraId="42275EA1" w14:textId="77777777" w:rsidTr="005D1E80">
        <w:trPr>
          <w:cnfStyle w:val="000000100000" w:firstRow="0" w:lastRow="0" w:firstColumn="0" w:lastColumn="0" w:oddVBand="0" w:evenVBand="0" w:oddHBand="1" w:evenHBand="0" w:firstRowFirstColumn="0" w:firstRowLastColumn="0" w:lastRowFirstColumn="0" w:lastRowLastColumn="0"/>
        </w:trPr>
        <w:tc>
          <w:tcPr>
            <w:tcW w:w="701" w:type="pct"/>
          </w:tcPr>
          <w:p w14:paraId="2E830660" w14:textId="77777777" w:rsidR="00D614CF" w:rsidRPr="0059485A" w:rsidRDefault="00D614CF" w:rsidP="00D614CF"/>
          <w:p w14:paraId="07E440FE" w14:textId="739868C3" w:rsidR="00D614CF" w:rsidRPr="0059485A" w:rsidRDefault="00D614CF" w:rsidP="00D614CF">
            <w:pPr>
              <w:pStyle w:val="Tabletext"/>
            </w:pPr>
            <w:r w:rsidRPr="0059485A">
              <w:t>Suivi technique par la Région</w:t>
            </w:r>
          </w:p>
        </w:tc>
        <w:tc>
          <w:tcPr>
            <w:tcW w:w="861" w:type="pct"/>
          </w:tcPr>
          <w:p w14:paraId="38F80384" w14:textId="77777777" w:rsidR="00D614CF" w:rsidRPr="0059485A" w:rsidRDefault="00D614CF" w:rsidP="00D614CF"/>
          <w:p w14:paraId="1DABB067" w14:textId="77777777" w:rsidR="00D614CF" w:rsidRPr="0059485A" w:rsidRDefault="00D614CF" w:rsidP="00D614CF">
            <w:r w:rsidRPr="0059485A">
              <w:t>Plusieurs interlocuteurs</w:t>
            </w:r>
          </w:p>
          <w:p w14:paraId="5E9B23E7" w14:textId="77777777" w:rsidR="00D614CF" w:rsidRPr="0059485A" w:rsidRDefault="00D614CF" w:rsidP="00D614CF">
            <w:proofErr w:type="spellStart"/>
            <w:r w:rsidRPr="0059485A">
              <w:t>Reporting</w:t>
            </w:r>
            <w:proofErr w:type="spellEnd"/>
            <w:r w:rsidRPr="0059485A">
              <w:t xml:space="preserve"> différentié par outil</w:t>
            </w:r>
          </w:p>
          <w:p w14:paraId="00BD2F83" w14:textId="77777777" w:rsidR="00D614CF" w:rsidRPr="0059485A" w:rsidRDefault="00D614CF" w:rsidP="00D614CF">
            <w:r w:rsidRPr="0059485A">
              <w:t>Consolidation nécessaire avant valorisation</w:t>
            </w:r>
          </w:p>
          <w:p w14:paraId="74D458DA" w14:textId="77777777" w:rsidR="00D614CF" w:rsidRPr="0059485A" w:rsidRDefault="00D614CF" w:rsidP="00D614CF">
            <w:r w:rsidRPr="0059485A">
              <w:t>Risque d’audit plus élevé et d’</w:t>
            </w:r>
            <w:proofErr w:type="spellStart"/>
            <w:r w:rsidRPr="0059485A">
              <w:t>inégibilité</w:t>
            </w:r>
            <w:proofErr w:type="spellEnd"/>
            <w:r w:rsidRPr="0059485A">
              <w:t xml:space="preserve"> des dépenses</w:t>
            </w:r>
          </w:p>
          <w:p w14:paraId="20BD91A9" w14:textId="77777777" w:rsidR="00D614CF" w:rsidRPr="000D4248" w:rsidRDefault="00D614CF" w:rsidP="00D614CF">
            <w:pPr>
              <w:pStyle w:val="Tabletext"/>
            </w:pPr>
          </w:p>
        </w:tc>
        <w:tc>
          <w:tcPr>
            <w:tcW w:w="861" w:type="pct"/>
          </w:tcPr>
          <w:p w14:paraId="6947E307" w14:textId="77777777" w:rsidR="00D614CF" w:rsidRPr="0059485A" w:rsidRDefault="00D614CF" w:rsidP="00D614CF"/>
          <w:p w14:paraId="05DD7EBB" w14:textId="77777777" w:rsidR="00D614CF" w:rsidRPr="0059485A" w:rsidRDefault="00D614CF" w:rsidP="00D614CF">
            <w:r w:rsidRPr="0059485A">
              <w:t>Plusieurs interlocuteurs</w:t>
            </w:r>
          </w:p>
          <w:p w14:paraId="1D5370BA" w14:textId="77777777" w:rsidR="00D614CF" w:rsidRPr="0059485A" w:rsidRDefault="00D614CF" w:rsidP="00D614CF">
            <w:proofErr w:type="spellStart"/>
            <w:r w:rsidRPr="0059485A">
              <w:t>Reporting</w:t>
            </w:r>
            <w:proofErr w:type="spellEnd"/>
            <w:r w:rsidRPr="0059485A">
              <w:t xml:space="preserve"> différentié par outil</w:t>
            </w:r>
          </w:p>
          <w:p w14:paraId="25184A2B" w14:textId="77777777" w:rsidR="00D614CF" w:rsidRPr="0059485A" w:rsidRDefault="00D614CF" w:rsidP="00D614CF">
            <w:r w:rsidRPr="0059485A">
              <w:t>Consolidation nécessaire avant valorisation</w:t>
            </w:r>
          </w:p>
          <w:p w14:paraId="16E801E8" w14:textId="2FE208BF" w:rsidR="00D614CF" w:rsidRPr="000D4248" w:rsidRDefault="00D614CF" w:rsidP="00D614CF">
            <w:pPr>
              <w:pStyle w:val="Tabletext"/>
            </w:pPr>
            <w:r w:rsidRPr="0059485A">
              <w:t>Risque d’audit plus élevé et d’</w:t>
            </w:r>
            <w:proofErr w:type="spellStart"/>
            <w:r w:rsidRPr="0059485A">
              <w:t>inégibilité</w:t>
            </w:r>
            <w:proofErr w:type="spellEnd"/>
            <w:r w:rsidRPr="0059485A">
              <w:t xml:space="preserve"> des dépenses</w:t>
            </w:r>
          </w:p>
        </w:tc>
        <w:tc>
          <w:tcPr>
            <w:tcW w:w="1016" w:type="pct"/>
          </w:tcPr>
          <w:p w14:paraId="0D7658EA" w14:textId="77777777" w:rsidR="00D614CF" w:rsidRPr="0059485A" w:rsidRDefault="00D614CF" w:rsidP="00D614CF"/>
          <w:p w14:paraId="103DAE1A" w14:textId="77777777" w:rsidR="00D614CF" w:rsidRPr="0059485A" w:rsidRDefault="00D614CF" w:rsidP="00D614CF">
            <w:r w:rsidRPr="0059485A">
              <w:t xml:space="preserve">Regroupement des instruments financiers sous un fonds de fonds, permettant une vision de l’ensemble des instruments et une consolidation du </w:t>
            </w:r>
            <w:proofErr w:type="spellStart"/>
            <w:r w:rsidRPr="0059485A">
              <w:t>reporting</w:t>
            </w:r>
            <w:proofErr w:type="spellEnd"/>
          </w:p>
          <w:p w14:paraId="10C5ADF3" w14:textId="77777777" w:rsidR="00D614CF" w:rsidRPr="000D4248" w:rsidRDefault="00D614CF" w:rsidP="00D614CF">
            <w:pPr>
              <w:pStyle w:val="Tabletext"/>
            </w:pPr>
          </w:p>
        </w:tc>
        <w:tc>
          <w:tcPr>
            <w:tcW w:w="861" w:type="pct"/>
          </w:tcPr>
          <w:p w14:paraId="0229AB3B" w14:textId="77777777" w:rsidR="00D614CF" w:rsidRPr="0059485A" w:rsidRDefault="00D614CF" w:rsidP="00D614CF"/>
          <w:p w14:paraId="139AA318" w14:textId="77777777" w:rsidR="00D614CF" w:rsidRPr="0059485A" w:rsidRDefault="00D614CF" w:rsidP="00D614CF">
            <w:r w:rsidRPr="0059485A">
              <w:t xml:space="preserve">Un seul niveau de </w:t>
            </w:r>
            <w:proofErr w:type="spellStart"/>
            <w:r w:rsidRPr="0059485A">
              <w:t>reporting</w:t>
            </w:r>
            <w:proofErr w:type="spellEnd"/>
            <w:r w:rsidRPr="0059485A">
              <w:t xml:space="preserve"> et de suivi</w:t>
            </w:r>
          </w:p>
          <w:p w14:paraId="2E6F8D17" w14:textId="77777777" w:rsidR="00D614CF" w:rsidRPr="0059485A" w:rsidRDefault="00D614CF" w:rsidP="00D614CF">
            <w:r w:rsidRPr="0059485A">
              <w:t xml:space="preserve">Contrôle direct des conditions de mises en </w:t>
            </w:r>
            <w:proofErr w:type="spellStart"/>
            <w:r w:rsidRPr="0059485A">
              <w:t>oeuvre</w:t>
            </w:r>
            <w:proofErr w:type="spellEnd"/>
            <w:r w:rsidRPr="0059485A">
              <w:t xml:space="preserve"> </w:t>
            </w:r>
          </w:p>
          <w:p w14:paraId="41C876C1" w14:textId="08846CC6" w:rsidR="00D614CF" w:rsidRPr="000D4248" w:rsidRDefault="00D614CF" w:rsidP="00D614CF">
            <w:pPr>
              <w:pStyle w:val="Tabletext"/>
            </w:pPr>
            <w:r w:rsidRPr="0059485A">
              <w:t>Risque d’audit plus élevé et d’inéligibilité des dépenses</w:t>
            </w:r>
          </w:p>
        </w:tc>
        <w:tc>
          <w:tcPr>
            <w:tcW w:w="700" w:type="pct"/>
          </w:tcPr>
          <w:p w14:paraId="48DA32C6" w14:textId="77777777" w:rsidR="00D614CF" w:rsidRPr="0059485A" w:rsidRDefault="00D614CF" w:rsidP="00D614CF"/>
          <w:p w14:paraId="5D3B2C82" w14:textId="75DAC379" w:rsidR="00D614CF" w:rsidRPr="000D4248" w:rsidRDefault="00D614CF" w:rsidP="00D614CF">
            <w:pPr>
              <w:pStyle w:val="Tabletext"/>
            </w:pPr>
            <w:proofErr w:type="spellStart"/>
            <w:r w:rsidRPr="0059485A">
              <w:t>Reporting</w:t>
            </w:r>
            <w:proofErr w:type="spellEnd"/>
            <w:r w:rsidRPr="0059485A">
              <w:t xml:space="preserve"> réalisé par le groupe BEI</w:t>
            </w:r>
          </w:p>
        </w:tc>
      </w:tr>
      <w:tr w:rsidR="00D614CF" w14:paraId="4901B220" w14:textId="77777777" w:rsidTr="005D1E80">
        <w:trPr>
          <w:cnfStyle w:val="000000010000" w:firstRow="0" w:lastRow="0" w:firstColumn="0" w:lastColumn="0" w:oddVBand="0" w:evenVBand="0" w:oddHBand="0" w:evenHBand="1" w:firstRowFirstColumn="0" w:firstRowLastColumn="0" w:lastRowFirstColumn="0" w:lastRowLastColumn="0"/>
        </w:trPr>
        <w:tc>
          <w:tcPr>
            <w:tcW w:w="701" w:type="pct"/>
            <w:hideMark/>
          </w:tcPr>
          <w:p w14:paraId="7B661370" w14:textId="199EC8DF" w:rsidR="00D614CF" w:rsidRPr="0059485A" w:rsidRDefault="00D614CF" w:rsidP="00D614CF">
            <w:pPr>
              <w:pStyle w:val="Tabletext"/>
            </w:pPr>
            <w:r w:rsidRPr="0059485A">
              <w:t>Organisation de la Région</w:t>
            </w:r>
          </w:p>
        </w:tc>
        <w:tc>
          <w:tcPr>
            <w:tcW w:w="861" w:type="pct"/>
          </w:tcPr>
          <w:p w14:paraId="7B8CD7A5" w14:textId="77777777" w:rsidR="00D614CF" w:rsidRPr="0059485A" w:rsidRDefault="00D614CF" w:rsidP="00D614CF">
            <w:r w:rsidRPr="0059485A">
              <w:t>Investissements via la SCI et en direct dans les fonds d’investissement régionaux</w:t>
            </w:r>
          </w:p>
          <w:p w14:paraId="4A3ECDC8" w14:textId="77777777" w:rsidR="00D614CF" w:rsidRPr="0059485A" w:rsidRDefault="00D614CF" w:rsidP="00D614CF">
            <w:pPr>
              <w:pStyle w:val="Tabletext"/>
            </w:pPr>
          </w:p>
        </w:tc>
        <w:tc>
          <w:tcPr>
            <w:tcW w:w="861" w:type="pct"/>
            <w:hideMark/>
          </w:tcPr>
          <w:p w14:paraId="7326670D" w14:textId="77777777" w:rsidR="00D614CF" w:rsidRPr="0059485A" w:rsidRDefault="00D614CF" w:rsidP="00D614CF">
            <w:r w:rsidRPr="0059485A">
              <w:t xml:space="preserve">Investissements initiaux dans le fonds de </w:t>
            </w:r>
            <w:proofErr w:type="spellStart"/>
            <w:r w:rsidRPr="0059485A">
              <w:t>co</w:t>
            </w:r>
            <w:proofErr w:type="spellEnd"/>
            <w:r w:rsidRPr="0059485A">
              <w:t xml:space="preserve">-investissement </w:t>
            </w:r>
          </w:p>
          <w:p w14:paraId="72B29F96" w14:textId="234C6259" w:rsidR="00D614CF" w:rsidRPr="0059485A" w:rsidRDefault="00D614CF" w:rsidP="00D614CF">
            <w:pPr>
              <w:pStyle w:val="Tabletext"/>
            </w:pPr>
            <w:r w:rsidRPr="0059485A">
              <w:t>Exige la création du fonds et la sélection d’une société de gestion</w:t>
            </w:r>
          </w:p>
        </w:tc>
        <w:tc>
          <w:tcPr>
            <w:tcW w:w="1016" w:type="pct"/>
          </w:tcPr>
          <w:p w14:paraId="4465B74A" w14:textId="77777777" w:rsidR="00D614CF" w:rsidRPr="0059485A" w:rsidRDefault="00D614CF" w:rsidP="00D614CF">
            <w:r w:rsidRPr="0059485A">
              <w:t>Valable surtout dans des contextes particuliers, à savoir de dispersion des ressources et de multiplication des outils et intermédiaires financiers, et d’existence de Fonds ciblés sur des infra-territoires</w:t>
            </w:r>
          </w:p>
          <w:p w14:paraId="0D356C40" w14:textId="77777777" w:rsidR="00D614CF" w:rsidRPr="0059485A" w:rsidRDefault="00D614CF" w:rsidP="00D614CF">
            <w:r w:rsidRPr="0059485A">
              <w:t>Exige un ETP auprès du gestionnaire de Fonds de Fonds pour suivre les dossiers</w:t>
            </w:r>
          </w:p>
          <w:p w14:paraId="3D8F1756" w14:textId="77777777" w:rsidR="00D614CF" w:rsidRPr="0059485A" w:rsidRDefault="00D614CF" w:rsidP="00D614CF">
            <w:pPr>
              <w:pStyle w:val="Tabletext"/>
            </w:pPr>
          </w:p>
        </w:tc>
        <w:tc>
          <w:tcPr>
            <w:tcW w:w="861" w:type="pct"/>
            <w:hideMark/>
          </w:tcPr>
          <w:p w14:paraId="25419B5D" w14:textId="77777777" w:rsidR="00D614CF" w:rsidRPr="0059485A" w:rsidRDefault="00D614CF" w:rsidP="00D614CF">
            <w:r w:rsidRPr="0059485A">
              <w:t>Nécessité d’avoir des compétences légales, techniques et humaines</w:t>
            </w:r>
          </w:p>
          <w:p w14:paraId="60F20FA2" w14:textId="77777777" w:rsidR="00D614CF" w:rsidRPr="0059485A" w:rsidRDefault="00D614CF" w:rsidP="00D614CF">
            <w:r w:rsidRPr="0059485A">
              <w:t>Peut nécessiter la mobilisation d’une équipe dédiée au sein de l’AG</w:t>
            </w:r>
          </w:p>
          <w:p w14:paraId="414E9351" w14:textId="77777777" w:rsidR="00D614CF" w:rsidRPr="0059485A" w:rsidRDefault="00D614CF" w:rsidP="00D614CF">
            <w:r w:rsidRPr="0059485A">
              <w:t>Soumise à la législation nationale pour l’autorisation explicite de l’AG à octroyer des prêts et émettre des garanties</w:t>
            </w:r>
          </w:p>
          <w:p w14:paraId="5CE071DF" w14:textId="7E765F9E" w:rsidR="00D614CF" w:rsidRPr="0059485A" w:rsidRDefault="00D614CF" w:rsidP="00D614CF">
            <w:pPr>
              <w:pStyle w:val="Tabletext"/>
            </w:pPr>
            <w:r w:rsidRPr="0059485A">
              <w:t>Synergies limitées avec les outils non gérés directement par l’AG</w:t>
            </w:r>
          </w:p>
        </w:tc>
        <w:tc>
          <w:tcPr>
            <w:tcW w:w="700" w:type="pct"/>
          </w:tcPr>
          <w:p w14:paraId="297D5A66" w14:textId="77777777" w:rsidR="00D614CF" w:rsidRPr="0059485A" w:rsidRDefault="00D614CF" w:rsidP="00D614CF">
            <w:pPr>
              <w:pStyle w:val="Tabletext"/>
            </w:pPr>
          </w:p>
        </w:tc>
      </w:tr>
      <w:tr w:rsidR="00D614CF" w14:paraId="69292CB5" w14:textId="77777777" w:rsidTr="005D1E80">
        <w:trPr>
          <w:cnfStyle w:val="000000100000" w:firstRow="0" w:lastRow="0" w:firstColumn="0" w:lastColumn="0" w:oddVBand="0" w:evenVBand="0" w:oddHBand="1" w:evenHBand="0" w:firstRowFirstColumn="0" w:firstRowLastColumn="0" w:lastRowFirstColumn="0" w:lastRowLastColumn="0"/>
        </w:trPr>
        <w:tc>
          <w:tcPr>
            <w:tcW w:w="701" w:type="pct"/>
            <w:hideMark/>
          </w:tcPr>
          <w:p w14:paraId="611B62DE" w14:textId="767DD50A" w:rsidR="00D614CF" w:rsidRPr="0059485A" w:rsidRDefault="00D614CF" w:rsidP="00D614CF">
            <w:pPr>
              <w:pStyle w:val="Tabletext"/>
            </w:pPr>
            <w:r w:rsidRPr="0059485A">
              <w:t>Opérateur financier</w:t>
            </w:r>
          </w:p>
        </w:tc>
        <w:tc>
          <w:tcPr>
            <w:tcW w:w="861" w:type="pct"/>
            <w:hideMark/>
          </w:tcPr>
          <w:p w14:paraId="72ACD867" w14:textId="70DF5D7C" w:rsidR="00D614CF" w:rsidRPr="0059485A" w:rsidRDefault="00D614CF" w:rsidP="00D614CF">
            <w:pPr>
              <w:pStyle w:val="Tabletext"/>
            </w:pPr>
            <w:r w:rsidRPr="0059485A">
              <w:t>Opérateurs historiques</w:t>
            </w:r>
          </w:p>
        </w:tc>
        <w:tc>
          <w:tcPr>
            <w:tcW w:w="861" w:type="pct"/>
            <w:hideMark/>
          </w:tcPr>
          <w:p w14:paraId="6BF6EDFD" w14:textId="0BB45D3F" w:rsidR="00D614CF" w:rsidRPr="0059485A" w:rsidRDefault="00D614CF" w:rsidP="00D614CF">
            <w:pPr>
              <w:pStyle w:val="Tabletext"/>
            </w:pPr>
            <w:r w:rsidRPr="0059485A">
              <w:t>Opérateurs historiques et nouveaux</w:t>
            </w:r>
          </w:p>
        </w:tc>
        <w:tc>
          <w:tcPr>
            <w:tcW w:w="1016" w:type="pct"/>
            <w:hideMark/>
          </w:tcPr>
          <w:p w14:paraId="7B14E570" w14:textId="0F652072" w:rsidR="00D614CF" w:rsidRPr="0059485A" w:rsidRDefault="0054466B" w:rsidP="00D614CF">
            <w:pPr>
              <w:pStyle w:val="Tabletext"/>
            </w:pPr>
            <w:r w:rsidRPr="00422FEB">
              <w:t>Groupe B</w:t>
            </w:r>
            <w:r w:rsidR="00D614CF" w:rsidRPr="00422FEB">
              <w:t xml:space="preserve">EI, </w:t>
            </w:r>
            <w:proofErr w:type="spellStart"/>
            <w:r w:rsidR="00D614CF" w:rsidRPr="00422FEB">
              <w:t>Bpi</w:t>
            </w:r>
            <w:proofErr w:type="spellEnd"/>
            <w:r w:rsidR="00D614CF" w:rsidRPr="00422FEB">
              <w:t xml:space="preserve"> </w:t>
            </w:r>
            <w:r w:rsidR="006831CB" w:rsidRPr="00422FEB">
              <w:t>France, Caisse des Dépôts</w:t>
            </w:r>
            <w:r w:rsidR="00D614CF" w:rsidRPr="00422FEB">
              <w:t xml:space="preserve"> (à tester)</w:t>
            </w:r>
          </w:p>
        </w:tc>
        <w:tc>
          <w:tcPr>
            <w:tcW w:w="861" w:type="pct"/>
            <w:hideMark/>
          </w:tcPr>
          <w:p w14:paraId="6BB2F47E" w14:textId="45BA9765" w:rsidR="00D614CF" w:rsidRPr="0059485A" w:rsidRDefault="00D614CF" w:rsidP="00D614CF">
            <w:pPr>
              <w:pStyle w:val="Tabletext"/>
            </w:pPr>
            <w:r w:rsidRPr="0059485A">
              <w:t>Opérateurs historiques, régie régionale</w:t>
            </w:r>
          </w:p>
        </w:tc>
        <w:tc>
          <w:tcPr>
            <w:tcW w:w="700" w:type="pct"/>
            <w:hideMark/>
          </w:tcPr>
          <w:p w14:paraId="4B5A7AE3" w14:textId="43D5036B" w:rsidR="00D614CF" w:rsidRPr="0059485A" w:rsidRDefault="00D614CF" w:rsidP="00D614CF">
            <w:pPr>
              <w:pStyle w:val="Tabletext"/>
            </w:pPr>
            <w:r w:rsidRPr="0059485A">
              <w:t>Bpifrance, Banque des Territoires</w:t>
            </w:r>
          </w:p>
        </w:tc>
      </w:tr>
      <w:tr w:rsidR="00D614CF" w14:paraId="45D2E1D5" w14:textId="77777777" w:rsidTr="005D1E80">
        <w:trPr>
          <w:cnfStyle w:val="000000010000" w:firstRow="0" w:lastRow="0" w:firstColumn="0" w:lastColumn="0" w:oddVBand="0" w:evenVBand="0" w:oddHBand="0" w:evenHBand="1" w:firstRowFirstColumn="0" w:firstRowLastColumn="0" w:lastRowFirstColumn="0" w:lastRowLastColumn="0"/>
        </w:trPr>
        <w:tc>
          <w:tcPr>
            <w:tcW w:w="701" w:type="pct"/>
            <w:hideMark/>
          </w:tcPr>
          <w:p w14:paraId="6BA4F837" w14:textId="7F01FFCC" w:rsidR="00D614CF" w:rsidRPr="0059485A" w:rsidRDefault="00D614CF" w:rsidP="00D614CF">
            <w:pPr>
              <w:pStyle w:val="Tabletext"/>
            </w:pPr>
            <w:r w:rsidRPr="0059485A">
              <w:t>Partenaires financiers</w:t>
            </w:r>
          </w:p>
        </w:tc>
        <w:tc>
          <w:tcPr>
            <w:tcW w:w="861" w:type="pct"/>
            <w:hideMark/>
          </w:tcPr>
          <w:p w14:paraId="32D3355E" w14:textId="63283E7F" w:rsidR="00D614CF" w:rsidRPr="0059485A" w:rsidRDefault="00D614CF" w:rsidP="00D614CF">
            <w:pPr>
              <w:pStyle w:val="Tabletext"/>
            </w:pPr>
            <w:r w:rsidRPr="0059485A">
              <w:t>Investisseurs privés et publics</w:t>
            </w:r>
          </w:p>
        </w:tc>
        <w:tc>
          <w:tcPr>
            <w:tcW w:w="861" w:type="pct"/>
            <w:hideMark/>
          </w:tcPr>
          <w:p w14:paraId="6BB31377" w14:textId="065D3309" w:rsidR="00D614CF" w:rsidRPr="0059485A" w:rsidRDefault="00D614CF" w:rsidP="00D614CF">
            <w:pPr>
              <w:pStyle w:val="Tabletext"/>
            </w:pPr>
            <w:r w:rsidRPr="0059485A">
              <w:t>Investisseurs privés et publics</w:t>
            </w:r>
          </w:p>
        </w:tc>
        <w:tc>
          <w:tcPr>
            <w:tcW w:w="1016" w:type="pct"/>
            <w:hideMark/>
          </w:tcPr>
          <w:p w14:paraId="4FFE9E89" w14:textId="60053660" w:rsidR="00D614CF" w:rsidRPr="0059485A" w:rsidRDefault="00D614CF" w:rsidP="00D614CF">
            <w:pPr>
              <w:pStyle w:val="Tabletext"/>
            </w:pPr>
            <w:r w:rsidRPr="0059485A">
              <w:t>Investisseurs privés et publics, BEI</w:t>
            </w:r>
          </w:p>
        </w:tc>
        <w:tc>
          <w:tcPr>
            <w:tcW w:w="861" w:type="pct"/>
          </w:tcPr>
          <w:p w14:paraId="095168F8" w14:textId="77777777" w:rsidR="00D614CF" w:rsidRPr="0059485A" w:rsidRDefault="00D614CF" w:rsidP="00D614CF"/>
          <w:p w14:paraId="180668A8" w14:textId="1334B66E" w:rsidR="00D614CF" w:rsidRPr="0059485A" w:rsidRDefault="00D614CF" w:rsidP="00D614CF">
            <w:pPr>
              <w:pStyle w:val="Tabletext"/>
            </w:pPr>
            <w:r w:rsidRPr="0059485A">
              <w:t>Investisseurs historiques</w:t>
            </w:r>
          </w:p>
        </w:tc>
        <w:tc>
          <w:tcPr>
            <w:tcW w:w="700" w:type="pct"/>
            <w:hideMark/>
          </w:tcPr>
          <w:p w14:paraId="48E9A104" w14:textId="163867E9" w:rsidR="00D614CF" w:rsidRPr="0059485A" w:rsidRDefault="00D614CF" w:rsidP="00D614CF">
            <w:pPr>
              <w:pStyle w:val="Tabletext"/>
            </w:pPr>
            <w:r w:rsidRPr="0059485A">
              <w:t>Bpifrance, Banque des Territoires</w:t>
            </w:r>
          </w:p>
        </w:tc>
      </w:tr>
      <w:tr w:rsidR="00D614CF" w14:paraId="415FFA9A" w14:textId="77777777" w:rsidTr="005D1E80">
        <w:trPr>
          <w:cnfStyle w:val="000000100000" w:firstRow="0" w:lastRow="0" w:firstColumn="0" w:lastColumn="0" w:oddVBand="0" w:evenVBand="0" w:oddHBand="1" w:evenHBand="0" w:firstRowFirstColumn="0" w:firstRowLastColumn="0" w:lastRowFirstColumn="0" w:lastRowLastColumn="0"/>
        </w:trPr>
        <w:tc>
          <w:tcPr>
            <w:tcW w:w="701" w:type="pct"/>
            <w:hideMark/>
          </w:tcPr>
          <w:p w14:paraId="462E77E1" w14:textId="5E636B8F" w:rsidR="00D614CF" w:rsidRPr="00BD576D" w:rsidRDefault="00D614CF" w:rsidP="00D614CF">
            <w:pPr>
              <w:pStyle w:val="Tabletext"/>
            </w:pPr>
            <w:r w:rsidRPr="00BD576D">
              <w:t>Frais de gestion</w:t>
            </w:r>
            <w:r w:rsidR="00DC5F26" w:rsidRPr="00BD576D">
              <w:t xml:space="preserve"> élig</w:t>
            </w:r>
            <w:r w:rsidR="00455858" w:rsidRPr="00BD576D">
              <w:t xml:space="preserve">ibles </w:t>
            </w:r>
          </w:p>
        </w:tc>
        <w:tc>
          <w:tcPr>
            <w:tcW w:w="861" w:type="pct"/>
            <w:hideMark/>
          </w:tcPr>
          <w:p w14:paraId="67696FA9" w14:textId="77777777" w:rsidR="00E646AF" w:rsidRPr="00BD576D" w:rsidRDefault="00DD1A75" w:rsidP="00D614CF">
            <w:pPr>
              <w:pStyle w:val="Tabletext"/>
              <w:rPr>
                <w:bCs/>
              </w:rPr>
            </w:pPr>
            <w:r w:rsidRPr="00BD576D">
              <w:t>Les coûts et frais de gestion élig</w:t>
            </w:r>
            <w:r w:rsidR="007D7DFE" w:rsidRPr="00BD576D">
              <w:t xml:space="preserve">ibles </w:t>
            </w:r>
            <w:r w:rsidRPr="00BD576D">
              <w:t xml:space="preserve">ne sont </w:t>
            </w:r>
            <w:r w:rsidR="007D7DFE" w:rsidRPr="00BD576D">
              <w:t xml:space="preserve">pas </w:t>
            </w:r>
            <w:r w:rsidRPr="00BD576D">
              <w:t>plafonnés</w:t>
            </w:r>
            <w:r w:rsidR="007D7DFE" w:rsidRPr="00BD576D">
              <w:rPr>
                <w:b/>
              </w:rPr>
              <w:t xml:space="preserve"> </w:t>
            </w:r>
            <w:r w:rsidR="007D7DFE" w:rsidRPr="00BD576D">
              <w:rPr>
                <w:bCs/>
              </w:rPr>
              <w:t>si</w:t>
            </w:r>
            <w:r w:rsidRPr="00BD576D">
              <w:rPr>
                <w:bCs/>
              </w:rPr>
              <w:t xml:space="preserve"> le gestionnaire</w:t>
            </w:r>
            <w:r w:rsidR="007D7DFE" w:rsidRPr="00BD576D">
              <w:rPr>
                <w:bCs/>
              </w:rPr>
              <w:t xml:space="preserve"> a </w:t>
            </w:r>
            <w:r w:rsidRPr="00BD576D">
              <w:rPr>
                <w:bCs/>
              </w:rPr>
              <w:t>été sélectionné suivant une procédure de marché public</w:t>
            </w:r>
          </w:p>
          <w:p w14:paraId="3A7BC224" w14:textId="2F134DE7" w:rsidR="00633658" w:rsidRPr="00BD576D" w:rsidRDefault="00633658" w:rsidP="00D614CF">
            <w:pPr>
              <w:pStyle w:val="Tabletext"/>
              <w:rPr>
                <w:bCs/>
              </w:rPr>
            </w:pPr>
            <w:r w:rsidRPr="00BD576D">
              <w:rPr>
                <w:bCs/>
              </w:rPr>
              <w:t>Sinon</w:t>
            </w:r>
          </w:p>
          <w:p w14:paraId="4E7B6565" w14:textId="149D61E0" w:rsidR="00633658" w:rsidRPr="00BD576D" w:rsidRDefault="00633658" w:rsidP="00D614CF">
            <w:pPr>
              <w:pStyle w:val="Tabletext"/>
              <w:rPr>
                <w:bCs/>
              </w:rPr>
            </w:pPr>
            <w:r w:rsidRPr="00BD576D">
              <w:rPr>
                <w:bCs/>
              </w:rPr>
              <w:t xml:space="preserve">7% pour les fonds de prêts et de garantie, 15% pour les </w:t>
            </w:r>
            <w:r w:rsidR="00C0263D" w:rsidRPr="00BD576D">
              <w:rPr>
                <w:bCs/>
              </w:rPr>
              <w:t xml:space="preserve">fonds </w:t>
            </w:r>
            <w:proofErr w:type="spellStart"/>
            <w:r w:rsidR="00210660" w:rsidRPr="00BD576D">
              <w:rPr>
                <w:bCs/>
              </w:rPr>
              <w:t>equity</w:t>
            </w:r>
            <w:proofErr w:type="spellEnd"/>
          </w:p>
          <w:p w14:paraId="7FB9C1DC" w14:textId="7D22C8BC" w:rsidR="00633658" w:rsidRPr="00BD576D" w:rsidRDefault="00633658" w:rsidP="00D614CF">
            <w:pPr>
              <w:pStyle w:val="Tabletext"/>
              <w:rPr>
                <w:strike/>
              </w:rPr>
            </w:pPr>
          </w:p>
        </w:tc>
        <w:tc>
          <w:tcPr>
            <w:tcW w:w="861" w:type="pct"/>
            <w:hideMark/>
          </w:tcPr>
          <w:p w14:paraId="76C21570" w14:textId="77777777" w:rsidR="00C0263D" w:rsidRPr="00BD576D" w:rsidRDefault="00C0263D" w:rsidP="00C0263D">
            <w:pPr>
              <w:pStyle w:val="Tabletext"/>
              <w:rPr>
                <w:bCs/>
              </w:rPr>
            </w:pPr>
            <w:r w:rsidRPr="00BD576D">
              <w:t>Les coûts et frais de gestion éligibles ne sont pas plafonnés</w:t>
            </w:r>
            <w:r w:rsidRPr="00BD576D">
              <w:rPr>
                <w:b/>
              </w:rPr>
              <w:t xml:space="preserve"> </w:t>
            </w:r>
            <w:r w:rsidRPr="00BD576D">
              <w:rPr>
                <w:bCs/>
              </w:rPr>
              <w:t>si le gestionnaire a été sélectionné suivant une procédure de marché public</w:t>
            </w:r>
          </w:p>
          <w:p w14:paraId="0EBD4EFE" w14:textId="77777777" w:rsidR="00C0263D" w:rsidRPr="00BD576D" w:rsidRDefault="00C0263D" w:rsidP="00C0263D">
            <w:pPr>
              <w:pStyle w:val="Tabletext"/>
              <w:rPr>
                <w:bCs/>
              </w:rPr>
            </w:pPr>
            <w:r w:rsidRPr="00BD576D">
              <w:rPr>
                <w:bCs/>
              </w:rPr>
              <w:t>Sinon</w:t>
            </w:r>
          </w:p>
          <w:p w14:paraId="144F0DEF" w14:textId="161D3718" w:rsidR="00C0263D" w:rsidRPr="00BD576D" w:rsidRDefault="00C0263D" w:rsidP="00D614CF">
            <w:pPr>
              <w:pStyle w:val="Tabletext"/>
              <w:rPr>
                <w:bCs/>
              </w:rPr>
            </w:pPr>
            <w:r w:rsidRPr="00BD576D">
              <w:rPr>
                <w:bCs/>
              </w:rPr>
              <w:t xml:space="preserve">7% pour les fonds de prêts et de garantie, 15% pour les fonds </w:t>
            </w:r>
            <w:proofErr w:type="spellStart"/>
            <w:r w:rsidR="00210660" w:rsidRPr="00BD576D">
              <w:rPr>
                <w:bCs/>
              </w:rPr>
              <w:t>equity</w:t>
            </w:r>
            <w:proofErr w:type="spellEnd"/>
          </w:p>
        </w:tc>
        <w:tc>
          <w:tcPr>
            <w:tcW w:w="1016" w:type="pct"/>
            <w:hideMark/>
          </w:tcPr>
          <w:p w14:paraId="0F6EA242" w14:textId="20618866" w:rsidR="00210660" w:rsidRPr="00BD576D" w:rsidRDefault="00210660" w:rsidP="00210660">
            <w:pPr>
              <w:pStyle w:val="Tabletext"/>
              <w:rPr>
                <w:bCs/>
              </w:rPr>
            </w:pPr>
            <w:r w:rsidRPr="00BD576D">
              <w:rPr>
                <w:bCs/>
              </w:rPr>
              <w:t xml:space="preserve">Au niveau du fonds de fonds : </w:t>
            </w:r>
            <w:r w:rsidR="00C47514" w:rsidRPr="00BD576D">
              <w:rPr>
                <w:bCs/>
              </w:rPr>
              <w:t>5</w:t>
            </w:r>
            <w:r w:rsidRPr="00BD576D">
              <w:rPr>
                <w:bCs/>
              </w:rPr>
              <w:t xml:space="preserve">% pour les fonds de prêts et de garantie, </w:t>
            </w:r>
            <w:r w:rsidR="00C47514" w:rsidRPr="00BD576D">
              <w:rPr>
                <w:bCs/>
              </w:rPr>
              <w:t>7</w:t>
            </w:r>
            <w:r w:rsidRPr="00BD576D">
              <w:rPr>
                <w:bCs/>
              </w:rPr>
              <w:t>% pour les fonds de participation</w:t>
            </w:r>
          </w:p>
          <w:p w14:paraId="58E5A5C6" w14:textId="72766A5F" w:rsidR="00D8149A" w:rsidRPr="00BD576D" w:rsidRDefault="00210660" w:rsidP="00D8149A">
            <w:pPr>
              <w:pStyle w:val="Tabletext"/>
              <w:rPr>
                <w:bCs/>
              </w:rPr>
            </w:pPr>
            <w:r w:rsidRPr="00BD576D">
              <w:rPr>
                <w:bCs/>
              </w:rPr>
              <w:t xml:space="preserve">Au niveau des fonds spécifiques : </w:t>
            </w:r>
            <w:r w:rsidR="00D8149A" w:rsidRPr="00BD576D">
              <w:rPr>
                <w:bCs/>
              </w:rPr>
              <w:t xml:space="preserve">7% pour les fonds de prêts et de garantie, 15% pour les fonds </w:t>
            </w:r>
            <w:proofErr w:type="spellStart"/>
            <w:r w:rsidRPr="00BD576D">
              <w:rPr>
                <w:bCs/>
              </w:rPr>
              <w:t>equity</w:t>
            </w:r>
            <w:proofErr w:type="spellEnd"/>
          </w:p>
          <w:p w14:paraId="37D64ACA" w14:textId="0AD7A23D" w:rsidR="00D8149A" w:rsidRPr="00BD576D" w:rsidRDefault="00D8149A" w:rsidP="00D614CF">
            <w:pPr>
              <w:pStyle w:val="Tabletext"/>
              <w:rPr>
                <w:strike/>
              </w:rPr>
            </w:pPr>
          </w:p>
        </w:tc>
        <w:tc>
          <w:tcPr>
            <w:tcW w:w="861" w:type="pct"/>
            <w:hideMark/>
          </w:tcPr>
          <w:p w14:paraId="32FFED5E" w14:textId="3D74CF4C" w:rsidR="00D614CF" w:rsidRPr="00BD576D" w:rsidRDefault="00D614CF" w:rsidP="00D614CF">
            <w:pPr>
              <w:pStyle w:val="Tabletext"/>
            </w:pPr>
            <w:r w:rsidRPr="00BD576D">
              <w:t>Ne sont pas éligibles, mais peuvent être couverts au titre de l’Assistance Technique</w:t>
            </w:r>
          </w:p>
        </w:tc>
        <w:tc>
          <w:tcPr>
            <w:tcW w:w="700" w:type="pct"/>
            <w:hideMark/>
          </w:tcPr>
          <w:p w14:paraId="1F41FBA7" w14:textId="7778C07E" w:rsidR="00D614CF" w:rsidRPr="00BD576D" w:rsidRDefault="00D614CF" w:rsidP="00D614CF">
            <w:pPr>
              <w:pStyle w:val="Tabletext"/>
            </w:pPr>
            <w:r w:rsidRPr="00BD576D">
              <w:t>Non connu à ce jour mais implique plusieurs intermédiaires à savoir le groupe BEI, la Banque des Territoires, puis la société d’investissement</w:t>
            </w:r>
          </w:p>
        </w:tc>
      </w:tr>
      <w:tr w:rsidR="00D614CF" w14:paraId="2E1CBC7C" w14:textId="77777777" w:rsidTr="005D1E80">
        <w:trPr>
          <w:cnfStyle w:val="000000010000" w:firstRow="0" w:lastRow="0" w:firstColumn="0" w:lastColumn="0" w:oddVBand="0" w:evenVBand="0" w:oddHBand="0" w:evenHBand="1" w:firstRowFirstColumn="0" w:firstRowLastColumn="0" w:lastRowFirstColumn="0" w:lastRowLastColumn="0"/>
        </w:trPr>
        <w:tc>
          <w:tcPr>
            <w:tcW w:w="701" w:type="pct"/>
            <w:hideMark/>
          </w:tcPr>
          <w:p w14:paraId="1A1DC3FC" w14:textId="654E5F0B" w:rsidR="00D614CF" w:rsidRPr="0059485A" w:rsidRDefault="00D614CF" w:rsidP="00D614CF">
            <w:pPr>
              <w:pStyle w:val="Tabletext"/>
            </w:pPr>
            <w:r w:rsidRPr="0059485A">
              <w:t>Coût du changement</w:t>
            </w:r>
          </w:p>
        </w:tc>
        <w:tc>
          <w:tcPr>
            <w:tcW w:w="861" w:type="pct"/>
            <w:hideMark/>
          </w:tcPr>
          <w:p w14:paraId="02F44C74" w14:textId="62FE6379" w:rsidR="00D614CF" w:rsidRPr="0059485A" w:rsidRDefault="00D614CF" w:rsidP="00D614CF">
            <w:pPr>
              <w:pStyle w:val="Tabletext"/>
            </w:pPr>
            <w:r w:rsidRPr="0059485A">
              <w:t>Aucun</w:t>
            </w:r>
          </w:p>
        </w:tc>
        <w:tc>
          <w:tcPr>
            <w:tcW w:w="861" w:type="pct"/>
            <w:hideMark/>
          </w:tcPr>
          <w:p w14:paraId="7977D49E" w14:textId="77777777" w:rsidR="00D614CF" w:rsidRPr="0059485A" w:rsidRDefault="00D614CF" w:rsidP="00D614CF">
            <w:r w:rsidRPr="0059485A">
              <w:t>Nécessité d’avancer des crédits au démarrage de l’instrument avant de récupérer les crédits recyclables des fonds arrivés à extinction</w:t>
            </w:r>
          </w:p>
          <w:p w14:paraId="4DF38DE2" w14:textId="05249EB9" w:rsidR="00D614CF" w:rsidRPr="0059485A" w:rsidRDefault="00D614CF" w:rsidP="00D614CF">
            <w:pPr>
              <w:pStyle w:val="Tabletext"/>
            </w:pPr>
            <w:r w:rsidRPr="0059485A">
              <w:t>Temporalité adéquate de la relance post-Covid</w:t>
            </w:r>
          </w:p>
        </w:tc>
        <w:tc>
          <w:tcPr>
            <w:tcW w:w="1016" w:type="pct"/>
          </w:tcPr>
          <w:p w14:paraId="6D5B5436" w14:textId="77777777" w:rsidR="00D614CF" w:rsidRPr="00BD576D" w:rsidRDefault="00D614CF" w:rsidP="00D614CF">
            <w:r w:rsidRPr="00BD576D">
              <w:t>Onéreux à mettre en place : entre 50K€ et 100K€ de conseil juridique initial</w:t>
            </w:r>
          </w:p>
          <w:p w14:paraId="63BA7A66" w14:textId="77777777" w:rsidR="00D614CF" w:rsidRPr="00BD576D" w:rsidRDefault="00D614CF" w:rsidP="00D614CF"/>
          <w:p w14:paraId="03F692B8" w14:textId="3095F513" w:rsidR="00D614CF" w:rsidRPr="00BD576D" w:rsidRDefault="00D614CF" w:rsidP="00D614CF">
            <w:r w:rsidRPr="00BD576D">
              <w:t xml:space="preserve">Chronophage et très complexe à mettre en </w:t>
            </w:r>
            <w:r w:rsidR="00BD576D" w:rsidRPr="00BD576D">
              <w:t>place</w:t>
            </w:r>
            <w:r w:rsidRPr="00BD576D">
              <w:t xml:space="preserve">, il est important de prévoir de 18 mois à 24 mois avant le début de programmation le montage d’un tel fonds, avec une importante mobilisation des services de la Région. </w:t>
            </w:r>
          </w:p>
          <w:p w14:paraId="25675365" w14:textId="77777777" w:rsidR="00D614CF" w:rsidRPr="00BD576D" w:rsidRDefault="00D614CF" w:rsidP="00D614CF"/>
          <w:p w14:paraId="46485C2A" w14:textId="07F7062A" w:rsidR="00D614CF" w:rsidRPr="00C37B61" w:rsidRDefault="00D614CF" w:rsidP="00D614CF">
            <w:pPr>
              <w:pStyle w:val="Tabletext"/>
              <w:rPr>
                <w:highlight w:val="cyan"/>
              </w:rPr>
            </w:pPr>
            <w:r w:rsidRPr="00BD576D">
              <w:t>Il faut par ailleurs prévoir le temps de contractualisation de ce Fonds de Fonds avec les intermédiaires financiers des Fonds.</w:t>
            </w:r>
          </w:p>
        </w:tc>
        <w:tc>
          <w:tcPr>
            <w:tcW w:w="861" w:type="pct"/>
            <w:hideMark/>
          </w:tcPr>
          <w:p w14:paraId="61048BA0" w14:textId="5AC0B584" w:rsidR="00D614CF" w:rsidRPr="0059485A" w:rsidRDefault="00D614CF" w:rsidP="00D614CF">
            <w:pPr>
              <w:pStyle w:val="Tabletext"/>
            </w:pPr>
            <w:r w:rsidRPr="0059485A">
              <w:t>Aucun</w:t>
            </w:r>
          </w:p>
        </w:tc>
        <w:tc>
          <w:tcPr>
            <w:tcW w:w="700" w:type="pct"/>
            <w:hideMark/>
          </w:tcPr>
          <w:p w14:paraId="066D6733" w14:textId="5F1A4015" w:rsidR="00D614CF" w:rsidRPr="0059485A" w:rsidRDefault="00D614CF" w:rsidP="00D614CF">
            <w:pPr>
              <w:pStyle w:val="Tabletext"/>
            </w:pPr>
            <w:r w:rsidRPr="0059485A">
              <w:t>Aucun</w:t>
            </w:r>
          </w:p>
        </w:tc>
      </w:tr>
      <w:tr w:rsidR="00D614CF" w14:paraId="63243252" w14:textId="77777777" w:rsidTr="005D1E80">
        <w:trPr>
          <w:cnfStyle w:val="000000100000" w:firstRow="0" w:lastRow="0" w:firstColumn="0" w:lastColumn="0" w:oddVBand="0" w:evenVBand="0" w:oddHBand="1" w:evenHBand="0" w:firstRowFirstColumn="0" w:firstRowLastColumn="0" w:lastRowFirstColumn="0" w:lastRowLastColumn="0"/>
        </w:trPr>
        <w:tc>
          <w:tcPr>
            <w:tcW w:w="701" w:type="pct"/>
            <w:hideMark/>
          </w:tcPr>
          <w:p w14:paraId="1F77BA4A" w14:textId="1DB5C3FB" w:rsidR="00D614CF" w:rsidRPr="0059485A" w:rsidRDefault="00D614CF" w:rsidP="00D614CF">
            <w:pPr>
              <w:pStyle w:val="Tabletext"/>
            </w:pPr>
            <w:r w:rsidRPr="0059485A">
              <w:t>Utilisation des crédits UE</w:t>
            </w:r>
          </w:p>
        </w:tc>
        <w:tc>
          <w:tcPr>
            <w:tcW w:w="861" w:type="pct"/>
            <w:hideMark/>
          </w:tcPr>
          <w:p w14:paraId="7A7AFC34" w14:textId="77777777" w:rsidR="00D614CF" w:rsidRPr="0059485A" w:rsidRDefault="00D614CF" w:rsidP="00D614CF">
            <w:r w:rsidRPr="0059485A">
              <w:t>Complexité de la mise en œuvre d’une passation de marché (sélection d’un opérateur financier) pour la Région</w:t>
            </w:r>
          </w:p>
          <w:p w14:paraId="5B2A53B8" w14:textId="77777777" w:rsidR="00D614CF" w:rsidRPr="0059485A" w:rsidRDefault="00D614CF" w:rsidP="00D614CF">
            <w:r w:rsidRPr="0059485A">
              <w:t>Complexité de la mise en œuvre et du suivi pour l’opérateur financier</w:t>
            </w:r>
          </w:p>
          <w:p w14:paraId="103BB86A" w14:textId="01DAAB5D" w:rsidR="00D614CF" w:rsidRPr="0059485A" w:rsidRDefault="00D614CF" w:rsidP="00D614CF">
            <w:pPr>
              <w:pStyle w:val="Tabletext"/>
            </w:pPr>
            <w:r w:rsidRPr="0059485A">
              <w:t>Absence d’un chargé de suivi IF/FESI</w:t>
            </w:r>
          </w:p>
        </w:tc>
        <w:tc>
          <w:tcPr>
            <w:tcW w:w="861" w:type="pct"/>
            <w:hideMark/>
          </w:tcPr>
          <w:p w14:paraId="62F669BA" w14:textId="77777777" w:rsidR="00D614CF" w:rsidRPr="0059485A" w:rsidRDefault="00D614CF" w:rsidP="00D614CF">
            <w:r w:rsidRPr="0059485A">
              <w:t>Complexité de la mise en œuvre d’une passation de marché (sélection d’un opérateur financier) pour la Région</w:t>
            </w:r>
          </w:p>
          <w:p w14:paraId="2242ED19" w14:textId="77777777" w:rsidR="00D614CF" w:rsidRPr="0059485A" w:rsidRDefault="00D614CF" w:rsidP="00D614CF">
            <w:r w:rsidRPr="0059485A">
              <w:t>Complexité de la mise en œuvre et du suivi pour l’opérateur financier</w:t>
            </w:r>
          </w:p>
          <w:p w14:paraId="29A5B72E" w14:textId="7C8E9A77" w:rsidR="00D614CF" w:rsidRPr="0059485A" w:rsidRDefault="00D614CF" w:rsidP="00D614CF">
            <w:pPr>
              <w:pStyle w:val="Tabletext"/>
            </w:pPr>
            <w:r w:rsidRPr="0059485A">
              <w:t>Absence d’un chargé de suivi IF/FESI</w:t>
            </w:r>
          </w:p>
        </w:tc>
        <w:tc>
          <w:tcPr>
            <w:tcW w:w="1016" w:type="pct"/>
            <w:hideMark/>
          </w:tcPr>
          <w:p w14:paraId="02360379" w14:textId="77777777" w:rsidR="00D614CF" w:rsidRPr="0059485A" w:rsidRDefault="00D614CF" w:rsidP="00D614CF">
            <w:r w:rsidRPr="0059485A">
              <w:t>Demandes de décaissement de FEDER se font au niveau du Fonds de Fonds et non au niveau de chaque outil</w:t>
            </w:r>
          </w:p>
          <w:p w14:paraId="710AA6CD" w14:textId="6D2FE59D" w:rsidR="00D614CF" w:rsidRPr="0059485A" w:rsidRDefault="00D614CF" w:rsidP="00D614CF">
            <w:pPr>
              <w:pStyle w:val="Tabletext"/>
            </w:pPr>
            <w:r w:rsidRPr="0059485A">
              <w:t>Permet d’attirer des financements mis à disposition par l’ex-plan Junker (aujourd’hui Invest EU)</w:t>
            </w:r>
          </w:p>
        </w:tc>
        <w:tc>
          <w:tcPr>
            <w:tcW w:w="861" w:type="pct"/>
            <w:hideMark/>
          </w:tcPr>
          <w:p w14:paraId="50CC95FA" w14:textId="77777777" w:rsidR="00D614CF" w:rsidRPr="0059485A" w:rsidRDefault="00D614CF" w:rsidP="00D614CF">
            <w:r w:rsidRPr="0059485A">
              <w:t>Aisance de la passation de marché</w:t>
            </w:r>
          </w:p>
          <w:p w14:paraId="53A2879D" w14:textId="77777777" w:rsidR="00D614CF" w:rsidRPr="0059485A" w:rsidRDefault="00D614CF" w:rsidP="00D614CF">
            <w:r w:rsidRPr="0059485A">
              <w:t>Complexité de la mise en œuvre du suivi pour l’opérateur financier</w:t>
            </w:r>
          </w:p>
          <w:p w14:paraId="6FE8B45C" w14:textId="1D396C2D" w:rsidR="00D614CF" w:rsidRPr="0059485A" w:rsidRDefault="00D614CF" w:rsidP="00D614CF">
            <w:pPr>
              <w:pStyle w:val="Tabletext"/>
            </w:pPr>
            <w:r w:rsidRPr="0059485A">
              <w:t>Absence d’un chargé de suivi IF/FESI</w:t>
            </w:r>
          </w:p>
        </w:tc>
        <w:tc>
          <w:tcPr>
            <w:tcW w:w="700" w:type="pct"/>
            <w:hideMark/>
          </w:tcPr>
          <w:p w14:paraId="4D5C25D5" w14:textId="41C84750" w:rsidR="00D614CF" w:rsidRPr="0059485A" w:rsidRDefault="00D614CF" w:rsidP="00D614CF">
            <w:pPr>
              <w:pStyle w:val="Tabletext"/>
            </w:pPr>
            <w:r w:rsidRPr="0059485A">
              <w:t>Sous la responsabilité du groupe BEI</w:t>
            </w:r>
          </w:p>
        </w:tc>
      </w:tr>
    </w:tbl>
    <w:p w14:paraId="5AC027CB" w14:textId="77777777" w:rsidR="0009421E" w:rsidRDefault="0009421E" w:rsidP="00F42170">
      <w:pPr>
        <w:pStyle w:val="BodyText"/>
        <w:sectPr w:rsidR="0009421E" w:rsidSect="005D1E80">
          <w:footerReference w:type="default" r:id="rId37"/>
          <w:pgSz w:w="16839" w:h="11907" w:orient="landscape" w:code="9"/>
          <w:pgMar w:top="1134" w:right="1701" w:bottom="1701" w:left="1701" w:header="709" w:footer="590" w:gutter="0"/>
          <w:cols w:space="708"/>
          <w:docGrid w:linePitch="360"/>
        </w:sectPr>
      </w:pPr>
    </w:p>
    <w:p w14:paraId="5EE0B372" w14:textId="103CDFE9" w:rsidR="00AD0F0C" w:rsidRDefault="00CD7E04" w:rsidP="00BE0776">
      <w:pPr>
        <w:pStyle w:val="BodyText0"/>
        <w:rPr>
          <w:bCs/>
        </w:rPr>
      </w:pPr>
      <w:r>
        <w:t xml:space="preserve">En comparaison </w:t>
      </w:r>
      <w:r w:rsidR="009636D6">
        <w:t xml:space="preserve">d’avec le Volet Entreprise de l’évaluation ex-ante, </w:t>
      </w:r>
      <w:r w:rsidR="008553F4">
        <w:t>l’expérience régionale et l’acculturation de l’écosystème apparaît plus faible</w:t>
      </w:r>
      <w:r w:rsidR="005C1076">
        <w:t xml:space="preserve"> sur ce Volet Projet</w:t>
      </w:r>
      <w:r w:rsidR="007A3819">
        <w:t>s</w:t>
      </w:r>
      <w:r w:rsidR="005C1076">
        <w:t xml:space="preserve"> de Territoire. Ainsi, une grande partie des interlocuteurs initialement sollicités </w:t>
      </w:r>
      <w:r w:rsidR="007A3819">
        <w:t>n’ont</w:t>
      </w:r>
      <w:r w:rsidR="005C1076">
        <w:t xml:space="preserve"> pas répondu à nos demandes d’entretiens et une partie d’entre eux </w:t>
      </w:r>
      <w:r w:rsidR="00B04D7E">
        <w:t>n’a</w:t>
      </w:r>
      <w:r w:rsidR="005C1076">
        <w:t xml:space="preserve"> pas manifesté d’appétence ou d’attente particulière vis-à-vis d’instruments financiers. </w:t>
      </w:r>
      <w:r w:rsidR="00F86F1B">
        <w:t xml:space="preserve">Ainsi, pour ces instruments, il apparaît d’autant plus important de </w:t>
      </w:r>
      <w:r w:rsidR="00F86F1B" w:rsidRPr="00F86F1B">
        <w:rPr>
          <w:b/>
        </w:rPr>
        <w:t xml:space="preserve">mobiliser les ressources nécessaires et dédiées à l’animation et </w:t>
      </w:r>
      <w:r w:rsidR="00F86F1B">
        <w:rPr>
          <w:b/>
        </w:rPr>
        <w:t>au</w:t>
      </w:r>
      <w:r w:rsidR="00F86F1B" w:rsidRPr="00F86F1B">
        <w:rPr>
          <w:b/>
        </w:rPr>
        <w:t xml:space="preserve"> suivi de l’intervention régionale via les instruments financiers.</w:t>
      </w:r>
      <w:r w:rsidR="00F86F1B">
        <w:rPr>
          <w:b/>
        </w:rPr>
        <w:t xml:space="preserve"> </w:t>
      </w:r>
      <w:r w:rsidR="00486439">
        <w:rPr>
          <w:bCs/>
        </w:rPr>
        <w:t xml:space="preserve">Par ailleurs, une part non négligeable des besoins identifiés (soutien </w:t>
      </w:r>
      <w:r w:rsidR="00B04D7E">
        <w:rPr>
          <w:bCs/>
        </w:rPr>
        <w:t>à la R&amp;D hydrogène, démonstrateurs EmR, structuration de la filière EnergieSprong) apparaît pouvoir être financée par des outils généralistes existants (Nord France Amorçage, FINORPA, FINOVAM…)</w:t>
      </w:r>
      <w:r w:rsidR="00C85AF3">
        <w:rPr>
          <w:bCs/>
        </w:rPr>
        <w:t>. En conséquence</w:t>
      </w:r>
      <w:r w:rsidR="00C85AF3" w:rsidRPr="001F7B18">
        <w:rPr>
          <w:b/>
        </w:rPr>
        <w:t xml:space="preserve">, un appui sur la </w:t>
      </w:r>
      <w:r w:rsidR="00C85AF3">
        <w:rPr>
          <w:b/>
        </w:rPr>
        <w:t>Mission Hauts-de-France Financement</w:t>
      </w:r>
      <w:r w:rsidR="00C85AF3">
        <w:rPr>
          <w:bCs/>
        </w:rPr>
        <w:t xml:space="preserve"> dans la mise en place des instruments</w:t>
      </w:r>
      <w:r w:rsidR="0003601A">
        <w:rPr>
          <w:bCs/>
        </w:rPr>
        <w:t xml:space="preserve">, en combinaison avec un </w:t>
      </w:r>
      <w:r w:rsidR="0003601A" w:rsidRPr="001F7B18">
        <w:rPr>
          <w:b/>
        </w:rPr>
        <w:t xml:space="preserve">fort lien avec les directions opérationnelles régionales </w:t>
      </w:r>
      <w:r w:rsidR="0003601A">
        <w:rPr>
          <w:bCs/>
        </w:rPr>
        <w:t xml:space="preserve">(Direction </w:t>
      </w:r>
      <w:r w:rsidR="00FC7CE2">
        <w:rPr>
          <w:bCs/>
        </w:rPr>
        <w:t>Troisième Révolution Industrielle</w:t>
      </w:r>
      <w:r w:rsidR="0003601A">
        <w:rPr>
          <w:bCs/>
        </w:rPr>
        <w:t>,</w:t>
      </w:r>
      <w:r w:rsidR="00FC7CE2">
        <w:rPr>
          <w:bCs/>
        </w:rPr>
        <w:t xml:space="preserve"> Direction de l’Aménagement du Territoire et Logement) </w:t>
      </w:r>
      <w:r w:rsidR="00AD0F0C">
        <w:rPr>
          <w:bCs/>
        </w:rPr>
        <w:t xml:space="preserve">apparaît majeur dans la bonne mise en place des instruments préconisés. </w:t>
      </w:r>
    </w:p>
    <w:p w14:paraId="2A150D99" w14:textId="2A488ABD" w:rsidR="00486439" w:rsidRPr="00C85AF3" w:rsidRDefault="00AD0F0C" w:rsidP="00BE0776">
      <w:pPr>
        <w:pStyle w:val="BodyText0"/>
        <w:rPr>
          <w:bCs/>
        </w:rPr>
      </w:pPr>
      <w:r>
        <w:rPr>
          <w:bCs/>
        </w:rPr>
        <w:t xml:space="preserve">Par ailleurs, </w:t>
      </w:r>
      <w:r w:rsidR="00EB1F1F">
        <w:rPr>
          <w:bCs/>
        </w:rPr>
        <w:t xml:space="preserve">en raison de cette faible acculturation de l’écosystème, les préconisations visent à s’appuyer sur des </w:t>
      </w:r>
      <w:r w:rsidR="00D42137">
        <w:rPr>
          <w:bCs/>
        </w:rPr>
        <w:t xml:space="preserve">segments de marché actuellement couverts par des </w:t>
      </w:r>
      <w:r w:rsidR="00EB1F1F">
        <w:rPr>
          <w:bCs/>
        </w:rPr>
        <w:t xml:space="preserve">opérateurs reconnus et </w:t>
      </w:r>
      <w:r w:rsidR="00D42137">
        <w:rPr>
          <w:bCs/>
        </w:rPr>
        <w:t xml:space="preserve">habitués à la gestion de fonds FEDER (Rev3 Capital, SEM Energies Hauts-de-France, SPEE). </w:t>
      </w:r>
      <w:r w:rsidR="005B20A1">
        <w:rPr>
          <w:bCs/>
        </w:rPr>
        <w:t xml:space="preserve">Pour les pistes non </w:t>
      </w:r>
      <w:r w:rsidR="00EA7AA3">
        <w:rPr>
          <w:bCs/>
        </w:rPr>
        <w:t>financées</w:t>
      </w:r>
      <w:r w:rsidR="005B20A1">
        <w:rPr>
          <w:bCs/>
        </w:rPr>
        <w:t xml:space="preserve"> par</w:t>
      </w:r>
      <w:r w:rsidR="00200256">
        <w:rPr>
          <w:bCs/>
        </w:rPr>
        <w:t xml:space="preserve"> les</w:t>
      </w:r>
      <w:r w:rsidR="005B20A1">
        <w:rPr>
          <w:bCs/>
        </w:rPr>
        <w:t xml:space="preserve"> FESI, </w:t>
      </w:r>
      <w:r w:rsidR="00EA7AA3">
        <w:rPr>
          <w:bCs/>
        </w:rPr>
        <w:t xml:space="preserve">et en particulier la réhabilitation urbaine (bâti public et friche), </w:t>
      </w:r>
      <w:r w:rsidR="005B20A1">
        <w:rPr>
          <w:bCs/>
        </w:rPr>
        <w:t xml:space="preserve">un préalable important apparaît </w:t>
      </w:r>
      <w:r w:rsidR="00EA7AA3">
        <w:rPr>
          <w:bCs/>
        </w:rPr>
        <w:t>de faire émerger un acteur régional clairement identifié et des compétences d’ingénierie encore peu présentes, par l’intermédiaire d’une SPL ou d’une SEM de revitalisation.</w:t>
      </w:r>
    </w:p>
    <w:p w14:paraId="6458BD8E" w14:textId="2CFF92C8" w:rsidR="00E65345" w:rsidRDefault="00EA7AA3" w:rsidP="00347A42">
      <w:pPr>
        <w:pStyle w:val="BodyText"/>
      </w:pPr>
      <w:r>
        <w:t>Ainsi, c</w:t>
      </w:r>
      <w:r w:rsidR="00E65345">
        <w:t>ompte tenu des pistes d’intervention régionales envisagées et des options de gouvernance proposée</w:t>
      </w:r>
      <w:r w:rsidR="001F7B18">
        <w:t>s</w:t>
      </w:r>
      <w:r w:rsidR="00E65345">
        <w:t xml:space="preserve"> par la Commission Européenne pour la gestion des FEDER sur les instruments financiers, et afin d’assurer la pérennisation des outils régionaux ayant fait la preuve de leur pertinence et efficacité sur le territoire, nous proposons une structuration telle que présentée dans le schéma ci-dessous :</w:t>
      </w:r>
    </w:p>
    <w:p w14:paraId="277B0A2B" w14:textId="04E3283A" w:rsidR="008E1729" w:rsidRDefault="00950C23" w:rsidP="00341792">
      <w:pPr>
        <w:pStyle w:val="BodyText"/>
        <w:jc w:val="center"/>
      </w:pPr>
      <w:r>
        <w:rPr>
          <w:noProof/>
        </w:rPr>
        <w:drawing>
          <wp:inline distT="0" distB="0" distL="0" distR="0" wp14:anchorId="32C419A7" wp14:editId="5D187BE1">
            <wp:extent cx="6084727" cy="219970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268" cy="2203873"/>
                    </a:xfrm>
                    <a:prstGeom prst="rect">
                      <a:avLst/>
                    </a:prstGeom>
                    <a:noFill/>
                  </pic:spPr>
                </pic:pic>
              </a:graphicData>
            </a:graphic>
          </wp:inline>
        </w:drawing>
      </w:r>
    </w:p>
    <w:p w14:paraId="3C16C815" w14:textId="392A4183" w:rsidR="00341792" w:rsidRPr="002A2329" w:rsidRDefault="00341792" w:rsidP="00341792">
      <w:pPr>
        <w:pStyle w:val="BodyText"/>
        <w:jc w:val="center"/>
        <w:sectPr w:rsidR="00341792" w:rsidRPr="002A2329" w:rsidSect="0009421E">
          <w:pgSz w:w="11907" w:h="16839" w:code="9"/>
          <w:pgMar w:top="1701" w:right="1701" w:bottom="1701" w:left="1134" w:header="709" w:footer="590" w:gutter="0"/>
          <w:cols w:space="708"/>
          <w:docGrid w:linePitch="360"/>
        </w:sectPr>
      </w:pPr>
      <w:r>
        <w:rPr>
          <w:noProof/>
        </w:rPr>
        <w:drawing>
          <wp:inline distT="0" distB="0" distL="0" distR="0" wp14:anchorId="4D76B22E" wp14:editId="611D3940">
            <wp:extent cx="5645150" cy="56070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5150" cy="560705"/>
                    </a:xfrm>
                    <a:prstGeom prst="rect">
                      <a:avLst/>
                    </a:prstGeom>
                    <a:noFill/>
                  </pic:spPr>
                </pic:pic>
              </a:graphicData>
            </a:graphic>
          </wp:inline>
        </w:drawing>
      </w:r>
    </w:p>
    <w:p w14:paraId="1473A05F" w14:textId="533F07FA" w:rsidR="00134D50" w:rsidRPr="00134D50" w:rsidRDefault="00A55D5A" w:rsidP="00134D50">
      <w:pPr>
        <w:pStyle w:val="AppendixHeading1"/>
      </w:pPr>
      <w:bookmarkStart w:id="149" w:name="_Toc93390303"/>
      <w:r>
        <w:t>Structures interrogées en entretien diagnostic</w:t>
      </w:r>
      <w:bookmarkEnd w:id="149"/>
    </w:p>
    <w:tbl>
      <w:tblPr>
        <w:tblStyle w:val="TechnopolisTable"/>
        <w:tblW w:w="0" w:type="auto"/>
        <w:tblLook w:val="04A0" w:firstRow="1" w:lastRow="0" w:firstColumn="1" w:lastColumn="0" w:noHBand="0" w:noVBand="1"/>
      </w:tblPr>
      <w:tblGrid>
        <w:gridCol w:w="2265"/>
        <w:gridCol w:w="2265"/>
        <w:gridCol w:w="2266"/>
        <w:gridCol w:w="2266"/>
      </w:tblGrid>
      <w:tr w:rsidR="00EB1CE2" w14:paraId="45916D21" w14:textId="77777777" w:rsidTr="00EB1CE2">
        <w:trPr>
          <w:cnfStyle w:val="100000000000" w:firstRow="1" w:lastRow="0" w:firstColumn="0" w:lastColumn="0" w:oddVBand="0" w:evenVBand="0" w:oddHBand="0" w:evenHBand="0" w:firstRowFirstColumn="0" w:firstRowLastColumn="0" w:lastRowFirstColumn="0" w:lastRowLastColumn="0"/>
        </w:trPr>
        <w:tc>
          <w:tcPr>
            <w:tcW w:w="2265" w:type="dxa"/>
          </w:tcPr>
          <w:p w14:paraId="613FB3CC" w14:textId="6DA60272" w:rsidR="00EB1CE2" w:rsidRDefault="00EB1CE2" w:rsidP="00EB1CE2">
            <w:pPr>
              <w:pStyle w:val="Tabletext"/>
            </w:pPr>
            <w:r>
              <w:t>Structure</w:t>
            </w:r>
          </w:p>
        </w:tc>
        <w:tc>
          <w:tcPr>
            <w:tcW w:w="2265" w:type="dxa"/>
          </w:tcPr>
          <w:p w14:paraId="63E182C2" w14:textId="34A746B4" w:rsidR="00EB1CE2" w:rsidRDefault="00EB1CE2" w:rsidP="00EB1CE2">
            <w:pPr>
              <w:pStyle w:val="Tabletext"/>
            </w:pPr>
            <w:r>
              <w:t>Nom</w:t>
            </w:r>
          </w:p>
        </w:tc>
        <w:tc>
          <w:tcPr>
            <w:tcW w:w="2266" w:type="dxa"/>
          </w:tcPr>
          <w:p w14:paraId="5D622AA9" w14:textId="33E4D176" w:rsidR="00EB1CE2" w:rsidRDefault="00EB1CE2" w:rsidP="00EB1CE2">
            <w:pPr>
              <w:pStyle w:val="Tabletext"/>
            </w:pPr>
            <w:r>
              <w:t>Prénom</w:t>
            </w:r>
          </w:p>
        </w:tc>
        <w:tc>
          <w:tcPr>
            <w:tcW w:w="2266" w:type="dxa"/>
          </w:tcPr>
          <w:p w14:paraId="1A0B7B99" w14:textId="43130215" w:rsidR="00EB1CE2" w:rsidRDefault="00EB1CE2" w:rsidP="00EB1CE2">
            <w:pPr>
              <w:pStyle w:val="Tabletext"/>
            </w:pPr>
            <w:r>
              <w:t>Poste</w:t>
            </w:r>
          </w:p>
        </w:tc>
      </w:tr>
      <w:tr w:rsidR="00EB1CE2" w14:paraId="7E1B7691"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028C76D6" w14:textId="5018A1A6" w:rsidR="00EB1CE2" w:rsidRDefault="00DC4759" w:rsidP="00EB1CE2">
            <w:pPr>
              <w:pStyle w:val="Tabletext"/>
            </w:pPr>
            <w:r w:rsidRPr="00C46A9A">
              <w:t>ADEME</w:t>
            </w:r>
          </w:p>
        </w:tc>
        <w:tc>
          <w:tcPr>
            <w:tcW w:w="2265" w:type="dxa"/>
          </w:tcPr>
          <w:p w14:paraId="61B7926F" w14:textId="5BFE3AE4" w:rsidR="00EB1CE2" w:rsidRDefault="00DC4759" w:rsidP="00EB1CE2">
            <w:pPr>
              <w:pStyle w:val="Tabletext"/>
            </w:pPr>
            <w:r w:rsidRPr="00C46A9A">
              <w:t>Pignon</w:t>
            </w:r>
          </w:p>
        </w:tc>
        <w:tc>
          <w:tcPr>
            <w:tcW w:w="2266" w:type="dxa"/>
          </w:tcPr>
          <w:p w14:paraId="5A7989FC" w14:textId="43261D1C" w:rsidR="00EB1CE2" w:rsidRDefault="00DC4759" w:rsidP="00EB1CE2">
            <w:pPr>
              <w:pStyle w:val="Tabletext"/>
            </w:pPr>
            <w:r w:rsidRPr="00C46A9A">
              <w:t>Hervé</w:t>
            </w:r>
          </w:p>
        </w:tc>
        <w:tc>
          <w:tcPr>
            <w:tcW w:w="2266" w:type="dxa"/>
          </w:tcPr>
          <w:p w14:paraId="03AF7B57" w14:textId="2837A4AC" w:rsidR="00EB1CE2" w:rsidRDefault="00DC4759" w:rsidP="00EB1CE2">
            <w:pPr>
              <w:pStyle w:val="Tabletext"/>
            </w:pPr>
            <w:r w:rsidRPr="00C46A9A">
              <w:t>Directeur régional</w:t>
            </w:r>
          </w:p>
        </w:tc>
      </w:tr>
      <w:tr w:rsidR="009C70A8" w14:paraId="1E6C36DF"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77D3FD61" w14:textId="6AF79CD4" w:rsidR="009C70A8" w:rsidRPr="00C46A9A" w:rsidRDefault="009C70A8" w:rsidP="00EB1CE2">
            <w:pPr>
              <w:pStyle w:val="Tabletext"/>
            </w:pPr>
            <w:r>
              <w:t>ADEME</w:t>
            </w:r>
          </w:p>
        </w:tc>
        <w:tc>
          <w:tcPr>
            <w:tcW w:w="2265" w:type="dxa"/>
          </w:tcPr>
          <w:p w14:paraId="1AAC693A" w14:textId="52E53680" w:rsidR="009C70A8" w:rsidRPr="00C46A9A" w:rsidRDefault="009C70A8" w:rsidP="00EB1CE2">
            <w:pPr>
              <w:pStyle w:val="Tabletext"/>
            </w:pPr>
            <w:proofErr w:type="spellStart"/>
            <w:r>
              <w:t>Teys</w:t>
            </w:r>
            <w:proofErr w:type="spellEnd"/>
          </w:p>
        </w:tc>
        <w:tc>
          <w:tcPr>
            <w:tcW w:w="2266" w:type="dxa"/>
          </w:tcPr>
          <w:p w14:paraId="634D9AA1" w14:textId="132FC851" w:rsidR="009C70A8" w:rsidRPr="00C46A9A" w:rsidRDefault="009C70A8" w:rsidP="00EB1CE2">
            <w:pPr>
              <w:pStyle w:val="Tabletext"/>
            </w:pPr>
            <w:r>
              <w:t>Emmanuel</w:t>
            </w:r>
          </w:p>
        </w:tc>
        <w:tc>
          <w:tcPr>
            <w:tcW w:w="2266" w:type="dxa"/>
          </w:tcPr>
          <w:p w14:paraId="3331F40C" w14:textId="52F43F8C" w:rsidR="009C70A8" w:rsidRPr="00C46A9A" w:rsidRDefault="002D67BF" w:rsidP="00EB1CE2">
            <w:pPr>
              <w:pStyle w:val="Tabletext"/>
            </w:pPr>
            <w:r>
              <w:t xml:space="preserve">Direction Régionale </w:t>
            </w:r>
            <w:proofErr w:type="spellStart"/>
            <w:r>
              <w:t>HdF</w:t>
            </w:r>
            <w:proofErr w:type="spellEnd"/>
          </w:p>
        </w:tc>
      </w:tr>
      <w:tr w:rsidR="009C70A8" w14:paraId="0870510E"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11B3900F" w14:textId="682BFF64" w:rsidR="009C70A8" w:rsidRPr="00C46A9A" w:rsidRDefault="009C70A8" w:rsidP="00EB1CE2">
            <w:pPr>
              <w:pStyle w:val="Tabletext"/>
            </w:pPr>
            <w:r>
              <w:t>Agence d’urbanisme de Lille</w:t>
            </w:r>
          </w:p>
        </w:tc>
        <w:tc>
          <w:tcPr>
            <w:tcW w:w="2265" w:type="dxa"/>
          </w:tcPr>
          <w:p w14:paraId="30AA4E51" w14:textId="164459CB" w:rsidR="009C70A8" w:rsidRPr="00C46A9A" w:rsidRDefault="009C70A8" w:rsidP="00EB1CE2">
            <w:pPr>
              <w:pStyle w:val="Tabletext"/>
            </w:pPr>
            <w:r>
              <w:t>Maze</w:t>
            </w:r>
          </w:p>
        </w:tc>
        <w:tc>
          <w:tcPr>
            <w:tcW w:w="2266" w:type="dxa"/>
          </w:tcPr>
          <w:p w14:paraId="108B3C1D" w14:textId="1B0F7BD1" w:rsidR="009C70A8" w:rsidRPr="00C46A9A" w:rsidRDefault="009C70A8" w:rsidP="00EB1CE2">
            <w:pPr>
              <w:pStyle w:val="Tabletext"/>
            </w:pPr>
            <w:r>
              <w:t>Anabelle</w:t>
            </w:r>
          </w:p>
        </w:tc>
        <w:tc>
          <w:tcPr>
            <w:tcW w:w="2266" w:type="dxa"/>
          </w:tcPr>
          <w:p w14:paraId="488DF156" w14:textId="4C246AE2" w:rsidR="009C70A8" w:rsidRPr="00C46A9A" w:rsidRDefault="00F10287" w:rsidP="00EB1CE2">
            <w:pPr>
              <w:pStyle w:val="Tabletext"/>
            </w:pPr>
            <w:r>
              <w:t>Responsable Projet urbain</w:t>
            </w:r>
          </w:p>
        </w:tc>
      </w:tr>
      <w:tr w:rsidR="008F1EC8" w14:paraId="6CA88D15"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64C05F10" w14:textId="25C2BB4F" w:rsidR="008F1EC8" w:rsidRPr="00C46A9A" w:rsidRDefault="008F1EC8" w:rsidP="00EB1CE2">
            <w:pPr>
              <w:pStyle w:val="Tabletext"/>
            </w:pPr>
            <w:r>
              <w:t>Agence d’urbanisme de Lille</w:t>
            </w:r>
          </w:p>
        </w:tc>
        <w:tc>
          <w:tcPr>
            <w:tcW w:w="2265" w:type="dxa"/>
          </w:tcPr>
          <w:p w14:paraId="430BD8E8" w14:textId="36AA7332" w:rsidR="008F1EC8" w:rsidRPr="00C46A9A" w:rsidRDefault="008F1EC8" w:rsidP="00EB1CE2">
            <w:pPr>
              <w:pStyle w:val="Tabletext"/>
            </w:pPr>
            <w:proofErr w:type="spellStart"/>
            <w:r>
              <w:t>Mestressat</w:t>
            </w:r>
            <w:proofErr w:type="spellEnd"/>
            <w:r>
              <w:t>-Cassou</w:t>
            </w:r>
          </w:p>
        </w:tc>
        <w:tc>
          <w:tcPr>
            <w:tcW w:w="2266" w:type="dxa"/>
          </w:tcPr>
          <w:p w14:paraId="388D0BEE" w14:textId="64850D53" w:rsidR="008F1EC8" w:rsidRPr="00C46A9A" w:rsidRDefault="008F1EC8" w:rsidP="00EB1CE2">
            <w:pPr>
              <w:pStyle w:val="Tabletext"/>
            </w:pPr>
            <w:r>
              <w:t>Dominique</w:t>
            </w:r>
          </w:p>
        </w:tc>
        <w:tc>
          <w:tcPr>
            <w:tcW w:w="2266" w:type="dxa"/>
          </w:tcPr>
          <w:p w14:paraId="160F8686" w14:textId="77BD33B7" w:rsidR="008F1EC8" w:rsidRPr="00C46A9A" w:rsidRDefault="00F10287" w:rsidP="00DD3EE3">
            <w:pPr>
              <w:pStyle w:val="Tabletext"/>
              <w:jc w:val="both"/>
            </w:pPr>
            <w:r>
              <w:t>Chargé d’études principales</w:t>
            </w:r>
          </w:p>
        </w:tc>
      </w:tr>
      <w:tr w:rsidR="00EB1CE2" w14:paraId="6123C265"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1832F184" w14:textId="79B52ABB" w:rsidR="00EB1CE2" w:rsidRDefault="00DC4759" w:rsidP="00EB1CE2">
            <w:pPr>
              <w:pStyle w:val="Tabletext"/>
            </w:pPr>
            <w:r w:rsidRPr="00C46A9A">
              <w:t>Agence d'urbanisme du Grand Amiénois</w:t>
            </w:r>
          </w:p>
        </w:tc>
        <w:tc>
          <w:tcPr>
            <w:tcW w:w="2265" w:type="dxa"/>
          </w:tcPr>
          <w:p w14:paraId="756824C0" w14:textId="294364DE" w:rsidR="00EB1CE2" w:rsidRDefault="00DC4759" w:rsidP="00EB1CE2">
            <w:pPr>
              <w:pStyle w:val="Tabletext"/>
            </w:pPr>
            <w:proofErr w:type="spellStart"/>
            <w:r w:rsidRPr="00C46A9A">
              <w:t>Delbouille</w:t>
            </w:r>
            <w:proofErr w:type="spellEnd"/>
          </w:p>
        </w:tc>
        <w:tc>
          <w:tcPr>
            <w:tcW w:w="2266" w:type="dxa"/>
          </w:tcPr>
          <w:p w14:paraId="3756C4C0" w14:textId="5630CD5E" w:rsidR="00EB1CE2" w:rsidRDefault="00DC4759" w:rsidP="00EB1CE2">
            <w:pPr>
              <w:pStyle w:val="Tabletext"/>
            </w:pPr>
            <w:r w:rsidRPr="00C46A9A">
              <w:t>Nicolas</w:t>
            </w:r>
          </w:p>
        </w:tc>
        <w:tc>
          <w:tcPr>
            <w:tcW w:w="2266" w:type="dxa"/>
          </w:tcPr>
          <w:p w14:paraId="16C6BBEA" w14:textId="25DEBF03" w:rsidR="00EB1CE2" w:rsidRDefault="00DC4759" w:rsidP="00EB1CE2">
            <w:pPr>
              <w:pStyle w:val="Tabletext"/>
            </w:pPr>
            <w:r w:rsidRPr="00C46A9A">
              <w:t>Etude aménagement urbain</w:t>
            </w:r>
          </w:p>
        </w:tc>
      </w:tr>
      <w:tr w:rsidR="00EB1CE2" w14:paraId="2B903992"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44FE3155" w14:textId="6D529002" w:rsidR="00EB1CE2" w:rsidRDefault="00DC4759" w:rsidP="00EB1CE2">
            <w:pPr>
              <w:pStyle w:val="Tabletext"/>
            </w:pPr>
            <w:r w:rsidRPr="00C46A9A">
              <w:t>Amiens Métropole</w:t>
            </w:r>
          </w:p>
        </w:tc>
        <w:tc>
          <w:tcPr>
            <w:tcW w:w="2265" w:type="dxa"/>
          </w:tcPr>
          <w:p w14:paraId="66B76DD5" w14:textId="0E009FFD" w:rsidR="00EB1CE2" w:rsidRDefault="00DC4759" w:rsidP="00EB1CE2">
            <w:pPr>
              <w:pStyle w:val="Tabletext"/>
            </w:pPr>
            <w:proofErr w:type="spellStart"/>
            <w:r w:rsidRPr="00C46A9A">
              <w:t>Montingy</w:t>
            </w:r>
            <w:proofErr w:type="spellEnd"/>
          </w:p>
        </w:tc>
        <w:tc>
          <w:tcPr>
            <w:tcW w:w="2266" w:type="dxa"/>
          </w:tcPr>
          <w:p w14:paraId="25FD6A0F" w14:textId="626ECD6B" w:rsidR="00EB1CE2" w:rsidRDefault="00DC4759" w:rsidP="00EB1CE2">
            <w:pPr>
              <w:pStyle w:val="Tabletext"/>
            </w:pPr>
            <w:r w:rsidRPr="00C46A9A">
              <w:t>Tristan</w:t>
            </w:r>
          </w:p>
        </w:tc>
        <w:tc>
          <w:tcPr>
            <w:tcW w:w="2266" w:type="dxa"/>
          </w:tcPr>
          <w:p w14:paraId="05DA8796" w14:textId="0CE6B112" w:rsidR="00EB1CE2" w:rsidRDefault="00DC4759" w:rsidP="00EB1CE2">
            <w:pPr>
              <w:pStyle w:val="Tabletext"/>
            </w:pPr>
            <w:r w:rsidRPr="00C46A9A">
              <w:t>Chargé de mission Europe</w:t>
            </w:r>
          </w:p>
        </w:tc>
      </w:tr>
      <w:tr w:rsidR="00EB1CE2" w14:paraId="18E3C9A7"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0F78E9DA" w14:textId="6C94CC77" w:rsidR="00EB1CE2" w:rsidRDefault="00DC4759" w:rsidP="00EB1CE2">
            <w:pPr>
              <w:pStyle w:val="Tabletext"/>
            </w:pPr>
            <w:r w:rsidRPr="00C46A9A">
              <w:t>AMSOM Habitat</w:t>
            </w:r>
            <w:r w:rsidR="00871358">
              <w:t xml:space="preserve"> (=OPH Somme)</w:t>
            </w:r>
          </w:p>
        </w:tc>
        <w:tc>
          <w:tcPr>
            <w:tcW w:w="2265" w:type="dxa"/>
          </w:tcPr>
          <w:p w14:paraId="2CB019B4" w14:textId="6972F680" w:rsidR="00EB1CE2" w:rsidRDefault="00DC4759" w:rsidP="00EB1CE2">
            <w:pPr>
              <w:pStyle w:val="Tabletext"/>
            </w:pPr>
            <w:proofErr w:type="spellStart"/>
            <w:r w:rsidRPr="00C46A9A">
              <w:t>Kolasiak</w:t>
            </w:r>
            <w:proofErr w:type="spellEnd"/>
          </w:p>
        </w:tc>
        <w:tc>
          <w:tcPr>
            <w:tcW w:w="2266" w:type="dxa"/>
          </w:tcPr>
          <w:p w14:paraId="7AD6C922" w14:textId="06619A8E" w:rsidR="00EB1CE2" w:rsidRDefault="00DC4759" w:rsidP="00EB1CE2">
            <w:pPr>
              <w:pStyle w:val="Tabletext"/>
            </w:pPr>
            <w:r w:rsidRPr="00C46A9A">
              <w:t>Mathieu</w:t>
            </w:r>
          </w:p>
        </w:tc>
        <w:tc>
          <w:tcPr>
            <w:tcW w:w="2266" w:type="dxa"/>
          </w:tcPr>
          <w:p w14:paraId="1CEF06C7" w14:textId="02ED4CB1" w:rsidR="00EB1CE2" w:rsidRDefault="00DC4759" w:rsidP="00EB1CE2">
            <w:pPr>
              <w:pStyle w:val="Tabletext"/>
            </w:pPr>
            <w:r w:rsidRPr="00C46A9A">
              <w:t xml:space="preserve">Directeur de </w:t>
            </w:r>
            <w:proofErr w:type="spellStart"/>
            <w:r w:rsidRPr="00C46A9A">
              <w:t>promition</w:t>
            </w:r>
            <w:proofErr w:type="spellEnd"/>
            <w:r w:rsidRPr="00C46A9A">
              <w:t xml:space="preserve"> immobilière</w:t>
            </w:r>
          </w:p>
        </w:tc>
      </w:tr>
      <w:tr w:rsidR="00EB1CE2" w14:paraId="57575F0B"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57FEC8F4" w14:textId="64A3D33A" w:rsidR="00EB1CE2" w:rsidRDefault="00DC4759" w:rsidP="00EB1CE2">
            <w:pPr>
              <w:pStyle w:val="Tabletext"/>
            </w:pPr>
            <w:r w:rsidRPr="00C46A9A">
              <w:t>Banque des Territoires</w:t>
            </w:r>
          </w:p>
        </w:tc>
        <w:tc>
          <w:tcPr>
            <w:tcW w:w="2265" w:type="dxa"/>
          </w:tcPr>
          <w:p w14:paraId="647023DC" w14:textId="7BEB495C" w:rsidR="00EB1CE2" w:rsidRDefault="00DC4759" w:rsidP="00EB1CE2">
            <w:pPr>
              <w:pStyle w:val="Tabletext"/>
            </w:pPr>
            <w:r w:rsidRPr="00C46A9A">
              <w:t>Richard</w:t>
            </w:r>
          </w:p>
        </w:tc>
        <w:tc>
          <w:tcPr>
            <w:tcW w:w="2266" w:type="dxa"/>
          </w:tcPr>
          <w:p w14:paraId="3D1CAC5A" w14:textId="0C6A57D8" w:rsidR="00EB1CE2" w:rsidRDefault="00DC4759" w:rsidP="00EB1CE2">
            <w:pPr>
              <w:pStyle w:val="Tabletext"/>
            </w:pPr>
            <w:r w:rsidRPr="00C46A9A">
              <w:t>Fabien</w:t>
            </w:r>
          </w:p>
        </w:tc>
        <w:tc>
          <w:tcPr>
            <w:tcW w:w="2266" w:type="dxa"/>
          </w:tcPr>
          <w:p w14:paraId="100CD516" w14:textId="66B8B20A" w:rsidR="00EB1CE2" w:rsidRDefault="00DC4759" w:rsidP="00EB1CE2">
            <w:pPr>
              <w:pStyle w:val="Tabletext"/>
            </w:pPr>
            <w:r w:rsidRPr="00C46A9A">
              <w:t>Responsable Transition Ecologique et Energétique</w:t>
            </w:r>
          </w:p>
        </w:tc>
      </w:tr>
      <w:tr w:rsidR="008F1EC8" w14:paraId="0341A3BE"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5DC92E47" w14:textId="751B6257" w:rsidR="008F1EC8" w:rsidRPr="00C46A9A" w:rsidRDefault="008F1EC8" w:rsidP="00EB1CE2">
            <w:pPr>
              <w:pStyle w:val="Tabletext"/>
            </w:pPr>
            <w:proofErr w:type="spellStart"/>
            <w:r>
              <w:t>Brownfields</w:t>
            </w:r>
            <w:proofErr w:type="spellEnd"/>
          </w:p>
        </w:tc>
        <w:tc>
          <w:tcPr>
            <w:tcW w:w="2265" w:type="dxa"/>
          </w:tcPr>
          <w:p w14:paraId="0A013BBA" w14:textId="5293C83F" w:rsidR="008F1EC8" w:rsidRPr="00C46A9A" w:rsidRDefault="008F1EC8" w:rsidP="00EB1CE2">
            <w:pPr>
              <w:pStyle w:val="Tabletext"/>
            </w:pPr>
            <w:r>
              <w:t>Pfister</w:t>
            </w:r>
          </w:p>
        </w:tc>
        <w:tc>
          <w:tcPr>
            <w:tcW w:w="2266" w:type="dxa"/>
          </w:tcPr>
          <w:p w14:paraId="6C5D118E" w14:textId="0F8438A2" w:rsidR="008F1EC8" w:rsidRPr="00C46A9A" w:rsidRDefault="008F1EC8" w:rsidP="00EB1CE2">
            <w:pPr>
              <w:pStyle w:val="Tabletext"/>
            </w:pPr>
            <w:r>
              <w:t>Nicolas</w:t>
            </w:r>
          </w:p>
        </w:tc>
        <w:tc>
          <w:tcPr>
            <w:tcW w:w="2266" w:type="dxa"/>
          </w:tcPr>
          <w:p w14:paraId="49775D43" w14:textId="7A39225B" w:rsidR="008F1EC8" w:rsidRPr="00C46A9A" w:rsidRDefault="009A77D4" w:rsidP="00EB1CE2">
            <w:pPr>
              <w:pStyle w:val="Tabletext"/>
            </w:pPr>
            <w:r>
              <w:t>Directeur des opérations</w:t>
            </w:r>
          </w:p>
        </w:tc>
      </w:tr>
      <w:tr w:rsidR="008F1EC8" w14:paraId="36FDD5A3"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489AC054" w14:textId="3B47600E" w:rsidR="008F1EC8" w:rsidRPr="00C46A9A" w:rsidRDefault="008F1EC8" w:rsidP="00EB1CE2">
            <w:pPr>
              <w:pStyle w:val="Tabletext"/>
            </w:pPr>
            <w:r>
              <w:t xml:space="preserve">Bouygues </w:t>
            </w:r>
            <w:r w:rsidR="0077489F">
              <w:t>Bâtiments</w:t>
            </w:r>
          </w:p>
        </w:tc>
        <w:tc>
          <w:tcPr>
            <w:tcW w:w="2265" w:type="dxa"/>
          </w:tcPr>
          <w:p w14:paraId="73D1422F" w14:textId="1EAA509E" w:rsidR="008F1EC8" w:rsidRPr="00C46A9A" w:rsidRDefault="008F1EC8" w:rsidP="00EB1CE2">
            <w:pPr>
              <w:pStyle w:val="Tabletext"/>
            </w:pPr>
            <w:proofErr w:type="spellStart"/>
            <w:r>
              <w:t>Verbaere</w:t>
            </w:r>
            <w:proofErr w:type="spellEnd"/>
          </w:p>
        </w:tc>
        <w:tc>
          <w:tcPr>
            <w:tcW w:w="2266" w:type="dxa"/>
          </w:tcPr>
          <w:p w14:paraId="3DE505F4" w14:textId="35F150F5" w:rsidR="008F1EC8" w:rsidRPr="00C46A9A" w:rsidRDefault="008F1EC8" w:rsidP="00EB1CE2">
            <w:pPr>
              <w:pStyle w:val="Tabletext"/>
            </w:pPr>
            <w:r>
              <w:t>Bastien</w:t>
            </w:r>
          </w:p>
        </w:tc>
        <w:tc>
          <w:tcPr>
            <w:tcW w:w="2266" w:type="dxa"/>
          </w:tcPr>
          <w:p w14:paraId="1622254E" w14:textId="24522BAC" w:rsidR="008F1EC8" w:rsidRPr="00C46A9A" w:rsidRDefault="0077489F" w:rsidP="00EB1CE2">
            <w:pPr>
              <w:pStyle w:val="Tabletext"/>
            </w:pPr>
            <w:r>
              <w:t>Directeur commercial Bouygues Bâtiments Nord-Est</w:t>
            </w:r>
          </w:p>
        </w:tc>
      </w:tr>
      <w:tr w:rsidR="00EB1CE2" w14:paraId="42E7823D"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0E116CE1" w14:textId="569308CA" w:rsidR="00EB1CE2" w:rsidRDefault="00DC4759" w:rsidP="00EB1CE2">
            <w:pPr>
              <w:pStyle w:val="Tabletext"/>
            </w:pPr>
            <w:r w:rsidRPr="00C46A9A">
              <w:t>Communauté urbaine de Dunkerque</w:t>
            </w:r>
          </w:p>
        </w:tc>
        <w:tc>
          <w:tcPr>
            <w:tcW w:w="2265" w:type="dxa"/>
          </w:tcPr>
          <w:p w14:paraId="4D8AB107" w14:textId="61C52172" w:rsidR="00EB1CE2" w:rsidRDefault="00DC4759" w:rsidP="00EB1CE2">
            <w:pPr>
              <w:pStyle w:val="Tabletext"/>
            </w:pPr>
            <w:proofErr w:type="spellStart"/>
            <w:r w:rsidRPr="00C46A9A">
              <w:t>Deswarte</w:t>
            </w:r>
            <w:proofErr w:type="spellEnd"/>
          </w:p>
        </w:tc>
        <w:tc>
          <w:tcPr>
            <w:tcW w:w="2266" w:type="dxa"/>
          </w:tcPr>
          <w:p w14:paraId="5CB649B6" w14:textId="62A0FA1D" w:rsidR="00EB1CE2" w:rsidRDefault="00DC4759" w:rsidP="00EB1CE2">
            <w:pPr>
              <w:pStyle w:val="Tabletext"/>
            </w:pPr>
            <w:r w:rsidRPr="00C46A9A">
              <w:t xml:space="preserve">Hélène </w:t>
            </w:r>
          </w:p>
        </w:tc>
        <w:tc>
          <w:tcPr>
            <w:tcW w:w="2266" w:type="dxa"/>
          </w:tcPr>
          <w:p w14:paraId="5836A1BC" w14:textId="54A8135C" w:rsidR="00EB1CE2" w:rsidRDefault="00DC4759" w:rsidP="00EB1CE2">
            <w:pPr>
              <w:pStyle w:val="Tabletext"/>
            </w:pPr>
            <w:r w:rsidRPr="00C46A9A">
              <w:t xml:space="preserve">Chef de service Europe </w:t>
            </w:r>
          </w:p>
        </w:tc>
      </w:tr>
      <w:tr w:rsidR="00EB1CE2" w14:paraId="56BFF8F3"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71FCED87" w14:textId="4EFB8EAE" w:rsidR="00EB1CE2" w:rsidRDefault="00DC4759" w:rsidP="00EB1CE2">
            <w:pPr>
              <w:pStyle w:val="Tabletext"/>
            </w:pPr>
            <w:r w:rsidRPr="00C46A9A">
              <w:t>Conseil départemental de l'Aisne</w:t>
            </w:r>
          </w:p>
        </w:tc>
        <w:tc>
          <w:tcPr>
            <w:tcW w:w="2265" w:type="dxa"/>
          </w:tcPr>
          <w:p w14:paraId="0F3144D0" w14:textId="239D9662" w:rsidR="00EB1CE2" w:rsidRDefault="00DC4759" w:rsidP="00EB1CE2">
            <w:pPr>
              <w:pStyle w:val="Tabletext"/>
            </w:pPr>
            <w:proofErr w:type="spellStart"/>
            <w:r w:rsidRPr="00C46A9A">
              <w:t>Kermad</w:t>
            </w:r>
            <w:proofErr w:type="spellEnd"/>
          </w:p>
        </w:tc>
        <w:tc>
          <w:tcPr>
            <w:tcW w:w="2266" w:type="dxa"/>
          </w:tcPr>
          <w:p w14:paraId="7029A146" w14:textId="6F9EFA07" w:rsidR="00EB1CE2" w:rsidRDefault="00DC4759" w:rsidP="00EB1CE2">
            <w:pPr>
              <w:pStyle w:val="Tabletext"/>
            </w:pPr>
            <w:r w:rsidRPr="00C46A9A">
              <w:t>Aurélie</w:t>
            </w:r>
          </w:p>
        </w:tc>
        <w:tc>
          <w:tcPr>
            <w:tcW w:w="2266" w:type="dxa"/>
          </w:tcPr>
          <w:p w14:paraId="081CDFBD" w14:textId="40EAC2DF" w:rsidR="00EB1CE2" w:rsidRDefault="00DC4759" w:rsidP="00EB1CE2">
            <w:pPr>
              <w:pStyle w:val="Tabletext"/>
            </w:pPr>
            <w:r w:rsidRPr="00C46A9A">
              <w:t>Chargée de mission Europe</w:t>
            </w:r>
          </w:p>
        </w:tc>
      </w:tr>
      <w:tr w:rsidR="00EB1CE2" w14:paraId="5E3FC351"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365BAAB1" w14:textId="0942C73F" w:rsidR="00EB1CE2" w:rsidRDefault="00DC4759" w:rsidP="00EB1CE2">
            <w:pPr>
              <w:pStyle w:val="Tabletext"/>
            </w:pPr>
            <w:r w:rsidRPr="00C46A9A">
              <w:t>Conseil départemental de l'Oise</w:t>
            </w:r>
          </w:p>
        </w:tc>
        <w:tc>
          <w:tcPr>
            <w:tcW w:w="2265" w:type="dxa"/>
          </w:tcPr>
          <w:p w14:paraId="75B01B2B" w14:textId="61E27462" w:rsidR="00EB1CE2" w:rsidRDefault="00DC4759" w:rsidP="00EB1CE2">
            <w:pPr>
              <w:pStyle w:val="Tabletext"/>
            </w:pPr>
            <w:proofErr w:type="spellStart"/>
            <w:r w:rsidRPr="00C46A9A">
              <w:t>Peltyn</w:t>
            </w:r>
            <w:proofErr w:type="spellEnd"/>
          </w:p>
        </w:tc>
        <w:tc>
          <w:tcPr>
            <w:tcW w:w="2266" w:type="dxa"/>
          </w:tcPr>
          <w:p w14:paraId="000F3CC8" w14:textId="4797ABCB" w:rsidR="00EB1CE2" w:rsidRDefault="00DC4759" w:rsidP="00EB1CE2">
            <w:pPr>
              <w:pStyle w:val="Tabletext"/>
            </w:pPr>
            <w:r w:rsidRPr="00C46A9A">
              <w:t xml:space="preserve">Tristan </w:t>
            </w:r>
          </w:p>
        </w:tc>
        <w:tc>
          <w:tcPr>
            <w:tcW w:w="2266" w:type="dxa"/>
          </w:tcPr>
          <w:p w14:paraId="639B7762" w14:textId="512D84FA" w:rsidR="00EB1CE2" w:rsidRDefault="00457C5D" w:rsidP="00EB1CE2">
            <w:pPr>
              <w:pStyle w:val="Tabletext"/>
            </w:pPr>
            <w:r w:rsidRPr="00C46A9A">
              <w:t>Responsable</w:t>
            </w:r>
            <w:r w:rsidR="00DC4759" w:rsidRPr="00C46A9A">
              <w:t xml:space="preserve"> Europe </w:t>
            </w:r>
          </w:p>
        </w:tc>
      </w:tr>
      <w:tr w:rsidR="00EB1CE2" w14:paraId="36A9BBED"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20D0FF2E" w14:textId="293A0E01" w:rsidR="00EB1CE2" w:rsidRDefault="00DC4759" w:rsidP="00EB1CE2">
            <w:pPr>
              <w:pStyle w:val="Tabletext"/>
            </w:pPr>
            <w:r w:rsidRPr="00C46A9A">
              <w:t>Conseil départemental du Nord</w:t>
            </w:r>
          </w:p>
        </w:tc>
        <w:tc>
          <w:tcPr>
            <w:tcW w:w="2265" w:type="dxa"/>
          </w:tcPr>
          <w:p w14:paraId="0CDA55F1" w14:textId="33380259" w:rsidR="00EB1CE2" w:rsidRDefault="00DC4759" w:rsidP="00EB1CE2">
            <w:pPr>
              <w:pStyle w:val="Tabletext"/>
            </w:pPr>
            <w:r w:rsidRPr="00C46A9A">
              <w:t>Cabaret</w:t>
            </w:r>
          </w:p>
        </w:tc>
        <w:tc>
          <w:tcPr>
            <w:tcW w:w="2266" w:type="dxa"/>
          </w:tcPr>
          <w:p w14:paraId="2F1FA3F1" w14:textId="06BEDCD6" w:rsidR="00EB1CE2" w:rsidRDefault="00DC4759" w:rsidP="00EB1CE2">
            <w:pPr>
              <w:pStyle w:val="Tabletext"/>
            </w:pPr>
            <w:r w:rsidRPr="00C46A9A">
              <w:t xml:space="preserve">Françoise </w:t>
            </w:r>
          </w:p>
        </w:tc>
        <w:tc>
          <w:tcPr>
            <w:tcW w:w="2266" w:type="dxa"/>
          </w:tcPr>
          <w:p w14:paraId="6BE12087" w14:textId="10302E28" w:rsidR="00EB1CE2" w:rsidRDefault="00457C5D" w:rsidP="00EB1CE2">
            <w:pPr>
              <w:pStyle w:val="Tabletext"/>
            </w:pPr>
            <w:r w:rsidRPr="00C46A9A">
              <w:t>Chef</w:t>
            </w:r>
            <w:r w:rsidR="00DC4759" w:rsidRPr="00C46A9A">
              <w:t xml:space="preserve"> de service Europe </w:t>
            </w:r>
          </w:p>
        </w:tc>
      </w:tr>
      <w:tr w:rsidR="00EB1CE2" w14:paraId="26ACB163"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0917CACF" w14:textId="7A7B44E1" w:rsidR="00EB1CE2" w:rsidRDefault="00DC4759" w:rsidP="00EB1CE2">
            <w:pPr>
              <w:pStyle w:val="Tabletext"/>
            </w:pPr>
            <w:proofErr w:type="spellStart"/>
            <w:r w:rsidRPr="00C46A9A">
              <w:t>Enercoop</w:t>
            </w:r>
            <w:proofErr w:type="spellEnd"/>
            <w:r w:rsidRPr="00C46A9A">
              <w:t xml:space="preserve"> Hauts-de-France</w:t>
            </w:r>
          </w:p>
        </w:tc>
        <w:tc>
          <w:tcPr>
            <w:tcW w:w="2265" w:type="dxa"/>
          </w:tcPr>
          <w:p w14:paraId="70CC23BD" w14:textId="660E6A5D" w:rsidR="00EB1CE2" w:rsidRDefault="00DC4759" w:rsidP="00EB1CE2">
            <w:pPr>
              <w:pStyle w:val="Tabletext"/>
            </w:pPr>
            <w:r w:rsidRPr="00C46A9A">
              <w:t>Renard</w:t>
            </w:r>
          </w:p>
        </w:tc>
        <w:tc>
          <w:tcPr>
            <w:tcW w:w="2266" w:type="dxa"/>
          </w:tcPr>
          <w:p w14:paraId="628400DF" w14:textId="52137116" w:rsidR="00EB1CE2" w:rsidRDefault="00DC4759" w:rsidP="00EB1CE2">
            <w:pPr>
              <w:pStyle w:val="Tabletext"/>
            </w:pPr>
            <w:r w:rsidRPr="00C46A9A">
              <w:t>Suzanne</w:t>
            </w:r>
          </w:p>
        </w:tc>
        <w:tc>
          <w:tcPr>
            <w:tcW w:w="2266" w:type="dxa"/>
          </w:tcPr>
          <w:p w14:paraId="7D22448C" w14:textId="4EE64A22" w:rsidR="00EB1CE2" w:rsidRDefault="00DC4759" w:rsidP="00EB1CE2">
            <w:pPr>
              <w:pStyle w:val="Tabletext"/>
            </w:pPr>
            <w:r w:rsidRPr="00C46A9A">
              <w:t>Directrice régionale</w:t>
            </w:r>
          </w:p>
        </w:tc>
      </w:tr>
      <w:tr w:rsidR="00EB1CE2" w14:paraId="4ACF20CD"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5A506F86" w14:textId="73B6DED4" w:rsidR="00EB1CE2" w:rsidRDefault="00DC4759" w:rsidP="00EB1CE2">
            <w:pPr>
              <w:pStyle w:val="Tabletext"/>
            </w:pPr>
            <w:r w:rsidRPr="00C46A9A">
              <w:t>EPF de l'Oise</w:t>
            </w:r>
          </w:p>
        </w:tc>
        <w:tc>
          <w:tcPr>
            <w:tcW w:w="2265" w:type="dxa"/>
          </w:tcPr>
          <w:p w14:paraId="5AD3554C" w14:textId="498F5B1C" w:rsidR="00EB1CE2" w:rsidRDefault="00DC4759" w:rsidP="00EB1CE2">
            <w:pPr>
              <w:pStyle w:val="Tabletext"/>
            </w:pPr>
            <w:r w:rsidRPr="00C46A9A">
              <w:t>Deschodt</w:t>
            </w:r>
          </w:p>
        </w:tc>
        <w:tc>
          <w:tcPr>
            <w:tcW w:w="2266" w:type="dxa"/>
          </w:tcPr>
          <w:p w14:paraId="787C3AD8" w14:textId="1BA710D3" w:rsidR="00EB1CE2" w:rsidRDefault="00DC4759" w:rsidP="00EB1CE2">
            <w:pPr>
              <w:pStyle w:val="Tabletext"/>
            </w:pPr>
            <w:r w:rsidRPr="00C46A9A">
              <w:t>Jean-Marc</w:t>
            </w:r>
          </w:p>
        </w:tc>
        <w:tc>
          <w:tcPr>
            <w:tcW w:w="2266" w:type="dxa"/>
          </w:tcPr>
          <w:p w14:paraId="50EA626F" w14:textId="70C06939" w:rsidR="00EB1CE2" w:rsidRDefault="00457C5D" w:rsidP="00EB1CE2">
            <w:pPr>
              <w:pStyle w:val="Tabletext"/>
            </w:pPr>
            <w:r w:rsidRPr="00C46A9A">
              <w:t>Directeur</w:t>
            </w:r>
          </w:p>
        </w:tc>
      </w:tr>
      <w:tr w:rsidR="00EB1CE2" w14:paraId="1303A8EA"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16A52E59" w14:textId="0BCEB81A" w:rsidR="00EB1CE2" w:rsidRDefault="00DC4759" w:rsidP="00EB1CE2">
            <w:pPr>
              <w:pStyle w:val="Tabletext"/>
            </w:pPr>
            <w:r w:rsidRPr="00C46A9A">
              <w:t>EPF NPC</w:t>
            </w:r>
          </w:p>
        </w:tc>
        <w:tc>
          <w:tcPr>
            <w:tcW w:w="2265" w:type="dxa"/>
          </w:tcPr>
          <w:p w14:paraId="59EFBC36" w14:textId="14797F29" w:rsidR="00EB1CE2" w:rsidRDefault="00DC4759" w:rsidP="00EB1CE2">
            <w:pPr>
              <w:pStyle w:val="Tabletext"/>
            </w:pPr>
            <w:r w:rsidRPr="00C46A9A">
              <w:t>Dubois</w:t>
            </w:r>
          </w:p>
        </w:tc>
        <w:tc>
          <w:tcPr>
            <w:tcW w:w="2266" w:type="dxa"/>
          </w:tcPr>
          <w:p w14:paraId="5D144014" w14:textId="141006D6" w:rsidR="00EB1CE2" w:rsidRDefault="00DC4759" w:rsidP="00EB1CE2">
            <w:pPr>
              <w:pStyle w:val="Tabletext"/>
            </w:pPr>
            <w:r w:rsidRPr="00C46A9A">
              <w:t>Patricia</w:t>
            </w:r>
          </w:p>
        </w:tc>
        <w:tc>
          <w:tcPr>
            <w:tcW w:w="2266" w:type="dxa"/>
          </w:tcPr>
          <w:p w14:paraId="6CEB1EA6" w14:textId="45E30966" w:rsidR="00EB1CE2" w:rsidRDefault="00DC4759" w:rsidP="00EB1CE2">
            <w:pPr>
              <w:pStyle w:val="Tabletext"/>
            </w:pPr>
            <w:r w:rsidRPr="00C46A9A">
              <w:t>Responsable partenariat</w:t>
            </w:r>
          </w:p>
        </w:tc>
      </w:tr>
      <w:tr w:rsidR="008F1EC8" w14:paraId="020F13CC"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40861D67" w14:textId="6EA10824" w:rsidR="008F1EC8" w:rsidRPr="00C46A9A" w:rsidRDefault="008F1EC8" w:rsidP="00EB1CE2">
            <w:pPr>
              <w:pStyle w:val="Tabletext"/>
            </w:pPr>
            <w:r>
              <w:t>Gingko</w:t>
            </w:r>
          </w:p>
        </w:tc>
        <w:tc>
          <w:tcPr>
            <w:tcW w:w="2265" w:type="dxa"/>
          </w:tcPr>
          <w:p w14:paraId="7422D121" w14:textId="69BAA85D" w:rsidR="008F1EC8" w:rsidRPr="00C46A9A" w:rsidRDefault="008F1EC8" w:rsidP="00EB1CE2">
            <w:pPr>
              <w:pStyle w:val="Tabletext"/>
            </w:pPr>
            <w:proofErr w:type="spellStart"/>
            <w:r>
              <w:t>Angelone</w:t>
            </w:r>
            <w:proofErr w:type="spellEnd"/>
          </w:p>
        </w:tc>
        <w:tc>
          <w:tcPr>
            <w:tcW w:w="2266" w:type="dxa"/>
          </w:tcPr>
          <w:p w14:paraId="76BDE196" w14:textId="1239461D" w:rsidR="008F1EC8" w:rsidRPr="00C46A9A" w:rsidRDefault="008F1EC8" w:rsidP="00EB1CE2">
            <w:pPr>
              <w:pStyle w:val="Tabletext"/>
            </w:pPr>
            <w:r>
              <w:t>Cédric</w:t>
            </w:r>
          </w:p>
        </w:tc>
        <w:tc>
          <w:tcPr>
            <w:tcW w:w="2266" w:type="dxa"/>
          </w:tcPr>
          <w:p w14:paraId="6D842868" w14:textId="75167D46" w:rsidR="008F1EC8" w:rsidRPr="00C46A9A" w:rsidRDefault="006E36C9" w:rsidP="00EB1CE2">
            <w:pPr>
              <w:pStyle w:val="Tabletext"/>
            </w:pPr>
            <w:r>
              <w:t xml:space="preserve">Co-président </w:t>
            </w:r>
            <w:proofErr w:type="spellStart"/>
            <w:r>
              <w:t>A</w:t>
            </w:r>
            <w:r w:rsidR="00BB7DA3">
              <w:t>rtkom</w:t>
            </w:r>
            <w:proofErr w:type="spellEnd"/>
            <w:r w:rsidR="00BB7DA3">
              <w:t xml:space="preserve"> accompagnant Gingko</w:t>
            </w:r>
          </w:p>
        </w:tc>
      </w:tr>
      <w:tr w:rsidR="008F1EC8" w14:paraId="725485A9"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63ABA93F" w14:textId="2914D539" w:rsidR="008F1EC8" w:rsidRPr="00C46A9A" w:rsidRDefault="008F1EC8" w:rsidP="00EB1CE2">
            <w:pPr>
              <w:pStyle w:val="Tabletext"/>
            </w:pPr>
            <w:r>
              <w:t>Idéel</w:t>
            </w:r>
          </w:p>
        </w:tc>
        <w:tc>
          <w:tcPr>
            <w:tcW w:w="2265" w:type="dxa"/>
          </w:tcPr>
          <w:p w14:paraId="4B88CB99" w14:textId="507D0E00" w:rsidR="008F1EC8" w:rsidRPr="00C46A9A" w:rsidRDefault="008F1EC8" w:rsidP="00EB1CE2">
            <w:pPr>
              <w:pStyle w:val="Tabletext"/>
            </w:pPr>
            <w:proofErr w:type="spellStart"/>
            <w:r>
              <w:t>Thome-Jassaud</w:t>
            </w:r>
            <w:proofErr w:type="spellEnd"/>
          </w:p>
        </w:tc>
        <w:tc>
          <w:tcPr>
            <w:tcW w:w="2266" w:type="dxa"/>
          </w:tcPr>
          <w:p w14:paraId="59F79422" w14:textId="54635353" w:rsidR="008F1EC8" w:rsidRPr="00C46A9A" w:rsidRDefault="008F1EC8" w:rsidP="00EB1CE2">
            <w:pPr>
              <w:pStyle w:val="Tabletext"/>
            </w:pPr>
            <w:r>
              <w:t>Bastien</w:t>
            </w:r>
          </w:p>
        </w:tc>
        <w:tc>
          <w:tcPr>
            <w:tcW w:w="2266" w:type="dxa"/>
          </w:tcPr>
          <w:p w14:paraId="09FAB73E" w14:textId="2A82C88E" w:rsidR="008F1EC8" w:rsidRPr="00C46A9A" w:rsidRDefault="00BB7DA3" w:rsidP="00EB1CE2">
            <w:pPr>
              <w:pStyle w:val="Tabletext"/>
            </w:pPr>
            <w:r>
              <w:t>Directeur général</w:t>
            </w:r>
          </w:p>
        </w:tc>
      </w:tr>
      <w:tr w:rsidR="00EB1CE2" w14:paraId="1851C626"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7634F74F" w14:textId="31EC56BC" w:rsidR="00EB1CE2" w:rsidRDefault="00DC4759" w:rsidP="00EB1CE2">
            <w:pPr>
              <w:pStyle w:val="Tabletext"/>
            </w:pPr>
            <w:r w:rsidRPr="00C46A9A">
              <w:t>MEL</w:t>
            </w:r>
          </w:p>
        </w:tc>
        <w:tc>
          <w:tcPr>
            <w:tcW w:w="2265" w:type="dxa"/>
          </w:tcPr>
          <w:p w14:paraId="69008DEE" w14:textId="52C84B7A" w:rsidR="00EB1CE2" w:rsidRDefault="00DC4759" w:rsidP="00EB1CE2">
            <w:pPr>
              <w:pStyle w:val="Tabletext"/>
            </w:pPr>
            <w:r w:rsidRPr="00C46A9A">
              <w:t>Descamps</w:t>
            </w:r>
          </w:p>
        </w:tc>
        <w:tc>
          <w:tcPr>
            <w:tcW w:w="2266" w:type="dxa"/>
          </w:tcPr>
          <w:p w14:paraId="5551C398" w14:textId="690477B6" w:rsidR="00EB1CE2" w:rsidRDefault="00DC4759" w:rsidP="00EB1CE2">
            <w:pPr>
              <w:pStyle w:val="Tabletext"/>
            </w:pPr>
            <w:r w:rsidRPr="00C46A9A">
              <w:t>Caroline</w:t>
            </w:r>
          </w:p>
        </w:tc>
        <w:tc>
          <w:tcPr>
            <w:tcW w:w="2266" w:type="dxa"/>
          </w:tcPr>
          <w:p w14:paraId="3CC979C8" w14:textId="466145DF" w:rsidR="00EB1CE2" w:rsidRDefault="00457C5D" w:rsidP="00EB1CE2">
            <w:pPr>
              <w:pStyle w:val="Tabletext"/>
            </w:pPr>
            <w:r w:rsidRPr="00C46A9A">
              <w:t>Directrice</w:t>
            </w:r>
            <w:r w:rsidR="00DC4759" w:rsidRPr="00C46A9A">
              <w:t xml:space="preserve"> accompagnement partenariat Europe </w:t>
            </w:r>
          </w:p>
        </w:tc>
      </w:tr>
      <w:tr w:rsidR="00EB1CE2" w14:paraId="4E31C190"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2FB43544" w14:textId="79619C27" w:rsidR="00EB1CE2" w:rsidRDefault="00DC4759" w:rsidP="00EB1CE2">
            <w:pPr>
              <w:pStyle w:val="Tabletext"/>
            </w:pPr>
            <w:r w:rsidRPr="00C46A9A">
              <w:t xml:space="preserve">Oise habitat </w:t>
            </w:r>
          </w:p>
        </w:tc>
        <w:tc>
          <w:tcPr>
            <w:tcW w:w="2265" w:type="dxa"/>
          </w:tcPr>
          <w:p w14:paraId="2F6C30DF" w14:textId="30B07696" w:rsidR="00EB1CE2" w:rsidRDefault="00DC4759" w:rsidP="00EB1CE2">
            <w:pPr>
              <w:pStyle w:val="Tabletext"/>
            </w:pPr>
            <w:r w:rsidRPr="00C46A9A">
              <w:t>FERHAHI</w:t>
            </w:r>
          </w:p>
        </w:tc>
        <w:tc>
          <w:tcPr>
            <w:tcW w:w="2266" w:type="dxa"/>
          </w:tcPr>
          <w:p w14:paraId="649BAA36" w14:textId="7CC21A0D" w:rsidR="00EB1CE2" w:rsidRDefault="00DC4759" w:rsidP="00EB1CE2">
            <w:pPr>
              <w:pStyle w:val="Tabletext"/>
            </w:pPr>
            <w:r w:rsidRPr="00C46A9A">
              <w:t>Ahmed</w:t>
            </w:r>
          </w:p>
        </w:tc>
        <w:tc>
          <w:tcPr>
            <w:tcW w:w="2266" w:type="dxa"/>
          </w:tcPr>
          <w:p w14:paraId="42DDB33B" w14:textId="643996D3" w:rsidR="00EB1CE2" w:rsidRDefault="00457C5D" w:rsidP="00EB1CE2">
            <w:pPr>
              <w:pStyle w:val="Tabletext"/>
            </w:pPr>
            <w:r w:rsidRPr="00C46A9A">
              <w:t>Directeur</w:t>
            </w:r>
            <w:r w:rsidR="00DC4759" w:rsidRPr="00C46A9A">
              <w:t xml:space="preserve"> des affaires financières </w:t>
            </w:r>
          </w:p>
        </w:tc>
      </w:tr>
      <w:tr w:rsidR="00EB1CE2" w14:paraId="7C68C12C"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5BD35E48" w14:textId="4EC3CE30" w:rsidR="00EB1CE2" w:rsidRDefault="00DC4759" w:rsidP="00EB1CE2">
            <w:pPr>
              <w:pStyle w:val="Tabletext"/>
            </w:pPr>
            <w:r w:rsidRPr="00C46A9A">
              <w:t xml:space="preserve">Oise habitat </w:t>
            </w:r>
          </w:p>
        </w:tc>
        <w:tc>
          <w:tcPr>
            <w:tcW w:w="2265" w:type="dxa"/>
          </w:tcPr>
          <w:p w14:paraId="56D4DA1B" w14:textId="48C9DD4E" w:rsidR="00EB1CE2" w:rsidRDefault="00DC4759" w:rsidP="00EB1CE2">
            <w:pPr>
              <w:pStyle w:val="Tabletext"/>
            </w:pPr>
            <w:r w:rsidRPr="00C46A9A">
              <w:t>CHAMPION</w:t>
            </w:r>
          </w:p>
        </w:tc>
        <w:tc>
          <w:tcPr>
            <w:tcW w:w="2266" w:type="dxa"/>
          </w:tcPr>
          <w:p w14:paraId="3EC01181" w14:textId="725FD689" w:rsidR="00EB1CE2" w:rsidRDefault="00DC4759" w:rsidP="00EB1CE2">
            <w:pPr>
              <w:pStyle w:val="Tabletext"/>
            </w:pPr>
            <w:r>
              <w:t>-</w:t>
            </w:r>
          </w:p>
        </w:tc>
        <w:tc>
          <w:tcPr>
            <w:tcW w:w="2266" w:type="dxa"/>
          </w:tcPr>
          <w:p w14:paraId="696C5794" w14:textId="033BD953" w:rsidR="00EB1CE2" w:rsidRDefault="00DC4759" w:rsidP="00EB1CE2">
            <w:pPr>
              <w:pStyle w:val="Tabletext"/>
            </w:pPr>
            <w:r w:rsidRPr="00C46A9A">
              <w:t>Directeur de la gestion immobilière</w:t>
            </w:r>
          </w:p>
        </w:tc>
      </w:tr>
      <w:tr w:rsidR="00EB1CE2" w14:paraId="3E17FE2C"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2B9194BC" w14:textId="2A0CEC6B" w:rsidR="00EB1CE2" w:rsidRDefault="00DC4759" w:rsidP="00EB1CE2">
            <w:pPr>
              <w:pStyle w:val="Tabletext"/>
            </w:pPr>
            <w:r w:rsidRPr="00C46A9A">
              <w:t xml:space="preserve">Oise habitat </w:t>
            </w:r>
          </w:p>
        </w:tc>
        <w:tc>
          <w:tcPr>
            <w:tcW w:w="2265" w:type="dxa"/>
          </w:tcPr>
          <w:p w14:paraId="0B03C724" w14:textId="4CD67F3E" w:rsidR="00EB1CE2" w:rsidRDefault="00DC4759" w:rsidP="00EB1CE2">
            <w:pPr>
              <w:pStyle w:val="Tabletext"/>
            </w:pPr>
            <w:r w:rsidRPr="00C46A9A">
              <w:t>FUCHS</w:t>
            </w:r>
          </w:p>
        </w:tc>
        <w:tc>
          <w:tcPr>
            <w:tcW w:w="2266" w:type="dxa"/>
          </w:tcPr>
          <w:p w14:paraId="2AFB7790" w14:textId="5BDC4B1C" w:rsidR="00EB1CE2" w:rsidRDefault="00DC4759" w:rsidP="00EB1CE2">
            <w:pPr>
              <w:pStyle w:val="Tabletext"/>
            </w:pPr>
            <w:r w:rsidRPr="00C46A9A">
              <w:t>Cécile</w:t>
            </w:r>
          </w:p>
        </w:tc>
        <w:tc>
          <w:tcPr>
            <w:tcW w:w="2266" w:type="dxa"/>
          </w:tcPr>
          <w:p w14:paraId="0C268DBB" w14:textId="2D3A45FE" w:rsidR="00EB1CE2" w:rsidRDefault="00DC4759" w:rsidP="00EB1CE2">
            <w:pPr>
              <w:pStyle w:val="Tabletext"/>
            </w:pPr>
            <w:r w:rsidRPr="00C46A9A">
              <w:t>Directrice du développement</w:t>
            </w:r>
          </w:p>
        </w:tc>
      </w:tr>
      <w:tr w:rsidR="00EB1CE2" w14:paraId="49099784"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42A18486" w14:textId="2F9BEC6E" w:rsidR="00EB1CE2" w:rsidRDefault="00DC4759" w:rsidP="00EB1CE2">
            <w:pPr>
              <w:pStyle w:val="Tabletext"/>
            </w:pPr>
            <w:r w:rsidRPr="00C46A9A">
              <w:t xml:space="preserve">Pas-de-Calais Habitat </w:t>
            </w:r>
          </w:p>
        </w:tc>
        <w:tc>
          <w:tcPr>
            <w:tcW w:w="2265" w:type="dxa"/>
          </w:tcPr>
          <w:p w14:paraId="4965EB23" w14:textId="0BC9F28F" w:rsidR="00EB1CE2" w:rsidRDefault="00DC4759" w:rsidP="00EB1CE2">
            <w:pPr>
              <w:pStyle w:val="Tabletext"/>
            </w:pPr>
            <w:r w:rsidRPr="00C46A9A">
              <w:t xml:space="preserve">TISNE </w:t>
            </w:r>
          </w:p>
        </w:tc>
        <w:tc>
          <w:tcPr>
            <w:tcW w:w="2266" w:type="dxa"/>
          </w:tcPr>
          <w:p w14:paraId="65FA6B1D" w14:textId="5D6B0D12" w:rsidR="00EB1CE2" w:rsidRDefault="00DC4759" w:rsidP="00EB1CE2">
            <w:pPr>
              <w:pStyle w:val="Tabletext"/>
            </w:pPr>
            <w:r w:rsidRPr="00C46A9A">
              <w:t>Alain</w:t>
            </w:r>
          </w:p>
        </w:tc>
        <w:tc>
          <w:tcPr>
            <w:tcW w:w="2266" w:type="dxa"/>
          </w:tcPr>
          <w:p w14:paraId="52EC29BA" w14:textId="6EE1636C" w:rsidR="00EB1CE2" w:rsidRDefault="00DC4759" w:rsidP="00EB1CE2">
            <w:pPr>
              <w:pStyle w:val="Tabletext"/>
            </w:pPr>
            <w:r w:rsidRPr="00C46A9A">
              <w:t xml:space="preserve">Directeur des affaires financières </w:t>
            </w:r>
          </w:p>
        </w:tc>
      </w:tr>
      <w:tr w:rsidR="00EB1CE2" w14:paraId="29248A36"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5B36ACD1" w14:textId="69057FD6" w:rsidR="00EB1CE2" w:rsidRDefault="00DC4759" w:rsidP="00EB1CE2">
            <w:pPr>
              <w:pStyle w:val="Tabletext"/>
            </w:pPr>
            <w:proofErr w:type="spellStart"/>
            <w:r w:rsidRPr="00C46A9A">
              <w:t>Polénergie</w:t>
            </w:r>
            <w:proofErr w:type="spellEnd"/>
            <w:r w:rsidR="00871358">
              <w:t xml:space="preserve"> (Assoc </w:t>
            </w:r>
            <w:proofErr w:type="spellStart"/>
            <w:r w:rsidR="00871358">
              <w:t>Pôlélergie</w:t>
            </w:r>
            <w:proofErr w:type="spellEnd"/>
            <w:r w:rsidR="00871358">
              <w:t xml:space="preserve"> 2020 à </w:t>
            </w:r>
            <w:proofErr w:type="spellStart"/>
            <w:r w:rsidR="00871358">
              <w:t>Dk</w:t>
            </w:r>
            <w:proofErr w:type="spellEnd"/>
            <w:r w:rsidR="00871358">
              <w:t>)</w:t>
            </w:r>
          </w:p>
        </w:tc>
        <w:tc>
          <w:tcPr>
            <w:tcW w:w="2265" w:type="dxa"/>
          </w:tcPr>
          <w:p w14:paraId="5B90C24A" w14:textId="19978144" w:rsidR="00EB1CE2" w:rsidRDefault="00DC4759" w:rsidP="00EB1CE2">
            <w:pPr>
              <w:pStyle w:val="Tabletext"/>
            </w:pPr>
            <w:proofErr w:type="spellStart"/>
            <w:r w:rsidRPr="00C46A9A">
              <w:t>Gravellier</w:t>
            </w:r>
            <w:proofErr w:type="spellEnd"/>
          </w:p>
        </w:tc>
        <w:tc>
          <w:tcPr>
            <w:tcW w:w="2266" w:type="dxa"/>
          </w:tcPr>
          <w:p w14:paraId="5B7A6E18" w14:textId="6446DFAC" w:rsidR="00EB1CE2" w:rsidRDefault="00DC4759" w:rsidP="00EB1CE2">
            <w:pPr>
              <w:pStyle w:val="Tabletext"/>
            </w:pPr>
            <w:r w:rsidRPr="00C46A9A">
              <w:t>Jean</w:t>
            </w:r>
          </w:p>
        </w:tc>
        <w:tc>
          <w:tcPr>
            <w:tcW w:w="2266" w:type="dxa"/>
          </w:tcPr>
          <w:p w14:paraId="02DE6710" w14:textId="0DFFBEC0" w:rsidR="00EB1CE2" w:rsidRDefault="00DC4759" w:rsidP="00EB1CE2">
            <w:pPr>
              <w:pStyle w:val="Tabletext"/>
            </w:pPr>
            <w:r w:rsidRPr="00C46A9A">
              <w:t>Directeur général</w:t>
            </w:r>
          </w:p>
        </w:tc>
      </w:tr>
      <w:tr w:rsidR="00EB1CE2" w14:paraId="63E4F5C9"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33F60343" w14:textId="2745897E" w:rsidR="00EB1CE2" w:rsidRDefault="00DC4759" w:rsidP="00EB1CE2">
            <w:pPr>
              <w:pStyle w:val="Tabletext"/>
            </w:pPr>
            <w:r w:rsidRPr="00C46A9A">
              <w:t>Rabot Dutilleul Construction</w:t>
            </w:r>
          </w:p>
        </w:tc>
        <w:tc>
          <w:tcPr>
            <w:tcW w:w="2265" w:type="dxa"/>
          </w:tcPr>
          <w:p w14:paraId="7FE7F628" w14:textId="31B87407" w:rsidR="00EB1CE2" w:rsidRDefault="00DC4759" w:rsidP="00EB1CE2">
            <w:pPr>
              <w:pStyle w:val="Tabletext"/>
            </w:pPr>
            <w:r w:rsidRPr="00C46A9A">
              <w:t>Marc</w:t>
            </w:r>
          </w:p>
        </w:tc>
        <w:tc>
          <w:tcPr>
            <w:tcW w:w="2266" w:type="dxa"/>
          </w:tcPr>
          <w:p w14:paraId="00DB4E0D" w14:textId="0C47EE70" w:rsidR="00EB1CE2" w:rsidRDefault="00DC4759" w:rsidP="00EB1CE2">
            <w:pPr>
              <w:pStyle w:val="Tabletext"/>
            </w:pPr>
            <w:r w:rsidRPr="00C46A9A">
              <w:t>Bernard</w:t>
            </w:r>
          </w:p>
        </w:tc>
        <w:tc>
          <w:tcPr>
            <w:tcW w:w="2266" w:type="dxa"/>
          </w:tcPr>
          <w:p w14:paraId="784E0363" w14:textId="3E92F383" w:rsidR="00EB1CE2" w:rsidRDefault="00DC4759" w:rsidP="00EB1CE2">
            <w:pPr>
              <w:pStyle w:val="Tabletext"/>
            </w:pPr>
            <w:r w:rsidRPr="00C46A9A">
              <w:t>Directeur régional Hauts de France</w:t>
            </w:r>
          </w:p>
        </w:tc>
      </w:tr>
      <w:tr w:rsidR="00EB1CE2" w14:paraId="07E0BEB9"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1762B6E2" w14:textId="2694C49B" w:rsidR="00EB1CE2" w:rsidRDefault="00DC4759" w:rsidP="00EB1CE2">
            <w:pPr>
              <w:pStyle w:val="Tabletext"/>
            </w:pPr>
            <w:r w:rsidRPr="00C46A9A">
              <w:t>Région Hauts-de-France</w:t>
            </w:r>
          </w:p>
        </w:tc>
        <w:tc>
          <w:tcPr>
            <w:tcW w:w="2265" w:type="dxa"/>
          </w:tcPr>
          <w:p w14:paraId="410EB2CD" w14:textId="344723E2" w:rsidR="00EB1CE2" w:rsidRDefault="00DC4759" w:rsidP="00EB1CE2">
            <w:pPr>
              <w:pStyle w:val="Tabletext"/>
            </w:pPr>
            <w:r w:rsidRPr="00C46A9A">
              <w:t>HUMEZ</w:t>
            </w:r>
          </w:p>
        </w:tc>
        <w:tc>
          <w:tcPr>
            <w:tcW w:w="2266" w:type="dxa"/>
          </w:tcPr>
          <w:p w14:paraId="6BEE43E1" w14:textId="28386A12" w:rsidR="00EB1CE2" w:rsidRDefault="00DC4759" w:rsidP="00EB1CE2">
            <w:pPr>
              <w:pStyle w:val="Tabletext"/>
            </w:pPr>
            <w:r w:rsidRPr="00C46A9A">
              <w:t>Marion</w:t>
            </w:r>
          </w:p>
        </w:tc>
        <w:tc>
          <w:tcPr>
            <w:tcW w:w="2266" w:type="dxa"/>
          </w:tcPr>
          <w:p w14:paraId="2EAEEDAC" w14:textId="174A0DA2" w:rsidR="00EB1CE2" w:rsidRDefault="00DC4759" w:rsidP="00EB1CE2">
            <w:pPr>
              <w:pStyle w:val="Tabletext"/>
            </w:pPr>
            <w:r w:rsidRPr="00C46A9A">
              <w:t>Responsable de projet - Direction troisième révolution industrielle Service innovations énergétiques</w:t>
            </w:r>
          </w:p>
        </w:tc>
      </w:tr>
      <w:tr w:rsidR="00EB1CE2" w14:paraId="011D3CD8"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16AD4C1C" w14:textId="0EF9B235" w:rsidR="00EB1CE2" w:rsidRDefault="00DC4759" w:rsidP="00EB1CE2">
            <w:pPr>
              <w:pStyle w:val="Tabletext"/>
            </w:pPr>
            <w:r w:rsidRPr="00C46A9A">
              <w:t>Région Hauts-de-France</w:t>
            </w:r>
          </w:p>
        </w:tc>
        <w:tc>
          <w:tcPr>
            <w:tcW w:w="2265" w:type="dxa"/>
          </w:tcPr>
          <w:p w14:paraId="114D9CA0" w14:textId="1C365121" w:rsidR="00EB1CE2" w:rsidRDefault="00DC4759" w:rsidP="00EB1CE2">
            <w:pPr>
              <w:pStyle w:val="Tabletext"/>
            </w:pPr>
            <w:r w:rsidRPr="00C46A9A">
              <w:t>KNIAZ</w:t>
            </w:r>
          </w:p>
        </w:tc>
        <w:tc>
          <w:tcPr>
            <w:tcW w:w="2266" w:type="dxa"/>
          </w:tcPr>
          <w:p w14:paraId="697E606B" w14:textId="6AD32977" w:rsidR="00EB1CE2" w:rsidRDefault="00DC4759" w:rsidP="00EB1CE2">
            <w:pPr>
              <w:pStyle w:val="Tabletext"/>
            </w:pPr>
            <w:r w:rsidRPr="00C46A9A">
              <w:t>Eric</w:t>
            </w:r>
          </w:p>
        </w:tc>
        <w:tc>
          <w:tcPr>
            <w:tcW w:w="2266" w:type="dxa"/>
          </w:tcPr>
          <w:p w14:paraId="3045CEDA" w14:textId="41EAA933" w:rsidR="00EB1CE2" w:rsidRDefault="00DC4759" w:rsidP="00EB1CE2">
            <w:pPr>
              <w:pStyle w:val="Tabletext"/>
            </w:pPr>
            <w:r w:rsidRPr="00C46A9A">
              <w:t>Responsable Service Economie Circulaire – DTRI</w:t>
            </w:r>
          </w:p>
        </w:tc>
      </w:tr>
      <w:tr w:rsidR="008F1EC8" w14:paraId="5659A94E"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6FD0FC79" w14:textId="6076099F" w:rsidR="008F1EC8" w:rsidRPr="00C46A9A" w:rsidRDefault="008F1EC8" w:rsidP="00EB1CE2">
            <w:pPr>
              <w:pStyle w:val="Tabletext"/>
            </w:pPr>
            <w:r>
              <w:t>Rev3 Capital</w:t>
            </w:r>
          </w:p>
        </w:tc>
        <w:tc>
          <w:tcPr>
            <w:tcW w:w="2265" w:type="dxa"/>
          </w:tcPr>
          <w:p w14:paraId="3F729E46" w14:textId="5CF236D7" w:rsidR="008F1EC8" w:rsidRPr="00C46A9A" w:rsidRDefault="008F1EC8" w:rsidP="00EB1CE2">
            <w:pPr>
              <w:pStyle w:val="Tabletext"/>
            </w:pPr>
            <w:proofErr w:type="spellStart"/>
            <w:r>
              <w:t>Thome</w:t>
            </w:r>
            <w:proofErr w:type="spellEnd"/>
          </w:p>
        </w:tc>
        <w:tc>
          <w:tcPr>
            <w:tcW w:w="2266" w:type="dxa"/>
          </w:tcPr>
          <w:p w14:paraId="2B2EC80F" w14:textId="08C96927" w:rsidR="008F1EC8" w:rsidRPr="00C46A9A" w:rsidRDefault="008F1EC8" w:rsidP="00EB1CE2">
            <w:pPr>
              <w:pStyle w:val="Tabletext"/>
            </w:pPr>
            <w:r>
              <w:t>Guillaume</w:t>
            </w:r>
          </w:p>
        </w:tc>
        <w:tc>
          <w:tcPr>
            <w:tcW w:w="2266" w:type="dxa"/>
          </w:tcPr>
          <w:p w14:paraId="3CBDBF1E" w14:textId="18CE732B" w:rsidR="008F1EC8" w:rsidRPr="00C46A9A" w:rsidRDefault="00770833" w:rsidP="00EB1CE2">
            <w:pPr>
              <w:pStyle w:val="Tabletext"/>
            </w:pPr>
            <w:r w:rsidRPr="00770833">
              <w:t>Directeur d’Investissement</w:t>
            </w:r>
          </w:p>
        </w:tc>
      </w:tr>
      <w:tr w:rsidR="00EB1CE2" w14:paraId="7508141C"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0C9BCE51" w14:textId="6269E3D0" w:rsidR="00EB1CE2" w:rsidRDefault="00DC4759" w:rsidP="00EB1CE2">
            <w:pPr>
              <w:pStyle w:val="Tabletext"/>
            </w:pPr>
            <w:r w:rsidRPr="00C46A9A">
              <w:t>SEM Energies Hauts-de-France</w:t>
            </w:r>
          </w:p>
        </w:tc>
        <w:tc>
          <w:tcPr>
            <w:tcW w:w="2265" w:type="dxa"/>
          </w:tcPr>
          <w:p w14:paraId="5046ACE7" w14:textId="13559E0C" w:rsidR="00EB1CE2" w:rsidRDefault="00DC4759" w:rsidP="00EB1CE2">
            <w:pPr>
              <w:pStyle w:val="Tabletext"/>
            </w:pPr>
            <w:r w:rsidRPr="00C46A9A">
              <w:t>Lefevre</w:t>
            </w:r>
          </w:p>
        </w:tc>
        <w:tc>
          <w:tcPr>
            <w:tcW w:w="2266" w:type="dxa"/>
          </w:tcPr>
          <w:p w14:paraId="4263EB97" w14:textId="569CF305" w:rsidR="00EB1CE2" w:rsidRDefault="00DC4759" w:rsidP="00EB1CE2">
            <w:pPr>
              <w:pStyle w:val="Tabletext"/>
            </w:pPr>
            <w:r w:rsidRPr="00C46A9A">
              <w:t>Anne</w:t>
            </w:r>
          </w:p>
        </w:tc>
        <w:tc>
          <w:tcPr>
            <w:tcW w:w="2266" w:type="dxa"/>
          </w:tcPr>
          <w:p w14:paraId="0E51D940" w14:textId="5E23FDA7" w:rsidR="00EB1CE2" w:rsidRDefault="00DC4759" w:rsidP="00EB1CE2">
            <w:pPr>
              <w:pStyle w:val="Tabletext"/>
            </w:pPr>
            <w:r w:rsidRPr="00C46A9A">
              <w:t>Directrice générale</w:t>
            </w:r>
          </w:p>
        </w:tc>
      </w:tr>
      <w:tr w:rsidR="00EB1CE2" w14:paraId="4D6521CE"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24FBB9E8" w14:textId="25C6CCA8" w:rsidR="00EB1CE2" w:rsidRDefault="00DC4759" w:rsidP="00EB1CE2">
            <w:pPr>
              <w:pStyle w:val="Tabletext"/>
            </w:pPr>
            <w:r w:rsidRPr="00C46A9A">
              <w:t xml:space="preserve">SEM Ville Renouvelée </w:t>
            </w:r>
          </w:p>
        </w:tc>
        <w:tc>
          <w:tcPr>
            <w:tcW w:w="2265" w:type="dxa"/>
          </w:tcPr>
          <w:p w14:paraId="6817C0D6" w14:textId="567FA315" w:rsidR="00EB1CE2" w:rsidRDefault="00DC4759" w:rsidP="00EB1CE2">
            <w:pPr>
              <w:pStyle w:val="Tabletext"/>
            </w:pPr>
            <w:r w:rsidRPr="00C46A9A">
              <w:t>Lo Monaco</w:t>
            </w:r>
          </w:p>
        </w:tc>
        <w:tc>
          <w:tcPr>
            <w:tcW w:w="2266" w:type="dxa"/>
          </w:tcPr>
          <w:p w14:paraId="724DBD7C" w14:textId="59C7867F" w:rsidR="00EB1CE2" w:rsidRDefault="00DC4759" w:rsidP="00EB1CE2">
            <w:pPr>
              <w:pStyle w:val="Tabletext"/>
            </w:pPr>
            <w:proofErr w:type="spellStart"/>
            <w:r w:rsidRPr="00C46A9A">
              <w:t>Giussepe</w:t>
            </w:r>
            <w:proofErr w:type="spellEnd"/>
          </w:p>
        </w:tc>
        <w:tc>
          <w:tcPr>
            <w:tcW w:w="2266" w:type="dxa"/>
          </w:tcPr>
          <w:p w14:paraId="2B6B45E5" w14:textId="1927E3A8" w:rsidR="00EB1CE2" w:rsidRDefault="00DC4759" w:rsidP="00EB1CE2">
            <w:pPr>
              <w:pStyle w:val="Tabletext"/>
            </w:pPr>
            <w:r w:rsidRPr="00C46A9A">
              <w:t>Directeur général adjoint</w:t>
            </w:r>
          </w:p>
        </w:tc>
      </w:tr>
      <w:tr w:rsidR="00EB1CE2" w14:paraId="7007D630"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35CAEF28" w14:textId="2A557555" w:rsidR="00EB1CE2" w:rsidRDefault="00DC4759" w:rsidP="00EB1CE2">
            <w:pPr>
              <w:pStyle w:val="Tabletext"/>
            </w:pPr>
            <w:r w:rsidRPr="00C46A9A">
              <w:t>SPEE</w:t>
            </w:r>
          </w:p>
        </w:tc>
        <w:tc>
          <w:tcPr>
            <w:tcW w:w="2265" w:type="dxa"/>
          </w:tcPr>
          <w:p w14:paraId="4545AEF8" w14:textId="2B82F46E" w:rsidR="00EB1CE2" w:rsidRDefault="00DC4759" w:rsidP="00EB1CE2">
            <w:pPr>
              <w:pStyle w:val="Tabletext"/>
            </w:pPr>
            <w:proofErr w:type="spellStart"/>
            <w:r w:rsidRPr="00C46A9A">
              <w:t>Morcrette</w:t>
            </w:r>
            <w:proofErr w:type="spellEnd"/>
          </w:p>
        </w:tc>
        <w:tc>
          <w:tcPr>
            <w:tcW w:w="2266" w:type="dxa"/>
          </w:tcPr>
          <w:p w14:paraId="1D5626FA" w14:textId="59E7DC6D" w:rsidR="00EB1CE2" w:rsidRDefault="00DC4759" w:rsidP="00EB1CE2">
            <w:pPr>
              <w:pStyle w:val="Tabletext"/>
            </w:pPr>
            <w:r w:rsidRPr="00C46A9A">
              <w:t>Alice</w:t>
            </w:r>
          </w:p>
        </w:tc>
        <w:tc>
          <w:tcPr>
            <w:tcW w:w="2266" w:type="dxa"/>
          </w:tcPr>
          <w:p w14:paraId="0D221838" w14:textId="2F0031D7" w:rsidR="00EB1CE2" w:rsidRDefault="00DC4759" w:rsidP="00EB1CE2">
            <w:pPr>
              <w:pStyle w:val="Tabletext"/>
            </w:pPr>
            <w:r w:rsidRPr="00C46A9A">
              <w:t xml:space="preserve">Directrice </w:t>
            </w:r>
          </w:p>
        </w:tc>
      </w:tr>
      <w:tr w:rsidR="00EB1CE2" w14:paraId="44451FE8"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5F78838F" w14:textId="13061B8C" w:rsidR="00EB1CE2" w:rsidRDefault="00DC4759" w:rsidP="00EB1CE2">
            <w:pPr>
              <w:pStyle w:val="Tabletext"/>
            </w:pPr>
            <w:r w:rsidRPr="00C46A9A">
              <w:t>Union Habitat</w:t>
            </w:r>
            <w:r w:rsidR="00871358">
              <w:t xml:space="preserve"> (=USH)</w:t>
            </w:r>
          </w:p>
        </w:tc>
        <w:tc>
          <w:tcPr>
            <w:tcW w:w="2265" w:type="dxa"/>
          </w:tcPr>
          <w:p w14:paraId="2D5BE888" w14:textId="45F9751F" w:rsidR="00EB1CE2" w:rsidRDefault="00DC4759" w:rsidP="00EB1CE2">
            <w:pPr>
              <w:pStyle w:val="Tabletext"/>
            </w:pPr>
            <w:r w:rsidRPr="00C46A9A">
              <w:t>GHEKIERE</w:t>
            </w:r>
          </w:p>
        </w:tc>
        <w:tc>
          <w:tcPr>
            <w:tcW w:w="2266" w:type="dxa"/>
          </w:tcPr>
          <w:p w14:paraId="39F46C3E" w14:textId="0E0EF16B" w:rsidR="00EB1CE2" w:rsidRDefault="00DC4759" w:rsidP="00EB1CE2">
            <w:pPr>
              <w:pStyle w:val="Tabletext"/>
            </w:pPr>
            <w:r w:rsidRPr="00C46A9A">
              <w:t>Laurent</w:t>
            </w:r>
          </w:p>
        </w:tc>
        <w:tc>
          <w:tcPr>
            <w:tcW w:w="2266" w:type="dxa"/>
          </w:tcPr>
          <w:p w14:paraId="70E96142" w14:textId="6E505076" w:rsidR="00EB1CE2" w:rsidRDefault="00DC4759" w:rsidP="00EB1CE2">
            <w:pPr>
              <w:pStyle w:val="Tabletext"/>
            </w:pPr>
            <w:r w:rsidRPr="00C46A9A">
              <w:t>Directeur des affaires européennes</w:t>
            </w:r>
          </w:p>
        </w:tc>
      </w:tr>
      <w:tr w:rsidR="00EB1CE2" w14:paraId="6C2E0FA6"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4F74B1EB" w14:textId="1A2BC0B8" w:rsidR="00EB1CE2" w:rsidRDefault="00DC4759" w:rsidP="00EB1CE2">
            <w:pPr>
              <w:pStyle w:val="Tabletext"/>
            </w:pPr>
            <w:r w:rsidRPr="00C46A9A">
              <w:t>Ville de Lille</w:t>
            </w:r>
          </w:p>
        </w:tc>
        <w:tc>
          <w:tcPr>
            <w:tcW w:w="2265" w:type="dxa"/>
          </w:tcPr>
          <w:p w14:paraId="4ADA68ED" w14:textId="1B8D2471" w:rsidR="00EB1CE2" w:rsidRDefault="00DC4759" w:rsidP="00EB1CE2">
            <w:pPr>
              <w:pStyle w:val="Tabletext"/>
            </w:pPr>
            <w:r w:rsidRPr="00C46A9A">
              <w:t>BALEUX</w:t>
            </w:r>
          </w:p>
        </w:tc>
        <w:tc>
          <w:tcPr>
            <w:tcW w:w="2266" w:type="dxa"/>
          </w:tcPr>
          <w:p w14:paraId="37F81CCC" w14:textId="10BBD57A" w:rsidR="00EB1CE2" w:rsidRDefault="00DC4759" w:rsidP="00EB1CE2">
            <w:pPr>
              <w:pStyle w:val="Tabletext"/>
            </w:pPr>
            <w:r w:rsidRPr="00C46A9A">
              <w:t>Damien</w:t>
            </w:r>
          </w:p>
        </w:tc>
        <w:tc>
          <w:tcPr>
            <w:tcW w:w="2266" w:type="dxa"/>
          </w:tcPr>
          <w:p w14:paraId="447589A3" w14:textId="10F9554E" w:rsidR="00EB1CE2" w:rsidRDefault="00DC4759" w:rsidP="00EB1CE2">
            <w:pPr>
              <w:pStyle w:val="Tabletext"/>
            </w:pPr>
            <w:r w:rsidRPr="00C46A9A">
              <w:t>Chef de service Energie</w:t>
            </w:r>
          </w:p>
        </w:tc>
      </w:tr>
      <w:tr w:rsidR="00EB1CE2" w14:paraId="5432382D"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2E2091E2" w14:textId="484A5CB7" w:rsidR="00EB1CE2" w:rsidRDefault="00DC4759" w:rsidP="00EB1CE2">
            <w:pPr>
              <w:pStyle w:val="Tabletext"/>
            </w:pPr>
            <w:proofErr w:type="spellStart"/>
            <w:r w:rsidRPr="00C46A9A">
              <w:t>Vilogia</w:t>
            </w:r>
            <w:proofErr w:type="spellEnd"/>
          </w:p>
        </w:tc>
        <w:tc>
          <w:tcPr>
            <w:tcW w:w="2265" w:type="dxa"/>
          </w:tcPr>
          <w:p w14:paraId="32894BC4" w14:textId="67D3A7FA" w:rsidR="00EB1CE2" w:rsidRDefault="00DC4759" w:rsidP="00EB1CE2">
            <w:pPr>
              <w:pStyle w:val="Tabletext"/>
            </w:pPr>
            <w:r w:rsidRPr="00C46A9A">
              <w:t>Lasserre</w:t>
            </w:r>
          </w:p>
        </w:tc>
        <w:tc>
          <w:tcPr>
            <w:tcW w:w="2266" w:type="dxa"/>
          </w:tcPr>
          <w:p w14:paraId="582C6EAD" w14:textId="3DE0174F" w:rsidR="00EB1CE2" w:rsidRDefault="00DC4759" w:rsidP="00EB1CE2">
            <w:pPr>
              <w:pStyle w:val="Tabletext"/>
            </w:pPr>
            <w:r w:rsidRPr="00C46A9A">
              <w:t>Fabien</w:t>
            </w:r>
          </w:p>
        </w:tc>
        <w:tc>
          <w:tcPr>
            <w:tcW w:w="2266" w:type="dxa"/>
          </w:tcPr>
          <w:p w14:paraId="3B9EBFD6" w14:textId="58EB0458" w:rsidR="00EB1CE2" w:rsidRDefault="00DC4759" w:rsidP="00EB1CE2">
            <w:pPr>
              <w:pStyle w:val="Tabletext"/>
            </w:pPr>
            <w:r w:rsidRPr="00C46A9A">
              <w:t>Responsable pôle Innovation Technique</w:t>
            </w:r>
          </w:p>
        </w:tc>
      </w:tr>
    </w:tbl>
    <w:p w14:paraId="17124F25" w14:textId="3D2D04D7" w:rsidR="00C36BB8" w:rsidRDefault="00C36BB8" w:rsidP="0098028B">
      <w:pPr>
        <w:pStyle w:val="BodyText"/>
      </w:pPr>
    </w:p>
    <w:p w14:paraId="6F4B7291" w14:textId="77777777" w:rsidR="00C36BB8" w:rsidRPr="0098028B" w:rsidRDefault="00C36BB8" w:rsidP="0098028B">
      <w:pPr>
        <w:pStyle w:val="BodyText"/>
      </w:pPr>
    </w:p>
    <w:p w14:paraId="55D24074" w14:textId="2A8C3D57" w:rsidR="001D3012" w:rsidRDefault="00B357E0" w:rsidP="00DF7E4D">
      <w:pPr>
        <w:pStyle w:val="AppendixHeading1"/>
      </w:pPr>
      <w:bookmarkStart w:id="150" w:name="_Toc93390304"/>
      <w:r>
        <w:t>Benchmarks</w:t>
      </w:r>
      <w:bookmarkEnd w:id="150"/>
    </w:p>
    <w:p w14:paraId="78857954" w14:textId="4EF8A739" w:rsidR="00F74476" w:rsidRPr="00F74476" w:rsidRDefault="00B357E0" w:rsidP="009123D5">
      <w:pPr>
        <w:pStyle w:val="AppendixHeading2"/>
      </w:pPr>
      <w:bookmarkStart w:id="151" w:name="_Toc93390305"/>
      <w:r>
        <w:t>SPL OSER</w:t>
      </w:r>
      <w:bookmarkEnd w:id="151"/>
    </w:p>
    <w:p w14:paraId="33C9273D" w14:textId="2B8E4599" w:rsidR="00B357E0" w:rsidRDefault="00B357E0" w:rsidP="00B25F4E">
      <w:pPr>
        <w:pStyle w:val="AppendixHeading3"/>
      </w:pPr>
      <w:bookmarkStart w:id="152" w:name="_Toc93390306"/>
      <w:r>
        <w:t>Éléments de contexte : pourquoi le fonds a été créé ?</w:t>
      </w:r>
      <w:bookmarkEnd w:id="152"/>
    </w:p>
    <w:p w14:paraId="46F329E6" w14:textId="77777777" w:rsidR="00B357E0" w:rsidRDefault="00B357E0" w:rsidP="00B357E0">
      <w:pPr>
        <w:pStyle w:val="BodyText"/>
      </w:pPr>
      <w:r>
        <w:t xml:space="preserve">40% de la consommation d’énergies primaires et 27% des émissions de gaz à effet de serre en Région Rhône-Alpes sont causées par le secteur du bâtiment. Au sein de celui-ci, environ 15% de la consommation d’énergie est issue du patrimoine public. </w:t>
      </w:r>
    </w:p>
    <w:p w14:paraId="799B351E" w14:textId="77777777" w:rsidR="00B357E0" w:rsidRDefault="00B357E0" w:rsidP="00B357E0">
      <w:pPr>
        <w:pStyle w:val="BodyText"/>
      </w:pPr>
      <w:r>
        <w:t xml:space="preserve">Afin d’atteindre les objectifs ambitieux de réduction des consommations et émissions régionales, l’ensemble du parc de bâtiments existants doit être basse consommation d’ici 2050, ce qui implique un important besoin de rénovations énergétiques pour le bâti public. </w:t>
      </w:r>
    </w:p>
    <w:p w14:paraId="5251B490" w14:textId="77777777" w:rsidR="00B357E0" w:rsidRDefault="00B357E0" w:rsidP="00B357E0">
      <w:pPr>
        <w:pStyle w:val="BodyText"/>
      </w:pPr>
      <w:r>
        <w:t xml:space="preserve">Le constat régional d’un manque de compétences internalisés au sein des collectivités et des moyens nécessaires à la mise en place de ces projets ambitieux a mené à la création de la SPL Oser (pour « opérateur de services énergétiques régional) pour les accompagner. </w:t>
      </w:r>
    </w:p>
    <w:p w14:paraId="2388CB1C" w14:textId="3595C3F5" w:rsidR="00B357E0" w:rsidRDefault="00B357E0" w:rsidP="00B25F4E">
      <w:pPr>
        <w:pStyle w:val="AppendixHeading3"/>
      </w:pPr>
      <w:bookmarkStart w:id="153" w:name="_Toc93390307"/>
      <w:r>
        <w:t>Objectifs du fonds</w:t>
      </w:r>
      <w:bookmarkEnd w:id="153"/>
    </w:p>
    <w:p w14:paraId="51E4BFFF" w14:textId="77777777" w:rsidR="00B357E0" w:rsidRDefault="00B357E0" w:rsidP="00B357E0">
      <w:pPr>
        <w:pStyle w:val="BodyText"/>
      </w:pPr>
      <w:r>
        <w:t xml:space="preserve">La SPL OSER vise à faciliter la mise en place et le financement des projets de rénovation énergétique des bâtiments publics. Elle apporte sa compétence aux collectivités territoriales dans la définition et la mise en œuvre de projets adaptés au contexte de la collectivité et du site. </w:t>
      </w:r>
    </w:p>
    <w:p w14:paraId="4FA676C6" w14:textId="77777777" w:rsidR="00B357E0" w:rsidRDefault="00B357E0" w:rsidP="00B357E0">
      <w:pPr>
        <w:pStyle w:val="BodyText"/>
      </w:pPr>
      <w:r>
        <w:t xml:space="preserve">En termes de financements, elle visait jusqu’à récemment à agir en tant que tiers-financeur et à avancer les fonds nécessaires aux travaux, financés par la suite par les économies d’énergies de la collectivité territoriale. </w:t>
      </w:r>
    </w:p>
    <w:p w14:paraId="40275B4D" w14:textId="5D1EB5D1" w:rsidR="00B357E0" w:rsidRDefault="00B357E0" w:rsidP="00B25F4E">
      <w:pPr>
        <w:pStyle w:val="AppendixHeading3"/>
      </w:pPr>
      <w:bookmarkStart w:id="154" w:name="_Toc93390308"/>
      <w:r>
        <w:t>Présentation du fonds</w:t>
      </w:r>
      <w:bookmarkEnd w:id="154"/>
    </w:p>
    <w:p w14:paraId="40E67CDA" w14:textId="77777777" w:rsidR="00B357E0" w:rsidRDefault="00B357E0" w:rsidP="00B357E0">
      <w:pPr>
        <w:pStyle w:val="BodyText"/>
      </w:pPr>
      <w:r>
        <w:t xml:space="preserve">La SPL d’Efficacité Energétique est, avec la SCR </w:t>
      </w:r>
      <w:proofErr w:type="spellStart"/>
      <w:r>
        <w:t>EnR</w:t>
      </w:r>
      <w:proofErr w:type="spellEnd"/>
      <w:r>
        <w:t xml:space="preserve">, un des outils de l’opérateur OSER. Sa forme juridique de Société Publique Locale (société anonyme spécifique à destination des collectivités locales pour la gestion de leurs services publics) lui permet de nouer des relations contractuelles avec ses collectivités actionnaires et de s’extraire en partie des obligations de mise en concurrence. </w:t>
      </w:r>
    </w:p>
    <w:p w14:paraId="655095E7" w14:textId="77777777" w:rsidR="00B357E0" w:rsidRDefault="00B357E0" w:rsidP="00B357E0">
      <w:pPr>
        <w:pStyle w:val="BodyText"/>
      </w:pPr>
      <w:r>
        <w:t>Le rôle de la SPL est de prendre en charge l’ensemble des étapes du projet de rénovation énergétique de la collectivité depuis les études d’aide à la décision jusqu’à la gestion de l’exploitation en passant par la passation de marchés et la négociation des financements.</w:t>
      </w:r>
    </w:p>
    <w:p w14:paraId="5F93AF89" w14:textId="77777777" w:rsidR="00B357E0" w:rsidRDefault="00B357E0" w:rsidP="00B357E0">
      <w:pPr>
        <w:pStyle w:val="BodyText"/>
      </w:pPr>
      <w:r>
        <w:t>La SPL est l’interlocuteur unique de la collectivité dans son projet de rénovation. Elle prend en charge les actions suivantes :</w:t>
      </w:r>
    </w:p>
    <w:p w14:paraId="3FC1F4D5" w14:textId="551FD25D" w:rsidR="00B357E0" w:rsidRDefault="00B357E0" w:rsidP="00B25F4E">
      <w:pPr>
        <w:pStyle w:val="Bullet1"/>
      </w:pPr>
      <w:r>
        <w:t>apport d’expertise d’aide à la décision : définition d’une stratégie patrimoniale pour la collectivité, audit technique et énergétique, évaluation préalable ;</w:t>
      </w:r>
    </w:p>
    <w:p w14:paraId="0EDA75F6" w14:textId="73566948" w:rsidR="00B357E0" w:rsidRDefault="00B357E0" w:rsidP="00B25F4E">
      <w:pPr>
        <w:pStyle w:val="Bullet1"/>
      </w:pPr>
      <w:r>
        <w:t>passation des contrats : consultation des entreprises, recherche de financements, signature du BEA lorsque pertinent ;</w:t>
      </w:r>
    </w:p>
    <w:p w14:paraId="6DEC0507" w14:textId="29412EF7" w:rsidR="00B357E0" w:rsidRDefault="00B357E0" w:rsidP="00B25F4E">
      <w:pPr>
        <w:pStyle w:val="Bullet1"/>
      </w:pPr>
      <w:r>
        <w:t xml:space="preserve">pilotage des opérations de rénovation énergétique : suivi de la conception du projet et de la réalisation des travaux, opérations de réception ; </w:t>
      </w:r>
    </w:p>
    <w:p w14:paraId="1289D342" w14:textId="357C58E1" w:rsidR="00B357E0" w:rsidRDefault="00B357E0" w:rsidP="00B25F4E">
      <w:pPr>
        <w:pStyle w:val="Bullet1"/>
      </w:pPr>
      <w:r>
        <w:t>maintenance et utilisation : suivi des performances et de l’exploitation du bâtiment rénové.</w:t>
      </w:r>
    </w:p>
    <w:p w14:paraId="4C7A4C3D" w14:textId="77777777" w:rsidR="00B357E0" w:rsidRDefault="00B357E0" w:rsidP="00B25F4E">
      <w:pPr>
        <w:pStyle w:val="Bullet1"/>
        <w:numPr>
          <w:ilvl w:val="0"/>
          <w:numId w:val="0"/>
        </w:numPr>
      </w:pPr>
    </w:p>
    <w:p w14:paraId="0ACBA205" w14:textId="77777777" w:rsidR="00B357E0" w:rsidRDefault="00B357E0" w:rsidP="00B357E0">
      <w:pPr>
        <w:pStyle w:val="BodyText"/>
      </w:pPr>
    </w:p>
    <w:p w14:paraId="411355D6" w14:textId="77777777" w:rsidR="00B357E0" w:rsidRDefault="00B357E0" w:rsidP="00B357E0">
      <w:pPr>
        <w:pStyle w:val="BodyText"/>
      </w:pPr>
      <w:r>
        <w:t>La SPL Oser n’est pas un instrument financier au titre strict (fonds de participation, de prêts, de garantie) mais agit en tant que tiers de confiance et facilitateur des projets de rénovation énergétique de bâtiment publics. Au niveau financier, elle agissait jusqu’à récemment en tiers-financement de la manière suivante :</w:t>
      </w:r>
    </w:p>
    <w:p w14:paraId="1DD0B92D" w14:textId="5777AC95" w:rsidR="00B357E0" w:rsidRDefault="00B357E0" w:rsidP="00B25F4E">
      <w:pPr>
        <w:pStyle w:val="Bullet1"/>
      </w:pPr>
      <w:r>
        <w:t>elle recevait des fonds propres de ses collectivités actionnaires ainsi que des loyers sur les bâtiments rénovés et versait une redevance à ces même collectivités conformément aux termes d’un bail emphytéotique administratif et à sa convention de mise à disposition</w:t>
      </w:r>
    </w:p>
    <w:p w14:paraId="6B5CC34B" w14:textId="0EF4AE97" w:rsidR="00B357E0" w:rsidRDefault="00B357E0" w:rsidP="00B25F4E">
      <w:pPr>
        <w:pStyle w:val="Bullet1"/>
      </w:pPr>
      <w:r>
        <w:t>elle prenait en charge la recherche de prêts auprès de financeurs, apporte la documentation financière et assure le remboursement du capital et des intérêts, selon une convention tripartite passée entre les financeurs, la SPL et la collectivité concernée</w:t>
      </w:r>
    </w:p>
    <w:p w14:paraId="60BD0D2E" w14:textId="1C6E26CF" w:rsidR="00B357E0" w:rsidRDefault="00B357E0" w:rsidP="00B25F4E">
      <w:pPr>
        <w:pStyle w:val="Bullet1"/>
      </w:pPr>
      <w:r>
        <w:t>elle prenait en charge les coûts d’investissements et d’exploitation et de « gros entretien renouvellement » du bâtiment, encadré par un contrat de performance énergétique (CR ou CREM) passé avec les entreprises de conception, réalisation et exploitation.</w:t>
      </w:r>
    </w:p>
    <w:p w14:paraId="4FAF7E25" w14:textId="77777777" w:rsidR="00B357E0" w:rsidRDefault="00B357E0" w:rsidP="00B357E0">
      <w:pPr>
        <w:pStyle w:val="BodyText"/>
      </w:pPr>
      <w:r>
        <w:t xml:space="preserve">Désormais, la SPL OSER ne fait plus de tiers-financement et propose uniquement aux collectivités un accompagnement pour la réalisation de Marchés Publics Globaux de Performance Energétique (MGPE). Cet abandon est lié à la réforme des marchés publics en 2015 qui n'a plus rendue possible, sans mise en concurrence, l'utilisation de baux emphytéotiques administratifs jusqu'alors utilisés par la SPL OSER. </w:t>
      </w:r>
    </w:p>
    <w:p w14:paraId="1A872284" w14:textId="77777777" w:rsidR="00B357E0" w:rsidRDefault="00B357E0" w:rsidP="00B357E0">
      <w:pPr>
        <w:pStyle w:val="BodyText"/>
      </w:pPr>
      <w:r>
        <w:t>En termes de modalités, la SPL Oser intervient :</w:t>
      </w:r>
    </w:p>
    <w:p w14:paraId="4D43E9F5" w14:textId="755B5298" w:rsidR="00B357E0" w:rsidRDefault="00B357E0" w:rsidP="00B25F4E">
      <w:pPr>
        <w:pStyle w:val="Bullet1"/>
      </w:pPr>
      <w:r>
        <w:t>sur la base d’un marché fixant les objectifs de l’étude pour les audits techniques et énergétique ainsi que pour les études globales sur un ensemble de bâtiments ;</w:t>
      </w:r>
    </w:p>
    <w:p w14:paraId="41734B33" w14:textId="31F588CC" w:rsidR="00B357E0" w:rsidRDefault="00B357E0" w:rsidP="00B25F4E">
      <w:pPr>
        <w:pStyle w:val="Bullet1"/>
      </w:pPr>
      <w:r>
        <w:t>en mandat de maîtrise d’ouvrage permettant à la SPL de réaliser l’opération « au nom et pour le compte » de la collectivité, pour la phase de conception/réalisation. La collectivité conserve dans ce cadre ses prérogatives et verse des avances de trésoreries à la SPL.</w:t>
      </w:r>
    </w:p>
    <w:p w14:paraId="7F18AC47" w14:textId="1C9550BA" w:rsidR="00B357E0" w:rsidRDefault="005460E4" w:rsidP="005460E4">
      <w:pPr>
        <w:pStyle w:val="AppendixHeading3"/>
      </w:pPr>
      <w:bookmarkStart w:id="155" w:name="_Toc93390309"/>
      <w:r>
        <w:t>P</w:t>
      </w:r>
      <w:r w:rsidR="00B357E0">
        <w:t>rincipales actions engagées et résultats</w:t>
      </w:r>
      <w:bookmarkEnd w:id="155"/>
    </w:p>
    <w:p w14:paraId="70962E4E" w14:textId="77777777" w:rsidR="00B357E0" w:rsidRDefault="00B357E0" w:rsidP="00B357E0">
      <w:pPr>
        <w:pStyle w:val="BodyText"/>
      </w:pPr>
      <w:r>
        <w:t>Depuis son lancement en 2016, la SPL a accompagné 31 projets de collectivités locales dont 23 ont été livrés et 8 sont encore en cours. Il s’agit essentiellement de rénovations de bâtiments scolaires (collèges, lycées) tels que :</w:t>
      </w:r>
    </w:p>
    <w:p w14:paraId="4C7B52C2" w14:textId="2093698F" w:rsidR="00B357E0" w:rsidRDefault="00B357E0" w:rsidP="00C36BB8">
      <w:pPr>
        <w:pStyle w:val="Bullet1"/>
      </w:pPr>
      <w:r>
        <w:t xml:space="preserve">la rénovation du Lycée de Montgolfier à </w:t>
      </w:r>
      <w:proofErr w:type="spellStart"/>
      <w:r>
        <w:t>Amonay</w:t>
      </w:r>
      <w:proofErr w:type="spellEnd"/>
      <w:r>
        <w:t>, premier projet de la SPL dans le périmètre de protection d’un monument historique dont les consommations annuelles d’énergie s’élevaient à 632 MWh pour un coût de 40,8k€ ;</w:t>
      </w:r>
    </w:p>
    <w:p w14:paraId="3222B006" w14:textId="496BD596" w:rsidR="00B357E0" w:rsidRDefault="00B357E0" w:rsidP="00C36BB8">
      <w:pPr>
        <w:pStyle w:val="Bullet1"/>
      </w:pPr>
      <w:r>
        <w:t>la rénovation du Centre Jean Vilar à Bellegarde sur Valserine, où la SPL est intervenue en AMO pour la passation d’un contrat de performance énergétique par la ville ;</w:t>
      </w:r>
    </w:p>
    <w:p w14:paraId="77C79DF5" w14:textId="606C8568" w:rsidR="00B357E0" w:rsidRDefault="00B357E0" w:rsidP="00C36BB8">
      <w:pPr>
        <w:pStyle w:val="Bullet1"/>
      </w:pPr>
      <w:r>
        <w:t>la rénovation en cours du Centre Administratif Paul Pillet à Roanne à la consommation d’énergie annuelle de 1066 MWh (85k€), visant à atteindre une consommation annuelle de 497 MWh (56k€) ;</w:t>
      </w:r>
    </w:p>
    <w:p w14:paraId="4003C0A8" w14:textId="3C2A3BFE" w:rsidR="00B357E0" w:rsidRDefault="00B357E0" w:rsidP="00C36BB8">
      <w:pPr>
        <w:pStyle w:val="Bullet1"/>
      </w:pPr>
      <w:r>
        <w:t xml:space="preserve">la rénovation en cours du groupe scolaire du Vernay à Annecy et de son gymnase, présentant un potentiel intéressant pour la mise en œuvre d’une installation photovoltaïque. </w:t>
      </w:r>
    </w:p>
    <w:p w14:paraId="6B02C239" w14:textId="77777777" w:rsidR="00B357E0" w:rsidRDefault="00B357E0" w:rsidP="00B357E0">
      <w:pPr>
        <w:pStyle w:val="BodyText"/>
      </w:pPr>
      <w:r>
        <w:t>4 projets sont actuellement à l’étude.</w:t>
      </w:r>
    </w:p>
    <w:p w14:paraId="63E1F2B3" w14:textId="66BC8661" w:rsidR="00B357E0" w:rsidRDefault="00B357E0" w:rsidP="005460E4">
      <w:pPr>
        <w:pStyle w:val="AppendixHeading3"/>
      </w:pPr>
      <w:bookmarkStart w:id="156" w:name="_Toc93390310"/>
      <w:r>
        <w:t>Structuration et financement (dont partenaires)</w:t>
      </w:r>
      <w:bookmarkEnd w:id="156"/>
      <w:r>
        <w:t xml:space="preserve"> </w:t>
      </w:r>
    </w:p>
    <w:p w14:paraId="6E28AFBD" w14:textId="77777777" w:rsidR="00B357E0" w:rsidRDefault="00B357E0" w:rsidP="00B357E0">
      <w:pPr>
        <w:pStyle w:val="BodyText"/>
      </w:pPr>
      <w:r>
        <w:t xml:space="preserve">La SPL OSER est entièrement détenue par ses collectivités locales actionnaires. L’actionnariat est ouvert aux collectivités par une prise de capital modéré à l’entrée (1€/habitant jusqu’à 50k habitant puis 50k€ au-delà). </w:t>
      </w:r>
    </w:p>
    <w:p w14:paraId="29EAE963" w14:textId="77777777" w:rsidR="00B357E0" w:rsidRDefault="00B357E0" w:rsidP="00B357E0">
      <w:pPr>
        <w:pStyle w:val="BodyText"/>
      </w:pPr>
      <w:r>
        <w:t>Elle a bénéficié d’une subvention du Fonds européen d’efficacité énergétique (</w:t>
      </w:r>
      <w:proofErr w:type="spellStart"/>
      <w:r>
        <w:t>European</w:t>
      </w:r>
      <w:proofErr w:type="spellEnd"/>
      <w:r>
        <w:t xml:space="preserve"> Energy </w:t>
      </w:r>
      <w:proofErr w:type="spellStart"/>
      <w:r>
        <w:t>Efficiency</w:t>
      </w:r>
      <w:proofErr w:type="spellEnd"/>
      <w:r>
        <w:t xml:space="preserve"> </w:t>
      </w:r>
      <w:proofErr w:type="spellStart"/>
      <w:r>
        <w:t>Fund</w:t>
      </w:r>
      <w:proofErr w:type="spellEnd"/>
      <w:r>
        <w:t xml:space="preserve"> – EEEF) qui a contribué au lancement de la société.</w:t>
      </w:r>
    </w:p>
    <w:p w14:paraId="34083B08" w14:textId="77777777" w:rsidR="00B357E0" w:rsidRDefault="00B357E0" w:rsidP="00B357E0">
      <w:pPr>
        <w:pStyle w:val="BodyText"/>
      </w:pPr>
      <w:r>
        <w:t xml:space="preserve">Disposant initialement de 10M€ de capital, elle a également reçu des fonds à son lancement de la part du groupe Caisse des Dépôts, de la Caisse d’Epargne Rhône-Alpes et de l’ADEME . </w:t>
      </w:r>
    </w:p>
    <w:p w14:paraId="3ACD60FF" w14:textId="1E5464E2" w:rsidR="00B357E0" w:rsidRDefault="00B357E0" w:rsidP="005460E4">
      <w:pPr>
        <w:pStyle w:val="AppendixHeading3"/>
      </w:pPr>
      <w:bookmarkStart w:id="157" w:name="_Toc93390311"/>
      <w:r>
        <w:t>Enseignements</w:t>
      </w:r>
      <w:bookmarkEnd w:id="157"/>
      <w:r>
        <w:t xml:space="preserve"> </w:t>
      </w:r>
    </w:p>
    <w:p w14:paraId="740EEE3A" w14:textId="77777777" w:rsidR="00B357E0" w:rsidRDefault="00B357E0" w:rsidP="00B357E0">
      <w:pPr>
        <w:pStyle w:val="BodyText"/>
      </w:pPr>
      <w:r>
        <w:t xml:space="preserve">La SPL Oser répond à un besoin marqué d’accompagnement technique et financier des collectivités dans leurs projets de rénovation énergétique. Afin d’atteindre cet objectif, elle a développé une spécialisation, une connaissance des sujets techniques et des acteurs territoriaux permettant d’offrir une garantie de performance à la collectivité. </w:t>
      </w:r>
    </w:p>
    <w:p w14:paraId="7BD60DDE" w14:textId="77777777" w:rsidR="00B357E0" w:rsidRDefault="00B357E0" w:rsidP="00B357E0">
      <w:pPr>
        <w:pStyle w:val="BodyText"/>
      </w:pPr>
      <w:r>
        <w:t>La capacité d’organiser en tant que Maîtrise d’Ouvrage le développement et la réalisation des travaux ainsi que de la maintenance des bâtiments dans une approche intégrée permet de sécuriser la collectivité dans sa démarche de rénovation.</w:t>
      </w:r>
    </w:p>
    <w:p w14:paraId="5DDF05F1" w14:textId="77777777" w:rsidR="00B357E0" w:rsidRDefault="00B357E0" w:rsidP="00B357E0">
      <w:pPr>
        <w:pStyle w:val="BodyText"/>
      </w:pPr>
      <w:r>
        <w:t>L’arrêt de l’activité de tiers-financement n’a a priori pas eu d’impact sur le portefeuille de projets en cours et à l’étude, illustrant l’importance d’un apport d’expertise technique et d’accompagnement pour les collectivités territoriales, davantage qu’un apport de fonds et un accès à la dette facilité.</w:t>
      </w:r>
    </w:p>
    <w:p w14:paraId="4FF3D7F9" w14:textId="5BF7F746" w:rsidR="00B357E0" w:rsidRDefault="00B357E0" w:rsidP="005460E4">
      <w:pPr>
        <w:pStyle w:val="AppendixHeading3"/>
      </w:pPr>
      <w:bookmarkStart w:id="158" w:name="_Toc93390312"/>
      <w:r>
        <w:t>Clés de succès</w:t>
      </w:r>
      <w:bookmarkEnd w:id="158"/>
      <w:r>
        <w:t xml:space="preserve"> </w:t>
      </w:r>
    </w:p>
    <w:p w14:paraId="58B15B19" w14:textId="77777777" w:rsidR="00B357E0" w:rsidRDefault="00B357E0" w:rsidP="00B357E0">
      <w:pPr>
        <w:pStyle w:val="BodyText"/>
      </w:pPr>
      <w:r>
        <w:t>Les facteurs de succès de la SPL Oser sont les suivants :</w:t>
      </w:r>
    </w:p>
    <w:p w14:paraId="2700C0A6" w14:textId="7BDB1581" w:rsidR="00B357E0" w:rsidRDefault="00B357E0" w:rsidP="00C36BB8">
      <w:pPr>
        <w:pStyle w:val="Bullet1"/>
      </w:pPr>
      <w:r>
        <w:t>l’apport d’une expertise intégrée sur l’ensemble du cycle du projet de rénovation énergétique depuis les études de faisabilités jusqu’à la maintenance du bâtiment</w:t>
      </w:r>
    </w:p>
    <w:p w14:paraId="62EB6FBA" w14:textId="6A8C205F" w:rsidR="00B357E0" w:rsidRDefault="00B357E0" w:rsidP="00C36BB8">
      <w:pPr>
        <w:pStyle w:val="Bullet1"/>
      </w:pPr>
      <w:r>
        <w:t>la mutualisation de compétences techniques et financières, nécessaire notamment aux contrats de performance énergétique et l’apport de moyens opérationnels accrus</w:t>
      </w:r>
    </w:p>
    <w:p w14:paraId="7D2A2116" w14:textId="79275AD5" w:rsidR="00B357E0" w:rsidRDefault="00B357E0" w:rsidP="00C36BB8">
      <w:pPr>
        <w:pStyle w:val="Bullet1"/>
      </w:pPr>
      <w:r>
        <w:t>la capitalisation sur des méthodes et outils développés par la SPL, reproductibles au fil des différents projets</w:t>
      </w:r>
    </w:p>
    <w:p w14:paraId="5444461F" w14:textId="77CB1904" w:rsidR="00B357E0" w:rsidRDefault="00B357E0" w:rsidP="00C36BB8">
      <w:pPr>
        <w:pStyle w:val="Bullet1"/>
      </w:pPr>
      <w:r>
        <w:t>la garantie d’une performance énergétique et la prise en compte des travaux connexes dans son approche de la rénovation.</w:t>
      </w:r>
    </w:p>
    <w:p w14:paraId="5A42FA49" w14:textId="07D42D78" w:rsidR="00B357E0" w:rsidRDefault="00B357E0" w:rsidP="005460E4">
      <w:pPr>
        <w:pStyle w:val="AppendixHeading3"/>
      </w:pPr>
      <w:bookmarkStart w:id="159" w:name="_Toc93390313"/>
      <w:r>
        <w:t>Mise en perspective par rapport à la région Hauts-de-France</w:t>
      </w:r>
      <w:bookmarkEnd w:id="159"/>
    </w:p>
    <w:p w14:paraId="5688B95B" w14:textId="77777777" w:rsidR="00B357E0" w:rsidRDefault="00B357E0" w:rsidP="00B357E0">
      <w:pPr>
        <w:pStyle w:val="BodyText"/>
      </w:pPr>
      <w:r>
        <w:t xml:space="preserve">Les dispositifs d’accompagnement à la rénovation énergétique du bâti public sont peu répandus et répondent à un véritable besoin. Le modèle de tiers-financement et d’une société publique locale faisant office de tiers de confiance et prenant en charge l’ensemble de la maîtrise d’ouvrage d’un projet de rénovation énergétique apparaît être un modèle pouvant être pertinent au sein de la Région Hauts-de-France. Toutefois, suite à la réforme des marchés publics de 2015, la SPL Oser a mis fin à ses activités de tiers-financement et s’est recentrée sur son activité d’accompagnement. Dans ce cadre, le SPEE pourrait apparaître comme un interlocuteur pertinent pour les collectivités, comme c’est le cas d’île de France Energies, au modèle similaire et apportant également une expertise technique aux collectivités locales. </w:t>
      </w:r>
    </w:p>
    <w:p w14:paraId="563BB50B" w14:textId="310ABF0F" w:rsidR="00B357E0" w:rsidRDefault="00B357E0" w:rsidP="005460E4">
      <w:pPr>
        <w:pStyle w:val="AppendixHeading3"/>
      </w:pPr>
      <w:bookmarkStart w:id="160" w:name="_Toc93390314"/>
      <w:r>
        <w:t>Contact</w:t>
      </w:r>
      <w:bookmarkEnd w:id="160"/>
    </w:p>
    <w:p w14:paraId="4B9D50CB" w14:textId="2E6BF197" w:rsidR="00B357E0" w:rsidRDefault="00B357E0" w:rsidP="00B357E0">
      <w:pPr>
        <w:pStyle w:val="BodyText"/>
      </w:pPr>
      <w:r>
        <w:t xml:space="preserve"> Philippe </w:t>
      </w:r>
      <w:proofErr w:type="spellStart"/>
      <w:r>
        <w:t>Truchy</w:t>
      </w:r>
      <w:proofErr w:type="spellEnd"/>
      <w:r>
        <w:t xml:space="preserve">, Directeur Général de la SPL OSER a été contacté pour réaliser ce benchmark : </w:t>
      </w:r>
      <w:hyperlink r:id="rId40" w:history="1">
        <w:r w:rsidR="005460E4" w:rsidRPr="003D11EE">
          <w:rPr>
            <w:rStyle w:val="Hyperlink"/>
          </w:rPr>
          <w:t>philippe.truchy@spl-oser.fr</w:t>
        </w:r>
      </w:hyperlink>
      <w:r w:rsidR="005460E4">
        <w:t xml:space="preserve"> </w:t>
      </w:r>
      <w:r>
        <w:t xml:space="preserve"> </w:t>
      </w:r>
    </w:p>
    <w:p w14:paraId="6D3167DD" w14:textId="62E9834A" w:rsidR="00B357E0" w:rsidRDefault="00B357E0" w:rsidP="005460E4">
      <w:pPr>
        <w:pStyle w:val="AppendixHeading3"/>
      </w:pPr>
      <w:bookmarkStart w:id="161" w:name="_Toc93390315"/>
      <w:r>
        <w:t>Autres sources</w:t>
      </w:r>
      <w:bookmarkEnd w:id="161"/>
      <w:r>
        <w:t xml:space="preserve"> </w:t>
      </w:r>
    </w:p>
    <w:p w14:paraId="1B6A8D9C" w14:textId="5BD9DD31" w:rsidR="00B357E0" w:rsidRDefault="00B455B7" w:rsidP="00B357E0">
      <w:pPr>
        <w:pStyle w:val="BodyText"/>
      </w:pPr>
      <w:hyperlink r:id="rId41" w:history="1">
        <w:r w:rsidR="005460E4" w:rsidRPr="003D11EE">
          <w:rPr>
            <w:rStyle w:val="Hyperlink"/>
          </w:rPr>
          <w:t>https://spl-oser.fr/</w:t>
        </w:r>
      </w:hyperlink>
      <w:r w:rsidR="005460E4">
        <w:t xml:space="preserve"> </w:t>
      </w:r>
    </w:p>
    <w:p w14:paraId="61C76B1E" w14:textId="50078AC0" w:rsidR="00B357E0" w:rsidRDefault="00B455B7" w:rsidP="00B357E0">
      <w:pPr>
        <w:pStyle w:val="BodyText"/>
      </w:pPr>
      <w:hyperlink r:id="rId42" w:history="1">
        <w:r w:rsidR="005460E4" w:rsidRPr="003D11EE">
          <w:rPr>
            <w:rStyle w:val="Hyperlink"/>
          </w:rPr>
          <w:t>https://www.eeef.lu/news-detail/la-spl-oser-realise-ses-premiers-investissements-soutenus-par-lassistance-technique-du-feee-et-des-financements-de-marche.html</w:t>
        </w:r>
      </w:hyperlink>
      <w:r w:rsidR="005460E4">
        <w:t xml:space="preserve"> </w:t>
      </w:r>
    </w:p>
    <w:p w14:paraId="3A6548BF" w14:textId="15BF5F59" w:rsidR="00B357E0" w:rsidRDefault="00B357E0" w:rsidP="005460E4">
      <w:pPr>
        <w:pStyle w:val="AppendixHeading2"/>
      </w:pPr>
      <w:bookmarkStart w:id="162" w:name="_Toc93390316"/>
      <w:r>
        <w:t>Instrument Financier pour la Réhabilitation et la Revitalisation Urbaine (IFFRU)</w:t>
      </w:r>
      <w:bookmarkEnd w:id="162"/>
    </w:p>
    <w:p w14:paraId="5AA4A1F9" w14:textId="7B2913A4" w:rsidR="00B357E0" w:rsidRDefault="00B357E0" w:rsidP="005460E4">
      <w:pPr>
        <w:pStyle w:val="AppendixHeading3"/>
      </w:pPr>
      <w:bookmarkStart w:id="163" w:name="_Toc93390317"/>
      <w:r>
        <w:t>Éléments de contexte : pourquoi le fonds a été créé ?</w:t>
      </w:r>
      <w:bookmarkEnd w:id="163"/>
    </w:p>
    <w:p w14:paraId="78E6BE72" w14:textId="77777777" w:rsidR="00B357E0" w:rsidRDefault="00B357E0" w:rsidP="00B357E0">
      <w:pPr>
        <w:pStyle w:val="BodyText"/>
      </w:pPr>
      <w:r>
        <w:t xml:space="preserve">L’IFFRU s’inscrit dans le contexte national du Portugal, pays de 10,3M d’habitant, au PIB correspondant à 76% de la moyenne de l’UE. Relativement fortement urbanisé, 40% de la population du pays se concentre sur les deux métropoles de Lisbonne et Porto. De nombreuses villes de taille moyenne (supérieure à 50k habitant) telles que Braga, Guimarães, Aveiro, Coimbra, Leiria, </w:t>
      </w:r>
      <w:proofErr w:type="spellStart"/>
      <w:r>
        <w:t>Viseu</w:t>
      </w:r>
      <w:proofErr w:type="spellEnd"/>
      <w:r>
        <w:t>, Funchal ainsi que la cinquantaine de municipalités entre 10k et 50k habitants illustrent l’importance des espaces urbaines et de la cohésion territoriale pour le Portugal. Cette dernière s’illustre dans les PO 2014-2020 des fonds structurels européens dans le pays, soulignant la nécessité de soutenir le développement urbain durable afin de créer une nouvelle "dynamique de développement" qui permettrait d'attirer la population dans les zones revitalisées et de créer de la richesse et de l'emploi.</w:t>
      </w:r>
    </w:p>
    <w:p w14:paraId="47251852" w14:textId="77777777" w:rsidR="00B357E0" w:rsidRDefault="00B357E0" w:rsidP="00B357E0">
      <w:pPr>
        <w:pStyle w:val="BodyText"/>
      </w:pPr>
      <w:r>
        <w:t>Les statistiques publiques portugaises font état d’environ un million de bâtiments nécessitant une rénovation significative. Celle-ci apparaît fondamentale à la transition énergétique alors que le logement et le bâtiment représente environ 17% de la consommation primaire d’énergie portugaise. Afin de traiter cette question, un plan d’action national pour l’efficacité énergétique (PNAEE) a été adopté.</w:t>
      </w:r>
    </w:p>
    <w:p w14:paraId="7522D3D5" w14:textId="77777777" w:rsidR="00B357E0" w:rsidRDefault="00B357E0" w:rsidP="00B357E0">
      <w:pPr>
        <w:pStyle w:val="BodyText"/>
      </w:pPr>
      <w:r>
        <w:t xml:space="preserve">Les évaluations ex-ante des diverses autorités de gestion portugaises pour la programmation 2014-2020 ont fait le constat d’un besoin de soutien par instrument financier du développement urbain et de l’efficacité énergétique des logements privés. Elles ont estimé le déficit de financement sur la période entre 2 et 3 Mds€ avec une défaillance de marché caractérisée par des coûts de financement non compétitifs et un manque de rentabilité des projets de réhabilitation urbaine.  </w:t>
      </w:r>
    </w:p>
    <w:p w14:paraId="54258E9C" w14:textId="77777777" w:rsidR="00B357E0" w:rsidRDefault="00B357E0" w:rsidP="00B357E0">
      <w:pPr>
        <w:pStyle w:val="BodyText"/>
      </w:pPr>
      <w:r>
        <w:t>Elles ont préconisé de lier les instruments financiers destinés à intervenir autour de l’efficacité énergétique de ceux à destination du développement urbain, en raison des difficultés de distinguer les diverses interventions sur les bâtiments. Un seul instrument financier a ainsi été créé afin d’offrir aux promoteurs immobiliers un financement unique de rénovation urbaine et d’efficacité énergétique.</w:t>
      </w:r>
    </w:p>
    <w:p w14:paraId="3FDCD6CE" w14:textId="3233FCBE" w:rsidR="00B357E0" w:rsidRDefault="00B357E0" w:rsidP="005460E4">
      <w:pPr>
        <w:pStyle w:val="AppendixHeading3"/>
      </w:pPr>
      <w:bookmarkStart w:id="164" w:name="_Toc93390318"/>
      <w:r>
        <w:t>Objectifs du fonds</w:t>
      </w:r>
      <w:bookmarkEnd w:id="164"/>
    </w:p>
    <w:p w14:paraId="16297867" w14:textId="77777777" w:rsidR="00B357E0" w:rsidRDefault="00B357E0" w:rsidP="00B357E0">
      <w:pPr>
        <w:pStyle w:val="BodyText"/>
      </w:pPr>
      <w:r>
        <w:t>L’IFFRU est un fonds de fonds destiné à soutenir des investissements en réhabilitation urbaine (friches ou non), sur l’ensemble du territoire portugais. Il vise l’amélioration de bâtiments de plus de 30 ans, d’espaces industriels abandonnés, de logements sociaux, dans une focalisation autour de l’économie bas carbone.</w:t>
      </w:r>
    </w:p>
    <w:p w14:paraId="4FFCB98B" w14:textId="5E6AB673" w:rsidR="00B357E0" w:rsidRDefault="00B357E0" w:rsidP="005460E4">
      <w:pPr>
        <w:pStyle w:val="AppendixHeading3"/>
      </w:pPr>
      <w:bookmarkStart w:id="165" w:name="_Toc93390319"/>
      <w:r>
        <w:t>Présentation du fonds</w:t>
      </w:r>
      <w:bookmarkEnd w:id="165"/>
    </w:p>
    <w:p w14:paraId="2D66F731" w14:textId="77777777" w:rsidR="00B357E0" w:rsidRDefault="00B357E0" w:rsidP="00B357E0">
      <w:pPr>
        <w:pStyle w:val="BodyText"/>
      </w:pPr>
      <w:r>
        <w:t xml:space="preserve">L’instrument financier prend la forme d’un </w:t>
      </w:r>
      <w:r w:rsidRPr="004775E5">
        <w:rPr>
          <w:b/>
          <w:bCs/>
        </w:rPr>
        <w:t>fonds de fonds</w:t>
      </w:r>
      <w:r>
        <w:t xml:space="preserve"> de prêts et de garanties, établi au niveau national portugais et distribué par 4 banques sélectionnées par appel d’offres. Lancé en octobre 2017, il permet de financer trois types d’opérations</w:t>
      </w:r>
      <w:r>
        <w:rPr>
          <w:rFonts w:ascii="Arial" w:hAnsi="Arial" w:cs="Arial"/>
        </w:rPr>
        <w:t> </w:t>
      </w:r>
      <w:r>
        <w:t xml:space="preserve">:  </w:t>
      </w:r>
    </w:p>
    <w:p w14:paraId="6225E9A4" w14:textId="51CA16A3" w:rsidR="00B357E0" w:rsidRDefault="00B357E0" w:rsidP="004775E5">
      <w:pPr>
        <w:pStyle w:val="Bullet1"/>
      </w:pPr>
      <w:r>
        <w:t xml:space="preserve">la réhabilitation intégrale d’édifices de 30 ans et plus (ou, pour les édifices dont l’âge est inférieur, qui démontrent un niveau de conservation spécifique </w:t>
      </w:r>
    </w:p>
    <w:p w14:paraId="6381266C" w14:textId="543AF9B0" w:rsidR="00B357E0" w:rsidRDefault="00B357E0" w:rsidP="004775E5">
      <w:pPr>
        <w:pStyle w:val="Bullet1"/>
      </w:pPr>
      <w:r>
        <w:t xml:space="preserve">la réhabilitation d’espaces et d’unités industrielles abandonnées </w:t>
      </w:r>
    </w:p>
    <w:p w14:paraId="6CABE203" w14:textId="3F8F881E" w:rsidR="00B357E0" w:rsidRDefault="00B357E0" w:rsidP="004775E5">
      <w:pPr>
        <w:pStyle w:val="Bullet1"/>
      </w:pPr>
      <w:r>
        <w:t xml:space="preserve">des interventions en des édifices d’habitation sociale qui soient objet de réhabilitation intégrale. </w:t>
      </w:r>
    </w:p>
    <w:p w14:paraId="190A72B2" w14:textId="77777777" w:rsidR="00B357E0" w:rsidRDefault="00B357E0" w:rsidP="00B357E0">
      <w:pPr>
        <w:pStyle w:val="BodyText"/>
      </w:pPr>
      <w:r>
        <w:t>L’instrument financier propose deux outils spécifiques :</w:t>
      </w:r>
    </w:p>
    <w:p w14:paraId="40DED5D4" w14:textId="5B915978" w:rsidR="00B357E0" w:rsidRDefault="00B357E0" w:rsidP="004775E5">
      <w:pPr>
        <w:pStyle w:val="Bullet1"/>
      </w:pPr>
      <w:r>
        <w:t xml:space="preserve">des </w:t>
      </w:r>
      <w:r w:rsidRPr="00450F99">
        <w:rPr>
          <w:b/>
          <w:bCs/>
        </w:rPr>
        <w:t>emprunts à taux préférentiels</w:t>
      </w:r>
      <w:r>
        <w:t xml:space="preserve"> (« prêts verts ») – accordés par les banques sélectionnées pour la gestion des aides IFRRU 2020, pour une durée pouvant aller jusqu’à 20 ans, des différés équivalents à la période de l’investissement + 6 mois (dans une limite de 4 ans) et des taux d’intérêt au dessous de ceux du marché pour des investissements de même nature. Le montant moyen des prêts est de 2,3M€ ;</w:t>
      </w:r>
    </w:p>
    <w:p w14:paraId="3FBE0493" w14:textId="125D8E4B" w:rsidR="00B357E0" w:rsidRDefault="00B357E0" w:rsidP="004775E5">
      <w:pPr>
        <w:pStyle w:val="Bullet1"/>
      </w:pPr>
      <w:r>
        <w:t xml:space="preserve">des </w:t>
      </w:r>
      <w:r w:rsidRPr="00450F99">
        <w:rPr>
          <w:b/>
          <w:bCs/>
        </w:rPr>
        <w:t>garanties</w:t>
      </w:r>
      <w:r>
        <w:t xml:space="preserve"> – liées aux emprunts accordé par les mêmes banques, destinées à des projets qui ne disposent pas de garantie suffisante.</w:t>
      </w:r>
    </w:p>
    <w:p w14:paraId="77C25E14" w14:textId="77777777" w:rsidR="00B357E0" w:rsidRDefault="00B357E0" w:rsidP="00B357E0">
      <w:pPr>
        <w:pStyle w:val="BodyText"/>
      </w:pPr>
      <w:r>
        <w:t>Une composante importante de la stratégie d'investissement de l'instrument financier est sa stratégie de démonstration de l'efficacité énergétique. En effet, tous les projets soutenus par l'IFRRU 2020 doivent démontrer des améliorations en matière d'efficacité énergétique.</w:t>
      </w:r>
    </w:p>
    <w:p w14:paraId="76A02DEF" w14:textId="77777777" w:rsidR="00B357E0" w:rsidRDefault="00B357E0" w:rsidP="00B357E0">
      <w:pPr>
        <w:pStyle w:val="BodyText"/>
      </w:pPr>
      <w:r>
        <w:t>Les cibles de l’IFFRU sont les organismes publics et les structures privées. Toutes les dépenses relatives aux travaux de réhabilitation urbaine (y compris les audits énergétiques) sont éligibles au financement de l’instrument.</w:t>
      </w:r>
    </w:p>
    <w:p w14:paraId="7A0F0FA6" w14:textId="77777777" w:rsidR="00B357E0" w:rsidRDefault="00B357E0" w:rsidP="00B357E0">
      <w:pPr>
        <w:pStyle w:val="BodyText"/>
      </w:pPr>
      <w:r>
        <w:t>Le soutien aux projets par le programme IFRRU 2020 est entrepris en conformité avec les règles RGEC et/ou aux règles de-minimis</w:t>
      </w:r>
    </w:p>
    <w:p w14:paraId="2ED84DD0" w14:textId="35AD6D52" w:rsidR="00B357E0" w:rsidRDefault="00B357E0" w:rsidP="005460E4">
      <w:pPr>
        <w:pStyle w:val="AppendixHeading3"/>
      </w:pPr>
      <w:bookmarkStart w:id="166" w:name="_Toc93390320"/>
      <w:r>
        <w:t>Principales actions engagées et résultats</w:t>
      </w:r>
      <w:bookmarkEnd w:id="166"/>
    </w:p>
    <w:p w14:paraId="3B2DFDCD" w14:textId="77777777" w:rsidR="00B357E0" w:rsidRDefault="00B357E0" w:rsidP="00B357E0">
      <w:pPr>
        <w:pStyle w:val="BodyText"/>
      </w:pPr>
      <w:r>
        <w:t>Lancé en octobre 2017, il a au 31 juillet 2021 reçu dépôt de 640 candidatures pour des financement et 329 contrats de financements on été signés pour un montant de 969M€.</w:t>
      </w:r>
    </w:p>
    <w:p w14:paraId="6E6E881F" w14:textId="77777777" w:rsidR="00B357E0" w:rsidRDefault="00B357E0" w:rsidP="00B357E0">
      <w:pPr>
        <w:pStyle w:val="BodyText"/>
      </w:pPr>
      <w:r>
        <w:t>Les projets ont été approuvés dans 54 villes dans toutes les régions parties prenantes de l’instrument, démontrant la possibilité d’une application de l’instrument dans des contextes urbains divers sur le territoire portugais. Plus de 1 300 avis municipaux ont été émis par les collectivités à l’intention des bénéficiaires finaux potentiels de l’instrument.</w:t>
      </w:r>
    </w:p>
    <w:p w14:paraId="2169079F" w14:textId="77777777" w:rsidR="00B357E0" w:rsidRDefault="00B357E0" w:rsidP="00B357E0">
      <w:pPr>
        <w:pStyle w:val="BodyText"/>
      </w:pPr>
      <w:r>
        <w:t>A fin 2019 l’instrument financier avait permis  la rénovation de 770 logements et de 248 589m² de surfaces, la réduction d’émissions de 8 308 tonnes d’équivalent CO2 et la création de 2 684 emplois.</w:t>
      </w:r>
    </w:p>
    <w:p w14:paraId="55562A10" w14:textId="77777777" w:rsidR="00B357E0" w:rsidRDefault="00B357E0" w:rsidP="00B357E0">
      <w:pPr>
        <w:pStyle w:val="BodyText"/>
      </w:pPr>
      <w:r>
        <w:t>Au niveau du fonctionnement de l’instrument, l’IFFRU a permis la mise en place :</w:t>
      </w:r>
    </w:p>
    <w:p w14:paraId="659896B4" w14:textId="72F59426" w:rsidR="00B357E0" w:rsidRDefault="00B357E0" w:rsidP="004775E5">
      <w:pPr>
        <w:pStyle w:val="Bullet1"/>
      </w:pPr>
      <w:r>
        <w:t>d’une équipe spécialisée au niveau national dans la gestion de l’instrument pour le compte des 8 autorités de gestion concernées par l’instrument ;</w:t>
      </w:r>
    </w:p>
    <w:p w14:paraId="29DA7100" w14:textId="315C5EE0" w:rsidR="00B357E0" w:rsidRDefault="00B357E0" w:rsidP="004775E5">
      <w:pPr>
        <w:pStyle w:val="Bullet1"/>
      </w:pPr>
      <w:r>
        <w:t xml:space="preserve">d’un système d’information dédié permettant à l’ensemble des parties prenantes de contribuer au suivi des projets soutenues (de la création aux rapports de </w:t>
      </w:r>
      <w:proofErr w:type="spellStart"/>
      <w:r>
        <w:t>reporting</w:t>
      </w:r>
      <w:proofErr w:type="spellEnd"/>
      <w:r>
        <w:t>) ;</w:t>
      </w:r>
    </w:p>
    <w:p w14:paraId="3C2DDF46" w14:textId="50F3E187" w:rsidR="00B357E0" w:rsidRDefault="00B357E0" w:rsidP="004775E5">
      <w:pPr>
        <w:pStyle w:val="Bullet1"/>
      </w:pPr>
      <w:r>
        <w:t>d’une intégration formalisée des acteurs territoriaux dans le dispositif via un protocole signé avec l’Association Nationale des Municipalités Portugaises (ANMP) permettant d’inscrire les projets soutenus dans les plan locaux d’urbanisme et intensifiant la promotion de l’instrument ;</w:t>
      </w:r>
    </w:p>
    <w:p w14:paraId="46DB44D7" w14:textId="0224B39A" w:rsidR="00B357E0" w:rsidRDefault="00B357E0" w:rsidP="005460E4">
      <w:pPr>
        <w:pStyle w:val="AppendixHeading3"/>
      </w:pPr>
      <w:bookmarkStart w:id="167" w:name="_Toc93390321"/>
      <w:r>
        <w:t>Structuration et financement (dont partenaires)</w:t>
      </w:r>
      <w:bookmarkEnd w:id="167"/>
      <w:r>
        <w:t xml:space="preserve"> </w:t>
      </w:r>
    </w:p>
    <w:p w14:paraId="64ECBFB9" w14:textId="77777777" w:rsidR="00B357E0" w:rsidRDefault="00B357E0" w:rsidP="00B357E0">
      <w:pPr>
        <w:pStyle w:val="BodyText"/>
      </w:pPr>
      <w:r>
        <w:t>Concernant la gouvernance du fonds de fonds, un organisme indépendant a été créé au niveau national pour gérer le fonds. Deux organes clés sont responsables de la direction stratégique et de la mise en œuvre de l’IFFRU :</w:t>
      </w:r>
    </w:p>
    <w:p w14:paraId="69841151" w14:textId="203BF92C" w:rsidR="00B357E0" w:rsidRDefault="00B357E0" w:rsidP="00602EC0">
      <w:pPr>
        <w:pStyle w:val="Bullet1"/>
      </w:pPr>
      <w:r>
        <w:t xml:space="preserve">La structure de gestion, qui est responsable de la structure en tant que telle, ainsi que de la gestion des rapports et de la trésorerie de l’instrument ; </w:t>
      </w:r>
    </w:p>
    <w:p w14:paraId="0A994CF6" w14:textId="2E6CFB2A" w:rsidR="00B357E0" w:rsidRDefault="00B357E0" w:rsidP="00602EC0">
      <w:pPr>
        <w:pStyle w:val="Bullet1"/>
      </w:pPr>
      <w:r>
        <w:t>Le Comité d'investissement, qui supervise les instruments financiers, y compris la politique d'investissement de l'instrument, les plans d'activité, le plan de communication, la gestion des performances et l'audit.</w:t>
      </w:r>
    </w:p>
    <w:p w14:paraId="0A6073A5" w14:textId="77777777" w:rsidR="00B357E0" w:rsidRDefault="00B357E0" w:rsidP="00B357E0">
      <w:pPr>
        <w:pStyle w:val="BodyText"/>
      </w:pPr>
      <w:r>
        <w:t xml:space="preserve">Quatre intermédiaires financiers (Santander, </w:t>
      </w:r>
      <w:proofErr w:type="spellStart"/>
      <w:r>
        <w:t>Bpi</w:t>
      </w:r>
      <w:proofErr w:type="spellEnd"/>
      <w:r>
        <w:t xml:space="preserve">, Millenium et </w:t>
      </w:r>
      <w:proofErr w:type="spellStart"/>
      <w:r>
        <w:t>Spgm</w:t>
      </w:r>
      <w:proofErr w:type="spellEnd"/>
      <w:r>
        <w:t xml:space="preserve">) ont été choisis dans le cadre d'un appel d'offres public. La conception de l'instrument exige que les produits de l’instrument (prêts et garanties) soient proposés par chacune des banques sur l'ensemble du territoire portugais, ce qui représente près de 1000 agences sur le territoire portugais, afin de faciliter l’accès pour les bénéficiaires à un financement compétitif et pour garantir la dissémination de l’information. Cela génère davantage de concurrence et garantit donc que les bénéficiaires finaux puissent. Les demandes de financement sont adressées directement à l'un des intermédiaires financiers, par l'intermédiaire de son réseau d'agences, à tout moment, </w:t>
      </w:r>
    </w:p>
    <w:p w14:paraId="31413CCF" w14:textId="77777777" w:rsidR="00B357E0" w:rsidRDefault="00B357E0" w:rsidP="00B357E0">
      <w:pPr>
        <w:pStyle w:val="BodyText"/>
      </w:pPr>
      <w:r>
        <w:t xml:space="preserve">Le rôle des municipalités est également essentielle dans la mise en œuvre de l'instrument. En effet, avant qu'un projet puisse bénéficier d'un prêt provenant de l'IFRRU, il doit obtenir un avis positif de la municipalité concernée. L'objectif de cet avis est de confirmer que le projet est conforme à la stratégie de développement urbain et durable du territoire. </w:t>
      </w:r>
    </w:p>
    <w:p w14:paraId="2EC6B00F" w14:textId="21542C2A" w:rsidR="00B357E0" w:rsidRDefault="00B357E0" w:rsidP="00B357E0">
      <w:pPr>
        <w:pStyle w:val="BodyText"/>
      </w:pPr>
      <w:r>
        <w:t>Concernant le financement de l’instrument, il utilise 102M€ de FESI (6</w:t>
      </w:r>
      <w:r w:rsidR="005A512F">
        <w:t>4</w:t>
      </w:r>
      <w:r>
        <w:t>M€ de fonds FEDER et 38M€ de fonds de cohésion) pour un effet levier de 14 sur l’investissement public et privé (1,4Mds€ : 20M€ de co-financement national, 500M€ de prêt de la BEI, 80M€ de prêts CEB et 702M€ de financements privés) avec le but d’atteindre un investissement total autour de 2 Mds€.</w:t>
      </w:r>
    </w:p>
    <w:p w14:paraId="175D07A5" w14:textId="77777777" w:rsidR="00B357E0" w:rsidRDefault="00B357E0" w:rsidP="00B357E0">
      <w:pPr>
        <w:pStyle w:val="BodyText"/>
      </w:pPr>
      <w:r>
        <w:t xml:space="preserve">Le graphique ci-dessous présente les sources de financement. : </w:t>
      </w:r>
    </w:p>
    <w:p w14:paraId="63456AC1" w14:textId="5A1E73B7" w:rsidR="00450F99" w:rsidRDefault="00450F99" w:rsidP="00450F99">
      <w:pPr>
        <w:pStyle w:val="Caption"/>
        <w:jc w:val="both"/>
      </w:pPr>
      <w:bookmarkStart w:id="168" w:name="_Toc88842124"/>
      <w:r>
        <w:t xml:space="preserve">Figure </w:t>
      </w:r>
      <w:r>
        <w:fldChar w:fldCharType="begin"/>
      </w:r>
      <w:r>
        <w:instrText xml:space="preserve"> SEQ Figure \* ARABIC </w:instrText>
      </w:r>
      <w:r>
        <w:fldChar w:fldCharType="separate"/>
      </w:r>
      <w:r w:rsidR="009F0282">
        <w:rPr>
          <w:noProof/>
        </w:rPr>
        <w:t>11</w:t>
      </w:r>
      <w:r>
        <w:fldChar w:fldCharType="end"/>
      </w:r>
      <w:r>
        <w:t xml:space="preserve"> </w:t>
      </w:r>
      <w:r w:rsidRPr="00CF7033">
        <w:t>Contribution des financeurs à l’IFRRU</w:t>
      </w:r>
      <w:bookmarkEnd w:id="168"/>
    </w:p>
    <w:p w14:paraId="51AF5595" w14:textId="056104B6" w:rsidR="00B357E0" w:rsidRDefault="00450F99" w:rsidP="00B357E0">
      <w:pPr>
        <w:pStyle w:val="BodyText"/>
      </w:pPr>
      <w:r>
        <w:rPr>
          <w:noProof/>
        </w:rPr>
        <w:drawing>
          <wp:inline distT="0" distB="0" distL="0" distR="0" wp14:anchorId="75FE790E" wp14:editId="3E76FE1B">
            <wp:extent cx="5486400" cy="2886323"/>
            <wp:effectExtent l="0" t="0" r="0" b="952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7327FE" w14:textId="77777777" w:rsidR="00B357E0" w:rsidRDefault="00B357E0" w:rsidP="00B357E0">
      <w:pPr>
        <w:pStyle w:val="BodyText"/>
      </w:pPr>
      <w:r>
        <w:t xml:space="preserve"> Afin d'assurer une gestion efficace des informations financières et opérationnelles entre les parties prenantes, la structure de gestion  a développé un système d'information sur mesure afin d’assurer un suivi étroit du fonctionnement de l'instrument sur une base quotidienne, en collectant (et en permettant les mises à jour) un large éventail de données sur chaque projet, stocker et permettre le traitement de ces données. </w:t>
      </w:r>
    </w:p>
    <w:p w14:paraId="32D22692" w14:textId="77777777" w:rsidR="00B357E0" w:rsidRDefault="00B357E0" w:rsidP="00B357E0">
      <w:pPr>
        <w:pStyle w:val="BodyText"/>
      </w:pPr>
    </w:p>
    <w:p w14:paraId="431E8D13" w14:textId="77777777" w:rsidR="00B357E0" w:rsidRDefault="00B357E0" w:rsidP="00B357E0">
      <w:pPr>
        <w:pStyle w:val="BodyText"/>
      </w:pPr>
      <w:r>
        <w:t>Tous les projets soutenus par l'IFRRU 2020 doivent améliorer la performance énergétique du bâtiment après sa rénovation. Afin d'évaluer cette amélioration, il est nécessaire que le promoteur charge dans le cadre du coût du projet, un consultant pour effectuer une certification énergétique avant et après les travaux soutenus par l'instrument financier.</w:t>
      </w:r>
    </w:p>
    <w:p w14:paraId="0616EA2C" w14:textId="27F80445" w:rsidR="00B357E0" w:rsidRDefault="00B357E0" w:rsidP="005460E4">
      <w:pPr>
        <w:pStyle w:val="AppendixHeading3"/>
      </w:pPr>
      <w:bookmarkStart w:id="169" w:name="_Toc93390322"/>
      <w:r>
        <w:t>Enseignements</w:t>
      </w:r>
      <w:bookmarkEnd w:id="169"/>
      <w:r>
        <w:t xml:space="preserve"> </w:t>
      </w:r>
    </w:p>
    <w:p w14:paraId="38224C69" w14:textId="77777777" w:rsidR="00B357E0" w:rsidRDefault="00B357E0" w:rsidP="00B357E0">
      <w:pPr>
        <w:pStyle w:val="BodyText"/>
      </w:pPr>
      <w:r>
        <w:t>L’IFFRU a été mis en commun par huit autorités de gestion et fonctionne dans un environnement multipartite (financiers publics, secteur privé, régions, municipalités). La gestion efficace des relations entre ces nombreuses parties prenantes est en partie assurée grâce au système d’information dédié permettant le partage d’informations administratives et financières.</w:t>
      </w:r>
    </w:p>
    <w:p w14:paraId="16DA3B5A" w14:textId="77777777" w:rsidR="00B357E0" w:rsidRDefault="00B357E0" w:rsidP="00B357E0">
      <w:pPr>
        <w:pStyle w:val="BodyText"/>
      </w:pPr>
      <w:r>
        <w:t>L’instrument a été conçu afin de faciliter l’accès aux fonds aux promoteurs. Proposé par l’ensemble des agences des quatre intermédiaires sélectionnés, les demandes de financement sont directement adressés à l’agence bancaire, sans limite d’un nombre de demandes pour un bénéficiaire donné.</w:t>
      </w:r>
    </w:p>
    <w:p w14:paraId="4D23B20D" w14:textId="77777777" w:rsidR="00B357E0" w:rsidRDefault="00B357E0" w:rsidP="00B357E0">
      <w:pPr>
        <w:pStyle w:val="BodyText"/>
      </w:pPr>
      <w:r>
        <w:t xml:space="preserve">Le rôle des municipalités est majeur dans l’IFFRU et leur avis obligatoire préalable à chaque financement permet d’assurer la cohérence avec les stratégies locales et l’inscription dans une dynamique territoriale. </w:t>
      </w:r>
    </w:p>
    <w:p w14:paraId="6D728C10" w14:textId="77777777" w:rsidR="00B357E0" w:rsidRDefault="00B357E0" w:rsidP="00B357E0">
      <w:pPr>
        <w:pStyle w:val="BodyText"/>
      </w:pPr>
      <w:r>
        <w:t>Le choix d’une démonstration par étude de l’efficacité énergétique des projets permet également d’assurer que l’IFFRU s’inscrive dans la stratégie nationale de transition écologique du Portugal. Cette démonstration est généralement assurée par des certificats d'énergie émis avant et après intervention par des experts indépendants autorisés par l'ADENE (Agence nationale portugaise pour l'environnement).</w:t>
      </w:r>
    </w:p>
    <w:p w14:paraId="5E743EDE" w14:textId="77777777" w:rsidR="00B357E0" w:rsidRDefault="00B357E0" w:rsidP="00B357E0">
      <w:pPr>
        <w:pStyle w:val="BodyText"/>
      </w:pPr>
      <w:r>
        <w:t>Enfin, la stratégie de communication du programme a largement permis sont développement. Lors de la première année de mise en place de l’IFFRU, près de 100 présentations publiques ont été réalisées auprès de promoteurs, de municipalités, d’autres parties prenantes. Une campagne internationale a également été organisée, assistée des ambassades et des consulats, afin de promouvoir l’instrument auprès des expatriés et des investisseurs.</w:t>
      </w:r>
    </w:p>
    <w:p w14:paraId="2C9CAAA2" w14:textId="7167E11A" w:rsidR="00B357E0" w:rsidRDefault="00B357E0" w:rsidP="005460E4">
      <w:pPr>
        <w:pStyle w:val="AppendixHeading3"/>
      </w:pPr>
      <w:bookmarkStart w:id="170" w:name="_Toc93390323"/>
      <w:r>
        <w:t>Clés de succès</w:t>
      </w:r>
      <w:bookmarkEnd w:id="170"/>
      <w:r>
        <w:t xml:space="preserve"> </w:t>
      </w:r>
    </w:p>
    <w:p w14:paraId="114AD67B" w14:textId="77777777" w:rsidR="00B357E0" w:rsidRDefault="00B357E0" w:rsidP="00B357E0">
      <w:pPr>
        <w:pStyle w:val="BodyText"/>
      </w:pPr>
      <w:r>
        <w:t>3 clés de succès spécifiques ont été identifiées dans la mise en œuvre de l’IFFRU :</w:t>
      </w:r>
    </w:p>
    <w:p w14:paraId="7F12E70D" w14:textId="52745235" w:rsidR="00B357E0" w:rsidRDefault="00B357E0" w:rsidP="00602EC0">
      <w:pPr>
        <w:pStyle w:val="Bullet1"/>
      </w:pPr>
      <w:r>
        <w:t xml:space="preserve">la combinaison d’une couverture nationale et d’une approche locale : le niveau national, dans le contexte portugais, a permis d’attirer des intermédiaires financiers importants et d’assurer un financement compétitif pour les projets. Toutefois, afin d’assurer l’ancrage territorial de l’instrument, la participation de l'Association nationale des municipalités portugaises (ANMP) a été un pilier majeur de l'initiative afin d’assurer la mobilisation des municipalités, les mieux placées pour définir les priorités en matière de développement urbain dans leur région. </w:t>
      </w:r>
    </w:p>
    <w:p w14:paraId="1336CAAC" w14:textId="555097DD" w:rsidR="00B357E0" w:rsidRDefault="00B357E0" w:rsidP="00602EC0">
      <w:pPr>
        <w:pStyle w:val="Bullet1"/>
      </w:pPr>
      <w:r>
        <w:t xml:space="preserve">la création d’un environnement de prêt compétitif assurée par la mise en concurrence d’intermédiaires financiers via la procédure de sélection par appel d’offre mais également dans la mise en œuvre de l’instrument, qui inclut 4 banques intermédiaires financiers en concurrence pour le financement des projets. </w:t>
      </w:r>
    </w:p>
    <w:p w14:paraId="3809E028" w14:textId="710033AF" w:rsidR="00B357E0" w:rsidRDefault="00B357E0" w:rsidP="00602EC0">
      <w:pPr>
        <w:pStyle w:val="Bullet1"/>
      </w:pPr>
      <w:r>
        <w:t xml:space="preserve"> la mise en place d’une stratégie de communication efficace : la communication a été identifiée dès le lancement de l’instrument comme une priorité afin de rendre un produit complexe accessible pour les bénéficiaires et le public. Cette stratégie s’appuie sur de nombreux canaux (web, médias sociaux) et sur un contact direct avec les destinataires finaux potentiels par le biais de réunions individuelles, de séances d'information publiques et d'un service d'assistance par courrier électronique dédié pour répondre aux questions spécifiques des promoteurs.  </w:t>
      </w:r>
    </w:p>
    <w:p w14:paraId="6DE936CB" w14:textId="6A12EE4D" w:rsidR="00B357E0" w:rsidRDefault="00B357E0" w:rsidP="005460E4">
      <w:pPr>
        <w:pStyle w:val="AppendixHeading3"/>
      </w:pPr>
      <w:bookmarkStart w:id="171" w:name="_Toc93390324"/>
      <w:r>
        <w:t>Mise en perspective par rapport à la région Hauts-de-France</w:t>
      </w:r>
      <w:bookmarkEnd w:id="171"/>
    </w:p>
    <w:p w14:paraId="26E808E7" w14:textId="77777777" w:rsidR="00B357E0" w:rsidRDefault="00B357E0" w:rsidP="00B357E0">
      <w:pPr>
        <w:pStyle w:val="BodyText"/>
      </w:pPr>
      <w:r>
        <w:t xml:space="preserve">La Région Hauts-de-France, avec ses 6M d’habitants, apparaît comparable au Portugal. Le choix d’un véhicule national pourrait ainsi apparaître moins fondamental. Toutefois, dans le contexte français, il a été constaté un manque de volonté de la part des banques de diffuser les prêts verts existants, correspondant en pratique à l’offre de l’IFFRU. Afin d’assurer la mobilisation de réseaux bancaires importants, la création d’un instrument dédié de type IFFRU au niveau inter-régional ou national pourrait ainsi apparaître pertinent. </w:t>
      </w:r>
    </w:p>
    <w:p w14:paraId="2EAA42D6" w14:textId="77777777" w:rsidR="00B357E0" w:rsidRDefault="00B357E0" w:rsidP="00B357E0">
      <w:pPr>
        <w:pStyle w:val="BodyText"/>
      </w:pPr>
      <w:r>
        <w:t xml:space="preserve">L’implication forte des municipalités et l’intégration d’un processus établi de démonstration de l’efficacité énergétique des projets apparaît comme un point fort de l’IFFRU qui pourrait être intégré aux interventions de la Région Hauts-de-France. </w:t>
      </w:r>
    </w:p>
    <w:p w14:paraId="54D2D911" w14:textId="77777777" w:rsidR="00B357E0" w:rsidRDefault="00B357E0" w:rsidP="00B357E0">
      <w:pPr>
        <w:pStyle w:val="BodyText"/>
      </w:pPr>
      <w:r>
        <w:t>La question des friches en zones détendues, à faible rentabilité et parfois abandonnées en région Hauts-de-France n’apparaît toutefois pas pouvoir être réglée par un instrument de ce type, apportant prêts et garanties à des promoteurs privés qui se tourneront essentiellement vers des projets rentables. En revanche, il pourrait être une solution pour accentuer les projets de réhabilitation urbaine et les projets de rénovation énergétique du bâti privé et du logement social.</w:t>
      </w:r>
    </w:p>
    <w:p w14:paraId="37DE4C66" w14:textId="1E24C8D6" w:rsidR="00B357E0" w:rsidRDefault="00B357E0" w:rsidP="005460E4">
      <w:pPr>
        <w:pStyle w:val="AppendixHeading3"/>
      </w:pPr>
      <w:bookmarkStart w:id="172" w:name="_Toc93390325"/>
      <w:r>
        <w:t>Contact</w:t>
      </w:r>
      <w:bookmarkEnd w:id="172"/>
    </w:p>
    <w:p w14:paraId="6625BC1F" w14:textId="5308309E" w:rsidR="00B357E0" w:rsidRDefault="00B357E0" w:rsidP="00B357E0">
      <w:pPr>
        <w:pStyle w:val="BodyText"/>
      </w:pPr>
      <w:r>
        <w:t xml:space="preserve">Teresa </w:t>
      </w:r>
      <w:proofErr w:type="spellStart"/>
      <w:r>
        <w:t>Mouro</w:t>
      </w:r>
      <w:proofErr w:type="spellEnd"/>
      <w:r>
        <w:t xml:space="preserve"> Ferreira, coordinatrice de l’IFFRU, </w:t>
      </w:r>
      <w:hyperlink r:id="rId44" w:history="1">
        <w:r w:rsidR="005460E4" w:rsidRPr="003D11EE">
          <w:rPr>
            <w:rStyle w:val="Hyperlink"/>
          </w:rPr>
          <w:t>tgmarques@ifrru.ihru.pt</w:t>
        </w:r>
      </w:hyperlink>
      <w:r>
        <w:t>, +351 21 723 1798</w:t>
      </w:r>
    </w:p>
    <w:p w14:paraId="50AECDA6" w14:textId="2F952332" w:rsidR="00B357E0" w:rsidRDefault="00B357E0" w:rsidP="005460E4">
      <w:pPr>
        <w:pStyle w:val="AppendixHeading3"/>
      </w:pPr>
      <w:bookmarkStart w:id="173" w:name="_Toc93390326"/>
      <w:r>
        <w:t>Autres sources</w:t>
      </w:r>
      <w:bookmarkEnd w:id="173"/>
      <w:r>
        <w:t xml:space="preserve"> </w:t>
      </w:r>
    </w:p>
    <w:p w14:paraId="5D1431B8" w14:textId="7C3DF835" w:rsidR="00B357E0" w:rsidRDefault="00B357E0" w:rsidP="00B357E0">
      <w:pPr>
        <w:pStyle w:val="BodyText"/>
      </w:pPr>
      <w:r>
        <w:t xml:space="preserve">Etude de cas FI-Compass dédiée (anglais) : </w:t>
      </w:r>
      <w:hyperlink r:id="rId45" w:history="1">
        <w:r w:rsidR="005460E4" w:rsidRPr="003D11EE">
          <w:rPr>
            <w:rStyle w:val="Hyperlink"/>
          </w:rPr>
          <w:t>https://www.fi-compass.eu/publication/case-studies/financial-instruments-urban-development-portugal-ifrru-2020-case-study</w:t>
        </w:r>
      </w:hyperlink>
      <w:r w:rsidR="005460E4">
        <w:t xml:space="preserve"> </w:t>
      </w:r>
      <w:r>
        <w:t xml:space="preserve"> </w:t>
      </w:r>
    </w:p>
    <w:p w14:paraId="6AC44691" w14:textId="70680F26" w:rsidR="00B357E0" w:rsidRDefault="00B455B7" w:rsidP="00B357E0">
      <w:pPr>
        <w:pStyle w:val="BodyText"/>
      </w:pPr>
      <w:hyperlink r:id="rId46" w:history="1">
        <w:r w:rsidR="005460E4" w:rsidRPr="003D11EE">
          <w:rPr>
            <w:rStyle w:val="Hyperlink"/>
          </w:rPr>
          <w:t>https://ifrru.ihru.pt/</w:t>
        </w:r>
      </w:hyperlink>
      <w:r w:rsidR="005460E4">
        <w:t xml:space="preserve"> </w:t>
      </w:r>
      <w:r w:rsidR="00B357E0">
        <w:t xml:space="preserve"> </w:t>
      </w:r>
    </w:p>
    <w:p w14:paraId="06D42A01" w14:textId="77777777" w:rsidR="00B357E0" w:rsidRDefault="00B357E0" w:rsidP="00B357E0">
      <w:pPr>
        <w:pStyle w:val="BodyText"/>
      </w:pPr>
      <w:r>
        <w:t> </w:t>
      </w:r>
    </w:p>
    <w:p w14:paraId="145C2F79" w14:textId="422872C8" w:rsidR="00B357E0" w:rsidRDefault="00B357E0" w:rsidP="005460E4">
      <w:pPr>
        <w:pStyle w:val="AppendixHeading2"/>
      </w:pPr>
      <w:bookmarkStart w:id="174" w:name="_Toc93390327"/>
      <w:r>
        <w:t>GED Jessica Andalousie</w:t>
      </w:r>
      <w:bookmarkEnd w:id="174"/>
    </w:p>
    <w:p w14:paraId="2F95F6E5" w14:textId="2E7647C8" w:rsidR="00B357E0" w:rsidRDefault="00B357E0" w:rsidP="005460E4">
      <w:pPr>
        <w:pStyle w:val="AppendixHeading3"/>
      </w:pPr>
      <w:bookmarkStart w:id="175" w:name="_Toc93390328"/>
      <w:r>
        <w:t>Éléments de contexte : pourquoi le fonds a été créé ?</w:t>
      </w:r>
      <w:bookmarkEnd w:id="175"/>
    </w:p>
    <w:p w14:paraId="272D830A" w14:textId="77777777" w:rsidR="00B357E0" w:rsidRDefault="00B357E0" w:rsidP="00B357E0">
      <w:pPr>
        <w:pStyle w:val="BodyText"/>
      </w:pPr>
      <w:r>
        <w:t xml:space="preserve">L'Andalousie est la région autonome espagnole la plus vaste représentant 17,3 % de la superficie du pays et près de 18 % de sa population. Son niveau de revenu par habitant ne représente toutefois que 78 % de la moyenne espagnole.  </w:t>
      </w:r>
    </w:p>
    <w:p w14:paraId="1808D3ED" w14:textId="77777777" w:rsidR="00B357E0" w:rsidRDefault="00B357E0" w:rsidP="00B357E0">
      <w:pPr>
        <w:pStyle w:val="BodyText"/>
      </w:pPr>
      <w:r>
        <w:t xml:space="preserve">L'Andalousie a été l'une des régions les plus durement touchées par la crise financière des années 2008-2010. L’Andalousie a ainsi perdu environ 9 % de son PIB entre 2008 et 2013, et le chômage y a crû de 14,78 % à 36,77 %. En 2018, alors que le PIB s'est redressé, le taux de chômage reste de six points plus élevé que dix ans auparavant. Cet impact fort de la crise économique et financière a </w:t>
      </w:r>
      <w:proofErr w:type="spellStart"/>
      <w:r>
        <w:t>grévé</w:t>
      </w:r>
      <w:proofErr w:type="spellEnd"/>
      <w:r>
        <w:t xml:space="preserve"> les finances publiques  et leur capacité à augmenter les investissements dans les infrastructures,  quasiment gelés pendant ces années. </w:t>
      </w:r>
    </w:p>
    <w:p w14:paraId="25B6F4E7" w14:textId="77777777" w:rsidR="00B357E0" w:rsidRDefault="00B357E0" w:rsidP="00B357E0">
      <w:pPr>
        <w:pStyle w:val="BodyText"/>
      </w:pPr>
      <w:r>
        <w:t xml:space="preserve"> De 2007 à 2013, l'Andalousie a été pionnière dans la mise en place d'instruments financiers en Espagne avec le déploiement un fonds JEREMIE et un fonds JESSICA.  JESSICA, pour Joint </w:t>
      </w:r>
      <w:proofErr w:type="spellStart"/>
      <w:r>
        <w:t>European</w:t>
      </w:r>
      <w:proofErr w:type="spellEnd"/>
      <w:r>
        <w:t xml:space="preserve"> Support for </w:t>
      </w:r>
      <w:proofErr w:type="spellStart"/>
      <w:r>
        <w:t>Sustainable</w:t>
      </w:r>
      <w:proofErr w:type="spellEnd"/>
      <w:r>
        <w:t xml:space="preserve"> Investment in City Areas, est une initiative de la Commission européenne, de la Banque européenne d’investissement (BEI) et de la Banque de développement du Conseil de l’Europe (CEB), pour apporter un soutien financier aux projets de régénération ou de développement urbains inclus dans un plan urbain intégré.</w:t>
      </w:r>
    </w:p>
    <w:p w14:paraId="76DE1888" w14:textId="3C9C9F2E" w:rsidR="00B357E0" w:rsidRDefault="00B357E0" w:rsidP="005460E4">
      <w:pPr>
        <w:pStyle w:val="AppendixHeading3"/>
      </w:pPr>
      <w:bookmarkStart w:id="176" w:name="_Toc93390329"/>
      <w:r>
        <w:t>Objectifs du fonds</w:t>
      </w:r>
      <w:bookmarkEnd w:id="176"/>
    </w:p>
    <w:p w14:paraId="416018B6" w14:textId="77777777" w:rsidR="00B357E0" w:rsidRDefault="00B357E0" w:rsidP="00B357E0">
      <w:pPr>
        <w:pStyle w:val="BodyText"/>
      </w:pPr>
      <w:r>
        <w:t xml:space="preserve">L’initiative JESSICA lancée en Andalousie par la </w:t>
      </w:r>
      <w:proofErr w:type="spellStart"/>
      <w:r>
        <w:t>Junta</w:t>
      </w:r>
      <w:proofErr w:type="spellEnd"/>
      <w:r>
        <w:t xml:space="preserve"> de </w:t>
      </w:r>
      <w:proofErr w:type="spellStart"/>
      <w:r>
        <w:t>Andalucía</w:t>
      </w:r>
      <w:proofErr w:type="spellEnd"/>
      <w:r>
        <w:t xml:space="preserve"> avec le soutien de la BEI, dans le cadre du programme opérationnel FEDER d’Andalousie 2007-2013, vise à fournir et faciliter un financement approprié aux projets d’infrastructures urbaines en Andalousie. </w:t>
      </w:r>
    </w:p>
    <w:p w14:paraId="1EA0C8F9" w14:textId="77777777" w:rsidR="00B357E0" w:rsidRDefault="00B357E0" w:rsidP="00B357E0">
      <w:pPr>
        <w:pStyle w:val="BodyText"/>
      </w:pPr>
      <w:r>
        <w:t>En effet, la situation macroéconomique de l’époque avait entraîné une forte baisse des revenus publics et grevé la rentabilité du secteur privé, induisant une faiblesse d’investissement dans les infrastructures urbaines.</w:t>
      </w:r>
    </w:p>
    <w:p w14:paraId="194ABD8B" w14:textId="364149AB" w:rsidR="00B357E0" w:rsidRDefault="00B357E0" w:rsidP="005460E4">
      <w:pPr>
        <w:pStyle w:val="AppendixHeading3"/>
      </w:pPr>
      <w:bookmarkStart w:id="177" w:name="_Toc93390330"/>
      <w:r>
        <w:t>Présentation du fonds</w:t>
      </w:r>
      <w:bookmarkEnd w:id="177"/>
    </w:p>
    <w:p w14:paraId="6356431A" w14:textId="77777777" w:rsidR="00B357E0" w:rsidRDefault="00B357E0" w:rsidP="00B357E0">
      <w:pPr>
        <w:pStyle w:val="BodyText"/>
      </w:pPr>
      <w:r>
        <w:t xml:space="preserve">Le JHFA (JESSICA Holding </w:t>
      </w:r>
      <w:proofErr w:type="spellStart"/>
      <w:r>
        <w:t>Fund</w:t>
      </w:r>
      <w:proofErr w:type="spellEnd"/>
      <w:r>
        <w:t xml:space="preserve"> Andalusia) a été créé en 2009 dans le cadre du PO Andalousie 2007-2013.  </w:t>
      </w:r>
    </w:p>
    <w:p w14:paraId="7F5932D4" w14:textId="77777777" w:rsidR="00B357E0" w:rsidRDefault="00B357E0" w:rsidP="00B357E0">
      <w:pPr>
        <w:pStyle w:val="BodyText"/>
      </w:pPr>
      <w:r>
        <w:t xml:space="preserve">Le fonds intervient à la fois en haut de bilan et en dette. En effet il est capable d’apporter des capitaux en fonds propres, des prêts participatifs et du financement subordonné en quasi-fonds propres ainsi que de la dette aux porteurs de projets d’infrastructures.    </w:t>
      </w:r>
    </w:p>
    <w:p w14:paraId="1BFFEEEC" w14:textId="77777777" w:rsidR="00B357E0" w:rsidRDefault="00B357E0" w:rsidP="00B357E0">
      <w:pPr>
        <w:pStyle w:val="BodyText"/>
      </w:pPr>
      <w:r>
        <w:t xml:space="preserve">Pour être éligibles, les projets portés par des promoteurs publics ou privés, doivent être des projets urbains du territoire andalou respectant les conditions suivantes : </w:t>
      </w:r>
    </w:p>
    <w:p w14:paraId="447D899C" w14:textId="355F133F" w:rsidR="00B357E0" w:rsidRDefault="00B357E0" w:rsidP="00602EC0">
      <w:pPr>
        <w:pStyle w:val="Bullet1"/>
      </w:pPr>
      <w:r>
        <w:t>être des projets de régénération ou de développement urbain ;</w:t>
      </w:r>
    </w:p>
    <w:p w14:paraId="1F14F027" w14:textId="0674A38C" w:rsidR="00B357E0" w:rsidRDefault="00B357E0" w:rsidP="00602EC0">
      <w:pPr>
        <w:pStyle w:val="Bullet1"/>
      </w:pPr>
      <w:r>
        <w:t>s’inscrire dans un plan intégré de développement urbain durable ;</w:t>
      </w:r>
    </w:p>
    <w:p w14:paraId="014DD0C7" w14:textId="4356ABEB" w:rsidR="00B357E0" w:rsidRDefault="00B357E0" w:rsidP="00602EC0">
      <w:pPr>
        <w:pStyle w:val="Bullet1"/>
      </w:pPr>
      <w:r>
        <w:t xml:space="preserve">être rentable et générer des revenus suffisant au recouvrement des capitaux apportés.   </w:t>
      </w:r>
    </w:p>
    <w:p w14:paraId="214F1625" w14:textId="77777777" w:rsidR="00B357E0" w:rsidRDefault="00B357E0" w:rsidP="00B357E0">
      <w:pPr>
        <w:pStyle w:val="BodyText"/>
      </w:pPr>
      <w:r>
        <w:t>Selon le PO programme FEDER 2007-2013 d’Andalousie, les projets urbains doivent s’inscrire dans les priorités suivantes :</w:t>
      </w:r>
    </w:p>
    <w:p w14:paraId="72115797" w14:textId="10A3DF0A" w:rsidR="00B357E0" w:rsidRDefault="00B357E0" w:rsidP="00602EC0">
      <w:pPr>
        <w:pStyle w:val="Bullet1"/>
      </w:pPr>
      <w:r>
        <w:t>Infrastructures urbaines (y compris, entre autres, l’amélioration des transports et de l’environnement et le développement du tourisme et de la culture).</w:t>
      </w:r>
    </w:p>
    <w:p w14:paraId="1E5A3282" w14:textId="7926D5AF" w:rsidR="00B357E0" w:rsidRDefault="00B357E0" w:rsidP="00602EC0">
      <w:pPr>
        <w:pStyle w:val="Bullet1"/>
      </w:pPr>
      <w:r>
        <w:t>Installations et bâtiments accueillant des activités innovantes (y compris la R&amp;D) et des PME ou entreprises opérant dans des secteurs innovants.</w:t>
      </w:r>
    </w:p>
    <w:p w14:paraId="05505DA7" w14:textId="7FFD9D47" w:rsidR="00B357E0" w:rsidRDefault="00B357E0" w:rsidP="00602EC0">
      <w:pPr>
        <w:pStyle w:val="Bullet1"/>
      </w:pPr>
      <w:r>
        <w:t>Remise à neuf d’installations ou de zones industrielles désaffectées (y compris mesures de démolition et de décontamination) à des fins non résidentielles</w:t>
      </w:r>
    </w:p>
    <w:p w14:paraId="77257A86" w14:textId="77777777" w:rsidR="00B357E0" w:rsidRDefault="00B357E0" w:rsidP="00B357E0">
      <w:pPr>
        <w:pStyle w:val="BodyText"/>
      </w:pPr>
      <w:r>
        <w:t xml:space="preserve">En raison du manque de compétences locales sur ce type de projets, l’instrument a en sus du financement offert du conseil dans le lancement des opérations et la structuration financière des projets.  </w:t>
      </w:r>
    </w:p>
    <w:p w14:paraId="73DA62FC" w14:textId="68BE8DCD" w:rsidR="00B357E0" w:rsidRDefault="00B357E0" w:rsidP="005460E4">
      <w:pPr>
        <w:pStyle w:val="AppendixHeading3"/>
      </w:pPr>
      <w:bookmarkStart w:id="178" w:name="_Toc93390331"/>
      <w:r>
        <w:t>Principales actions engagées et résultats</w:t>
      </w:r>
      <w:bookmarkEnd w:id="178"/>
    </w:p>
    <w:p w14:paraId="1C144493" w14:textId="77777777" w:rsidR="00B357E0" w:rsidRDefault="00B357E0" w:rsidP="00B357E0">
      <w:pPr>
        <w:pStyle w:val="BodyText"/>
      </w:pPr>
      <w:r>
        <w:t>A date d’août 2019, l’instrument avait investi 72,5M€ (90% de son montant total) dans neuf projets d’infrastructures. 40 % des opérations ont été initiées directement par le gestionnaire de l’instrument, et seuls deux des neuf projets ont été proposés par le promoteur privé.</w:t>
      </w:r>
    </w:p>
    <w:p w14:paraId="50978BF3" w14:textId="77777777" w:rsidR="00B357E0" w:rsidRDefault="00B357E0" w:rsidP="00B357E0">
      <w:pPr>
        <w:pStyle w:val="BodyText"/>
      </w:pPr>
      <w:r>
        <w:t xml:space="preserve">Le JHFA a fourni 44 % du total des ressources investies avec un effet levier constaté de 2,27 sur les financement privés. Ainsi, l’investissement total induit a été de 164M€, 94M€ ayant été apportés par des investisseurs privés, des banques ou d'autres partenaires dans la structuration des différentes opérations. </w:t>
      </w:r>
    </w:p>
    <w:p w14:paraId="60E0CD3B" w14:textId="77777777" w:rsidR="00B357E0" w:rsidRDefault="00B357E0" w:rsidP="00B357E0">
      <w:pPr>
        <w:pStyle w:val="BodyText"/>
      </w:pPr>
      <w:r>
        <w:t>Les produits financiers les plus utilisés ont été les prêts participatifs (financement mezzanine), tandis que la dette senior et les fonds propres ont été fournis dans une moindre mesure.</w:t>
      </w:r>
    </w:p>
    <w:p w14:paraId="2B2E361D" w14:textId="77777777" w:rsidR="00B357E0" w:rsidRDefault="00B357E0" w:rsidP="00B357E0">
      <w:pPr>
        <w:pStyle w:val="BodyText"/>
      </w:pPr>
      <w:r>
        <w:t xml:space="preserve">Selon les rapports, 786 emplois ont été créés grâce à l'intervention de JESSICA, tandis que l'emploi total généré, en intégrant les investissements induits, est d'environ 1 863. </w:t>
      </w:r>
    </w:p>
    <w:p w14:paraId="26DEBCAB" w14:textId="77777777" w:rsidR="00B357E0" w:rsidRDefault="00B357E0" w:rsidP="00B357E0">
      <w:pPr>
        <w:pStyle w:val="BodyText"/>
      </w:pPr>
      <w:r>
        <w:t xml:space="preserve">Les projets soutenus par JESSICA ont été des projets d'infrastructure de grande échelle dont la majorité ont été portées par des sociétés de projets, pour le compte d'une institution publique municipale ou locale. Les projets de réhabilitation ont été les plus nombreux, suivis par la construction de nouveaux équipements publics.   </w:t>
      </w:r>
    </w:p>
    <w:p w14:paraId="49F8C68F" w14:textId="3F7BAF74" w:rsidR="00B357E0" w:rsidRDefault="00B357E0" w:rsidP="005460E4">
      <w:pPr>
        <w:pStyle w:val="AppendixHeading3"/>
      </w:pPr>
      <w:bookmarkStart w:id="179" w:name="_Toc93390332"/>
      <w:r>
        <w:t>Structuration et financement (dont partenaires)</w:t>
      </w:r>
      <w:bookmarkEnd w:id="179"/>
      <w:r>
        <w:t xml:space="preserve"> </w:t>
      </w:r>
    </w:p>
    <w:p w14:paraId="67E63F01" w14:textId="77777777" w:rsidR="00B357E0" w:rsidRDefault="00B357E0" w:rsidP="00B357E0">
      <w:pPr>
        <w:pStyle w:val="BodyText"/>
      </w:pPr>
      <w:r>
        <w:t xml:space="preserve"> Le JHFA (JESSICA Holding </w:t>
      </w:r>
      <w:proofErr w:type="spellStart"/>
      <w:r>
        <w:t>Fund</w:t>
      </w:r>
      <w:proofErr w:type="spellEnd"/>
      <w:r>
        <w:t xml:space="preserve"> Andalusia) a été créé par l'accord de financement signé par la BEI et l’autorité de gestion le 8 mai 2009 pour le PO Andalousie 2007-2013. JHFA a bénéficié au total d'une contribution de 85,71M€ de l’autorité de gestion, dont 81,4M€ destiné au financement des infrastructures.</w:t>
      </w:r>
    </w:p>
    <w:p w14:paraId="070BE827" w14:textId="77777777" w:rsidR="00B357E0" w:rsidRDefault="00B357E0" w:rsidP="00B357E0">
      <w:pPr>
        <w:pStyle w:val="BodyText"/>
      </w:pPr>
      <w:r>
        <w:t xml:space="preserve">3 gestionnaires du fonds se sont succédés jusqu’en 2017 (UDF, </w:t>
      </w:r>
      <w:proofErr w:type="spellStart"/>
      <w:r>
        <w:t>Ahorro</w:t>
      </w:r>
      <w:proofErr w:type="spellEnd"/>
      <w:r>
        <w:t xml:space="preserve"> </w:t>
      </w:r>
      <w:proofErr w:type="spellStart"/>
      <w:r>
        <w:t>Cooperacion</w:t>
      </w:r>
      <w:proofErr w:type="spellEnd"/>
      <w:r>
        <w:t xml:space="preserve">, puis GED). </w:t>
      </w:r>
    </w:p>
    <w:p w14:paraId="6ED5CB06" w14:textId="77777777" w:rsidR="00B357E0" w:rsidRDefault="00B357E0" w:rsidP="00B357E0">
      <w:pPr>
        <w:pStyle w:val="BodyText"/>
      </w:pPr>
      <w:r>
        <w:t>La structuration de JESSICA est décrite dans le schéma ci-dessous :</w:t>
      </w:r>
    </w:p>
    <w:p w14:paraId="1ADAA17D" w14:textId="12F70331" w:rsidR="00B357E0" w:rsidRDefault="00B357E0" w:rsidP="00B357E0">
      <w:pPr>
        <w:pStyle w:val="BodyText"/>
      </w:pPr>
      <w:r>
        <w:t xml:space="preserve"> </w:t>
      </w:r>
      <w:r w:rsidR="00F94EA0">
        <w:rPr>
          <w:noProof/>
        </w:rPr>
        <w:drawing>
          <wp:inline distT="0" distB="0" distL="0" distR="0" wp14:anchorId="29423A68" wp14:editId="256B131E">
            <wp:extent cx="5760720" cy="312039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242"/>
                    <a:stretch/>
                  </pic:blipFill>
                  <pic:spPr bwMode="auto">
                    <a:xfrm>
                      <a:off x="0" y="0"/>
                      <a:ext cx="5760720" cy="3120390"/>
                    </a:xfrm>
                    <a:prstGeom prst="rect">
                      <a:avLst/>
                    </a:prstGeom>
                    <a:ln>
                      <a:noFill/>
                    </a:ln>
                    <a:extLst>
                      <a:ext uri="{53640926-AAD7-44D8-BBD7-CCE9431645EC}">
                        <a14:shadowObscured xmlns:a14="http://schemas.microsoft.com/office/drawing/2010/main"/>
                      </a:ext>
                    </a:extLst>
                  </pic:spPr>
                </pic:pic>
              </a:graphicData>
            </a:graphic>
          </wp:inline>
        </w:drawing>
      </w:r>
    </w:p>
    <w:p w14:paraId="5071F913" w14:textId="77777777" w:rsidR="00B357E0" w:rsidRPr="00602EC0" w:rsidRDefault="00B357E0" w:rsidP="00B357E0">
      <w:pPr>
        <w:pStyle w:val="BodyText"/>
        <w:rPr>
          <w:i/>
          <w:iCs/>
        </w:rPr>
      </w:pPr>
      <w:r w:rsidRPr="00602EC0">
        <w:rPr>
          <w:i/>
          <w:iCs/>
        </w:rPr>
        <w:t xml:space="preserve"> Source : </w:t>
      </w:r>
      <w:proofErr w:type="spellStart"/>
      <w:r w:rsidRPr="00602EC0">
        <w:rPr>
          <w:i/>
          <w:iCs/>
        </w:rPr>
        <w:t>Idea</w:t>
      </w:r>
      <w:proofErr w:type="spellEnd"/>
    </w:p>
    <w:p w14:paraId="3F6D1E60" w14:textId="431013C7" w:rsidR="00B357E0" w:rsidRDefault="00B357E0" w:rsidP="005460E4">
      <w:pPr>
        <w:pStyle w:val="AppendixHeading3"/>
      </w:pPr>
      <w:bookmarkStart w:id="180" w:name="_Toc93390333"/>
      <w:r>
        <w:t>Enseignements</w:t>
      </w:r>
      <w:bookmarkEnd w:id="180"/>
      <w:r>
        <w:t xml:space="preserve"> </w:t>
      </w:r>
    </w:p>
    <w:p w14:paraId="583325DC" w14:textId="77777777" w:rsidR="00B357E0" w:rsidRDefault="00B357E0" w:rsidP="00B357E0">
      <w:pPr>
        <w:pStyle w:val="BodyText"/>
      </w:pPr>
      <w:r>
        <w:t xml:space="preserve">Le fonds JESSICA en Andalousie a constitué un projet pilote qui peut être considéré comme positifs dans le cadre d'une restriction financière élevée, car il a contribué à apporté des fonds à des projets en déficit d’investissements. </w:t>
      </w:r>
    </w:p>
    <w:p w14:paraId="3D4052B9" w14:textId="77777777" w:rsidR="00B357E0" w:rsidRDefault="00B357E0" w:rsidP="00B357E0">
      <w:pPr>
        <w:pStyle w:val="BodyText"/>
      </w:pPr>
      <w:r>
        <w:t xml:space="preserve">La principale valeur ajoutée de cet instrument selon les gestionnaire et les bénéficiaires a été  de générer un investissement en période de fortes restrictions financières, ainsi qu’au rôle d'assistance technique du gestionnaire du fonds. </w:t>
      </w:r>
    </w:p>
    <w:p w14:paraId="67B248F7" w14:textId="77777777" w:rsidR="00B357E0" w:rsidRDefault="00B357E0" w:rsidP="00B357E0">
      <w:pPr>
        <w:pStyle w:val="BodyText"/>
      </w:pPr>
      <w:r>
        <w:t>GED a en effet agi en tant qu'initiateur de projet et conseiller dans des structures de financement complexes, tout en fournissant des fonds adaptés qui ont permis aux projets de se développer. Le gestionnaire du fonds JESSICA a soutenu les promoteurs dans les phases de conception, d'appel d'offres et de négociation financière. agissant comme un partenaire pour la réussite du projet. Le gestionnaire a ainsi fourni des études de faisabilité, accompagné la structuration juridique et les instruments de mitigation des risques : tranches juniors, financement mezzanine, fonds propres, etc.</w:t>
      </w:r>
    </w:p>
    <w:p w14:paraId="3DA609B1" w14:textId="77777777" w:rsidR="00B357E0" w:rsidRDefault="00B357E0" w:rsidP="00B357E0">
      <w:pPr>
        <w:pStyle w:val="BodyText"/>
      </w:pPr>
      <w:r>
        <w:t xml:space="preserve">En raison du faible nombre de projets, la charge administrative n'a pas été identifiée comme un problème majeur dans la mise en œuvre des fonds JESSICA. </w:t>
      </w:r>
    </w:p>
    <w:p w14:paraId="25CE9C9A" w14:textId="77777777" w:rsidR="00B357E0" w:rsidRDefault="00B357E0" w:rsidP="00B357E0">
      <w:pPr>
        <w:pStyle w:val="BodyText"/>
      </w:pPr>
      <w:r>
        <w:t xml:space="preserve">L’implication de la BEI a également été un facteur de réduction du risque administratif, puisque les procédures d'audit, de vérification et de suivi ont été établies dans le cadre de ses propres règlements. </w:t>
      </w:r>
    </w:p>
    <w:p w14:paraId="025A767F" w14:textId="77777777" w:rsidR="00B357E0" w:rsidRDefault="00B357E0" w:rsidP="00B357E0">
      <w:pPr>
        <w:pStyle w:val="BodyText"/>
      </w:pPr>
      <w:r>
        <w:t xml:space="preserve">Toutefois, le nombre de financements par le fonds a été limité, car les restrictions budgétaires ont continué de limiter les investissements en Andalousie, malgré l’existence d’un tel instrument. Ainsi, le pipeline de projets est apparu faible et les projets  réalisés principalement pour des municipalités de taille moyenne ou grande. </w:t>
      </w:r>
    </w:p>
    <w:p w14:paraId="6380A29A" w14:textId="77777777" w:rsidR="00B357E0" w:rsidRDefault="00B357E0" w:rsidP="00B357E0">
      <w:pPr>
        <w:pStyle w:val="BodyText"/>
      </w:pPr>
      <w:r>
        <w:t>Les projets ont été plus limités parmi les municipalités de moins de 50 000 habitants, et leur degré de maturité plus faible, nécessitant un soutien important dans le développement. Un certain degré de concentration territoriale a également été identifié, avec plusieurs provinces sans aucun investissement.</w:t>
      </w:r>
    </w:p>
    <w:p w14:paraId="58EADE30" w14:textId="77777777" w:rsidR="00B357E0" w:rsidRDefault="00B357E0" w:rsidP="00B357E0">
      <w:pPr>
        <w:pStyle w:val="BodyText"/>
      </w:pPr>
      <w:r>
        <w:t xml:space="preserve">La gestion de l'instrument JESSICA est apparue plus complexe que la gestion et la mise en œuvre des programmes de subventions, avec des flux dépendant de l'évolution du projet, du niveau de risque, des longues périodes de suivi et de la complexité de la gestion. </w:t>
      </w:r>
    </w:p>
    <w:p w14:paraId="455ACC07" w14:textId="2784F0E8" w:rsidR="00B357E0" w:rsidRDefault="00B357E0" w:rsidP="005460E4">
      <w:pPr>
        <w:pStyle w:val="AppendixHeading3"/>
      </w:pPr>
      <w:bookmarkStart w:id="181" w:name="_Toc93390334"/>
      <w:r>
        <w:t>Clés de succès</w:t>
      </w:r>
      <w:bookmarkEnd w:id="181"/>
      <w:r>
        <w:t xml:space="preserve"> </w:t>
      </w:r>
    </w:p>
    <w:p w14:paraId="4751F44C" w14:textId="77777777" w:rsidR="00B357E0" w:rsidRDefault="00B357E0" w:rsidP="00B357E0">
      <w:pPr>
        <w:pStyle w:val="BodyText"/>
      </w:pPr>
      <w:r>
        <w:t>La mise en place de ce type d’instrument nécessite un changement culturel pour les acteurs du secteur, passant de subventions à des financements remboursables, s’inscrivant dans une durabilité financière et la collaboration public-privé.</w:t>
      </w:r>
    </w:p>
    <w:p w14:paraId="2E15D397" w14:textId="77777777" w:rsidR="00B357E0" w:rsidRDefault="00B357E0" w:rsidP="00B357E0">
      <w:pPr>
        <w:pStyle w:val="BodyText"/>
      </w:pPr>
      <w:r>
        <w:t>JESSICA en Andalousie s’est inscrit dans une défaillances établie du marché, de rénovation du bâti public des collectivités territoriales et des infrastructures urbaines. JESSICA a permis de compléter des financements existants ou de modifier les instruments proposés pour améliorer la capacité de financement des projets.</w:t>
      </w:r>
    </w:p>
    <w:p w14:paraId="16630261" w14:textId="77777777" w:rsidR="00B357E0" w:rsidRDefault="00B357E0" w:rsidP="00B357E0">
      <w:pPr>
        <w:pStyle w:val="BodyText"/>
      </w:pPr>
      <w:r>
        <w:t>La coopération avec des experts des secteurs public et privé a permis d'élever le niveau de professionnalisme dans l'exécution des projets d'un point de vue technique, financier, juridique et économique. En effet, l'assistance technique dans la structuration des projets a été un facteur de différenciation de JESSICA Andalousie et peut être considérée comme l'un des éléments clés de sa bonne exécution.</w:t>
      </w:r>
    </w:p>
    <w:p w14:paraId="6F5EF164" w14:textId="4458942D" w:rsidR="00B357E0" w:rsidRDefault="00B357E0" w:rsidP="005460E4">
      <w:pPr>
        <w:pStyle w:val="AppendixHeading3"/>
      </w:pPr>
      <w:bookmarkStart w:id="182" w:name="_Toc93390335"/>
      <w:r>
        <w:t>Mise en perspective par rapport à la région Hauts-de-France</w:t>
      </w:r>
      <w:bookmarkEnd w:id="182"/>
    </w:p>
    <w:p w14:paraId="285F8556" w14:textId="77777777" w:rsidR="00B357E0" w:rsidRDefault="00B357E0" w:rsidP="00B357E0">
      <w:pPr>
        <w:pStyle w:val="BodyText"/>
      </w:pPr>
      <w:r>
        <w:t xml:space="preserve">Le fonds JESSICA montre la pertinence d’intervenir sur une défaillance de marché démontrée, et en particulier dans une action « </w:t>
      </w:r>
      <w:proofErr w:type="spellStart"/>
      <w:r>
        <w:t>contra-cyclique</w:t>
      </w:r>
      <w:proofErr w:type="spellEnd"/>
      <w:r>
        <w:t xml:space="preserve"> » de restrictions budgétaires. Les difficultés d’accès à la liquidité pour les collectivités territoriales en France apparaît moins marqué qu’en Andalousie et les problématiques de pipeline de projets faibles pourraient y être moins importante. </w:t>
      </w:r>
    </w:p>
    <w:p w14:paraId="738AFF64" w14:textId="77777777" w:rsidR="00B357E0" w:rsidRDefault="00B357E0" w:rsidP="00B357E0">
      <w:pPr>
        <w:pStyle w:val="BodyText"/>
      </w:pPr>
      <w:r>
        <w:t>L’importance de l’assistance technique et de l’accompagnement à l’ingénierie de projets pour les collectivités territoriales est particulièrement notable dans l’instrument et la sélection du gestionnaire de l’instrument apparaît comme un point majeur dans son succès. La présence de 3 gestionnaires du fonds sur une période 10 ans laisse augurer des problématiques opérationnelles ou financières non disponibles dans la documentation à notre disposition.</w:t>
      </w:r>
    </w:p>
    <w:p w14:paraId="3674A6A6" w14:textId="6A97098C" w:rsidR="00B357E0" w:rsidRPr="009433E2" w:rsidRDefault="00B357E0" w:rsidP="005460E4">
      <w:pPr>
        <w:pStyle w:val="AppendixHeading3"/>
        <w:rPr>
          <w:lang w:val="en-US"/>
        </w:rPr>
      </w:pPr>
      <w:bookmarkStart w:id="183" w:name="_Toc93390336"/>
      <w:r w:rsidRPr="009433E2">
        <w:rPr>
          <w:lang w:val="en-US"/>
        </w:rPr>
        <w:t>Contact</w:t>
      </w:r>
      <w:bookmarkEnd w:id="183"/>
    </w:p>
    <w:p w14:paraId="342A09F1" w14:textId="631A156C" w:rsidR="00B357E0" w:rsidRPr="009433E2" w:rsidRDefault="00B357E0" w:rsidP="00B357E0">
      <w:pPr>
        <w:pStyle w:val="BodyText"/>
        <w:rPr>
          <w:lang w:val="en-US"/>
        </w:rPr>
      </w:pPr>
      <w:r w:rsidRPr="009433E2">
        <w:rPr>
          <w:lang w:val="en-US"/>
        </w:rPr>
        <w:t xml:space="preserve"> GED Capital, </w:t>
      </w:r>
      <w:hyperlink r:id="rId48" w:history="1">
        <w:r w:rsidR="00602EC0" w:rsidRPr="006C4E0C">
          <w:rPr>
            <w:rStyle w:val="Hyperlink"/>
            <w:lang w:val="en-US"/>
          </w:rPr>
          <w:t>gedjessicaandalucia@gedcapital.com</w:t>
        </w:r>
      </w:hyperlink>
      <w:r w:rsidR="00602EC0">
        <w:rPr>
          <w:lang w:val="en-US"/>
        </w:rPr>
        <w:t xml:space="preserve"> </w:t>
      </w:r>
    </w:p>
    <w:p w14:paraId="4BCC4202" w14:textId="2C89161D" w:rsidR="00B357E0" w:rsidRDefault="00B357E0" w:rsidP="005460E4">
      <w:pPr>
        <w:pStyle w:val="AppendixHeading3"/>
      </w:pPr>
      <w:bookmarkStart w:id="184" w:name="_Toc93390337"/>
      <w:r>
        <w:t>Autres sources</w:t>
      </w:r>
      <w:bookmarkEnd w:id="184"/>
      <w:r>
        <w:t xml:space="preserve"> </w:t>
      </w:r>
    </w:p>
    <w:p w14:paraId="760D304C" w14:textId="7AB4AA5F" w:rsidR="00B357E0" w:rsidRDefault="00B357E0" w:rsidP="00B357E0">
      <w:pPr>
        <w:pStyle w:val="BodyText"/>
      </w:pPr>
      <w:r>
        <w:t xml:space="preserve">Etude de cas ESPON 2019 : </w:t>
      </w:r>
      <w:hyperlink r:id="rId49" w:history="1">
        <w:proofErr w:type="spellStart"/>
        <w:r w:rsidR="00063B83" w:rsidRPr="00B77D56">
          <w:rPr>
            <w:rStyle w:val="Hyperlink"/>
          </w:rPr>
          <w:t>Andalucia_case</w:t>
        </w:r>
        <w:proofErr w:type="spellEnd"/>
        <w:r w:rsidR="00063B83" w:rsidRPr="00B77D56">
          <w:rPr>
            <w:rStyle w:val="Hyperlink"/>
          </w:rPr>
          <w:t xml:space="preserve"> study.pdf </w:t>
        </w:r>
        <w:r w:rsidR="00063B83" w:rsidRPr="006177D1">
          <w:t>(espon.eu)</w:t>
        </w:r>
      </w:hyperlink>
      <w:r w:rsidR="00063B83">
        <w:t xml:space="preserve">  </w:t>
      </w:r>
    </w:p>
    <w:p w14:paraId="0002E5C0" w14:textId="77777777" w:rsidR="00602EC0" w:rsidRPr="00B357E0" w:rsidRDefault="00602EC0" w:rsidP="00B357E0">
      <w:pPr>
        <w:pStyle w:val="BodyText"/>
      </w:pPr>
    </w:p>
    <w:p w14:paraId="717B232D" w14:textId="4454608A" w:rsidR="00DF7E4D" w:rsidRDefault="00DF7E4D" w:rsidP="00DF7E4D">
      <w:pPr>
        <w:pStyle w:val="AppendixHeading1"/>
      </w:pPr>
      <w:bookmarkStart w:id="185" w:name="_Toc93390338"/>
      <w:r>
        <w:t>Fiches descriptives par outil financé par la Région</w:t>
      </w:r>
      <w:bookmarkEnd w:id="185"/>
      <w:r>
        <w:t xml:space="preserve">  </w:t>
      </w:r>
    </w:p>
    <w:p w14:paraId="160F1128" w14:textId="5BC8FD5F" w:rsidR="00F42439" w:rsidRPr="00267519" w:rsidRDefault="00F42439" w:rsidP="00FF4704">
      <w:pPr>
        <w:pStyle w:val="AppendixHeading2"/>
        <w:numPr>
          <w:ilvl w:val="0"/>
          <w:numId w:val="0"/>
        </w:numPr>
        <w:ind w:left="907" w:hanging="907"/>
        <w:outlineLvl w:val="9"/>
      </w:pPr>
      <w:r w:rsidRPr="00267519">
        <w:t>CAP 3RI</w:t>
      </w:r>
    </w:p>
    <w:tbl>
      <w:tblPr>
        <w:tblStyle w:val="TechnopolisTable"/>
        <w:tblW w:w="9062" w:type="dxa"/>
        <w:tblLook w:val="04A0" w:firstRow="1" w:lastRow="0" w:firstColumn="1" w:lastColumn="0" w:noHBand="0" w:noVBand="1"/>
      </w:tblPr>
      <w:tblGrid>
        <w:gridCol w:w="2499"/>
        <w:gridCol w:w="6563"/>
      </w:tblGrid>
      <w:tr w:rsidR="00F42439" w:rsidRPr="00267519" w14:paraId="0A0A0942" w14:textId="77777777" w:rsidTr="00A427F0">
        <w:trPr>
          <w:cnfStyle w:val="100000000000" w:firstRow="1" w:lastRow="0" w:firstColumn="0" w:lastColumn="0" w:oddVBand="0" w:evenVBand="0" w:oddHBand="0" w:evenHBand="0" w:firstRowFirstColumn="0" w:firstRowLastColumn="0" w:lastRowFirstColumn="0" w:lastRowLastColumn="0"/>
          <w:trHeight w:val="405"/>
        </w:trPr>
        <w:tc>
          <w:tcPr>
            <w:tcW w:w="2499" w:type="dxa"/>
            <w:hideMark/>
          </w:tcPr>
          <w:p w14:paraId="5B11F7CF"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Cs/>
                <w:color w:val="000000" w:themeColor="text1"/>
                <w:lang w:eastAsia="fr-FR"/>
              </w:rPr>
              <w:t>Catégorie</w:t>
            </w:r>
            <w:r w:rsidRPr="00267519">
              <w:rPr>
                <w:rFonts w:eastAsia="Times New Roman" w:cs="Times New Roman"/>
                <w:color w:val="000000" w:themeColor="text1"/>
                <w:lang w:eastAsia="fr-FR"/>
              </w:rPr>
              <w:t> </w:t>
            </w:r>
          </w:p>
        </w:tc>
        <w:tc>
          <w:tcPr>
            <w:tcW w:w="6563" w:type="dxa"/>
            <w:hideMark/>
          </w:tcPr>
          <w:p w14:paraId="5B5C9697" w14:textId="77777777" w:rsidR="00F42439" w:rsidRPr="00267519" w:rsidRDefault="00F42439" w:rsidP="00A427F0">
            <w:pPr>
              <w:pStyle w:val="Tablebullet1"/>
              <w:numPr>
                <w:ilvl w:val="0"/>
                <w:numId w:val="0"/>
              </w:numPr>
              <w:ind w:left="227" w:hanging="227"/>
              <w:rPr>
                <w:lang w:eastAsia="fr-FR"/>
              </w:rPr>
            </w:pPr>
            <w:r w:rsidRPr="00267519">
              <w:rPr>
                <w:lang w:eastAsia="fr-FR"/>
              </w:rPr>
              <w:t>Explication du contenu  </w:t>
            </w:r>
          </w:p>
        </w:tc>
      </w:tr>
      <w:tr w:rsidR="00F42439" w:rsidRPr="00267519" w14:paraId="7E4163E2"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3E11D9C1"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Type d’instrument financier</w:t>
            </w:r>
            <w:r w:rsidRPr="00267519">
              <w:rPr>
                <w:rFonts w:eastAsia="Times New Roman" w:cs="Times New Roman"/>
                <w:color w:val="000000" w:themeColor="text1"/>
                <w:lang w:eastAsia="fr-FR"/>
              </w:rPr>
              <w:t> </w:t>
            </w:r>
          </w:p>
        </w:tc>
        <w:tc>
          <w:tcPr>
            <w:tcW w:w="6563" w:type="dxa"/>
            <w:hideMark/>
          </w:tcPr>
          <w:p w14:paraId="4DDBA478" w14:textId="77777777" w:rsidR="00F42439" w:rsidRPr="00267519" w:rsidRDefault="00F42439" w:rsidP="00204F06">
            <w:pPr>
              <w:pStyle w:val="Tablebullet1"/>
              <w:numPr>
                <w:ilvl w:val="0"/>
                <w:numId w:val="25"/>
              </w:numPr>
              <w:jc w:val="left"/>
              <w:rPr>
                <w:lang w:eastAsia="fr-FR"/>
              </w:rPr>
            </w:pPr>
            <w:r w:rsidRPr="00267519">
              <w:rPr>
                <w:lang w:eastAsia="fr-FR"/>
              </w:rPr>
              <w:t>Fonds propres</w:t>
            </w:r>
          </w:p>
        </w:tc>
      </w:tr>
      <w:tr w:rsidR="00F42439" w:rsidRPr="00267519" w14:paraId="0E40D3C4"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2DA1E291"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Année de création</w:t>
            </w:r>
            <w:r w:rsidRPr="00267519">
              <w:rPr>
                <w:rFonts w:eastAsia="Times New Roman" w:cs="Times New Roman"/>
                <w:color w:val="000000" w:themeColor="text1"/>
                <w:lang w:eastAsia="fr-FR"/>
              </w:rPr>
              <w:t> </w:t>
            </w:r>
          </w:p>
        </w:tc>
        <w:tc>
          <w:tcPr>
            <w:tcW w:w="6563" w:type="dxa"/>
            <w:hideMark/>
          </w:tcPr>
          <w:p w14:paraId="367DAC1E" w14:textId="77777777" w:rsidR="00F42439" w:rsidRPr="00267519" w:rsidRDefault="00F42439" w:rsidP="00204F06">
            <w:pPr>
              <w:pStyle w:val="Tablebullet1"/>
              <w:numPr>
                <w:ilvl w:val="0"/>
                <w:numId w:val="25"/>
              </w:numPr>
              <w:jc w:val="left"/>
              <w:rPr>
                <w:lang w:eastAsia="fr-FR"/>
              </w:rPr>
            </w:pPr>
            <w:r w:rsidRPr="00267519">
              <w:rPr>
                <w:lang w:eastAsia="fr-FR"/>
              </w:rPr>
              <w:t>2016 à l'initiative de la Région avec le concours de la BEI (sous forme de prêt)</w:t>
            </w:r>
          </w:p>
        </w:tc>
      </w:tr>
      <w:tr w:rsidR="00F42439" w:rsidRPr="00267519" w14:paraId="13E04E32"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6808CA03"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Intermédiaire / opérateur</w:t>
            </w:r>
            <w:r w:rsidRPr="00267519">
              <w:rPr>
                <w:rFonts w:eastAsia="Times New Roman" w:cs="Times New Roman"/>
                <w:color w:val="000000" w:themeColor="text1"/>
                <w:lang w:eastAsia="fr-FR"/>
              </w:rPr>
              <w:t> </w:t>
            </w:r>
          </w:p>
        </w:tc>
        <w:tc>
          <w:tcPr>
            <w:tcW w:w="6563" w:type="dxa"/>
            <w:hideMark/>
          </w:tcPr>
          <w:p w14:paraId="343ABDB1" w14:textId="77777777" w:rsidR="00F42439" w:rsidRPr="00267519" w:rsidRDefault="00F42439" w:rsidP="00204F06">
            <w:pPr>
              <w:pStyle w:val="Tablebullet1"/>
              <w:numPr>
                <w:ilvl w:val="0"/>
                <w:numId w:val="25"/>
              </w:numPr>
              <w:jc w:val="left"/>
              <w:rPr>
                <w:lang w:eastAsia="fr-FR"/>
              </w:rPr>
            </w:pPr>
            <w:r w:rsidRPr="00267519">
              <w:rPr>
                <w:lang w:eastAsia="fr-FR"/>
              </w:rPr>
              <w:t>Nom de l’intermédiaire</w:t>
            </w:r>
            <w:r w:rsidRPr="00267519">
              <w:rPr>
                <w:rFonts w:ascii="Arial" w:hAnsi="Arial" w:cs="Arial"/>
                <w:lang w:eastAsia="fr-FR"/>
              </w:rPr>
              <w:t> </w:t>
            </w:r>
            <w:r w:rsidRPr="00267519">
              <w:rPr>
                <w:lang w:eastAsia="fr-FR"/>
              </w:rPr>
              <w:t>: Nord capital partenaires</w:t>
            </w:r>
          </w:p>
          <w:p w14:paraId="4C8BF8A8" w14:textId="77777777" w:rsidR="00F42439" w:rsidRPr="00267519" w:rsidRDefault="00F42439" w:rsidP="00204F06">
            <w:pPr>
              <w:pStyle w:val="Tablebullet1"/>
              <w:numPr>
                <w:ilvl w:val="0"/>
                <w:numId w:val="25"/>
              </w:numPr>
              <w:jc w:val="left"/>
              <w:rPr>
                <w:lang w:eastAsia="fr-FR"/>
              </w:rPr>
            </w:pPr>
            <w:r w:rsidRPr="00267519">
              <w:rPr>
                <w:lang w:eastAsia="fr-FR"/>
              </w:rPr>
              <w:t>ETP affectés à la gestion de l’instrument</w:t>
            </w:r>
            <w:r w:rsidRPr="00267519">
              <w:rPr>
                <w:rFonts w:ascii="Arial" w:hAnsi="Arial" w:cs="Arial"/>
                <w:lang w:eastAsia="fr-FR"/>
              </w:rPr>
              <w:t> </w:t>
            </w:r>
            <w:r w:rsidRPr="00267519">
              <w:rPr>
                <w:lang w:eastAsia="fr-FR"/>
              </w:rPr>
              <w:t xml:space="preserve">: 6 </w:t>
            </w:r>
          </w:p>
          <w:p w14:paraId="30CF1834" w14:textId="77777777" w:rsidR="00F42439" w:rsidRPr="00267519" w:rsidRDefault="00F42439" w:rsidP="00204F06">
            <w:pPr>
              <w:pStyle w:val="Tablebullet1"/>
              <w:numPr>
                <w:ilvl w:val="0"/>
                <w:numId w:val="25"/>
              </w:numPr>
              <w:jc w:val="left"/>
              <w:rPr>
                <w:lang w:eastAsia="fr-FR"/>
              </w:rPr>
            </w:pPr>
            <w:r w:rsidRPr="00267519">
              <w:rPr>
                <w:lang w:eastAsia="fr-FR"/>
              </w:rPr>
              <w:t>Frais de gestion</w:t>
            </w:r>
            <w:r w:rsidRPr="00267519">
              <w:rPr>
                <w:rFonts w:ascii="Arial" w:hAnsi="Arial" w:cs="Arial"/>
                <w:lang w:eastAsia="fr-FR"/>
              </w:rPr>
              <w:t> </w:t>
            </w:r>
            <w:r w:rsidRPr="00267519">
              <w:rPr>
                <w:lang w:eastAsia="fr-FR"/>
              </w:rPr>
              <w:t>: ND</w:t>
            </w:r>
          </w:p>
        </w:tc>
      </w:tr>
      <w:tr w:rsidR="00F42439" w:rsidRPr="00267519" w14:paraId="16CC0AC9"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1F249CB2"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Montant</w:t>
            </w:r>
            <w:r w:rsidRPr="00267519">
              <w:rPr>
                <w:rFonts w:eastAsia="Times New Roman" w:cs="Times New Roman"/>
                <w:color w:val="000000" w:themeColor="text1"/>
                <w:lang w:eastAsia="fr-FR"/>
              </w:rPr>
              <w:t> </w:t>
            </w:r>
          </w:p>
        </w:tc>
        <w:tc>
          <w:tcPr>
            <w:tcW w:w="6563" w:type="dxa"/>
            <w:hideMark/>
          </w:tcPr>
          <w:p w14:paraId="5A9C2BE8" w14:textId="77777777" w:rsidR="00F42439" w:rsidRPr="00267519" w:rsidRDefault="00F42439" w:rsidP="00204F06">
            <w:pPr>
              <w:pStyle w:val="Tablebullet1"/>
              <w:numPr>
                <w:ilvl w:val="0"/>
                <w:numId w:val="25"/>
              </w:numPr>
              <w:jc w:val="left"/>
              <w:rPr>
                <w:lang w:eastAsia="fr-FR"/>
              </w:rPr>
            </w:pPr>
            <w:r w:rsidRPr="00267519">
              <w:rPr>
                <w:lang w:eastAsia="fr-FR"/>
              </w:rPr>
              <w:t>Montant total de l’instrument</w:t>
            </w:r>
            <w:r w:rsidRPr="00267519">
              <w:rPr>
                <w:rFonts w:ascii="Arial" w:hAnsi="Arial" w:cs="Arial"/>
                <w:lang w:eastAsia="fr-FR"/>
              </w:rPr>
              <w:t> </w:t>
            </w:r>
            <w:r w:rsidRPr="00267519">
              <w:rPr>
                <w:lang w:eastAsia="fr-FR"/>
              </w:rPr>
              <w:t xml:space="preserve">: capacité d’engagement de 40,6 M€. </w:t>
            </w:r>
            <w:r w:rsidRPr="00267519">
              <w:br/>
            </w:r>
            <w:r w:rsidRPr="00267519">
              <w:rPr>
                <w:lang w:eastAsia="fr-FR"/>
              </w:rPr>
              <w:t xml:space="preserve">Capital souscrit : 20 603 K€ (libéré 19,8 M€) ; prêt BEI de 20 M€ </w:t>
            </w:r>
          </w:p>
          <w:p w14:paraId="344D5BEB" w14:textId="77777777" w:rsidR="00F42439" w:rsidRPr="00267519" w:rsidRDefault="00F42439" w:rsidP="00204F06">
            <w:pPr>
              <w:pStyle w:val="Tablebullet1"/>
              <w:numPr>
                <w:ilvl w:val="0"/>
                <w:numId w:val="25"/>
              </w:numPr>
              <w:jc w:val="left"/>
              <w:rPr>
                <w:lang w:eastAsia="fr-FR"/>
              </w:rPr>
            </w:pPr>
            <w:r w:rsidRPr="00267519">
              <w:rPr>
                <w:lang w:eastAsia="fr-FR"/>
              </w:rPr>
              <w:t>Fonds propres investis : 20M€ dans 13 entreprises</w:t>
            </w:r>
          </w:p>
        </w:tc>
      </w:tr>
      <w:tr w:rsidR="00F42439" w:rsidRPr="00267519" w14:paraId="269472AA"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2CC66E4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Contributeur</w:t>
            </w:r>
            <w:r w:rsidRPr="00267519">
              <w:rPr>
                <w:rFonts w:eastAsia="Times New Roman" w:cs="Times New Roman"/>
                <w:color w:val="000000" w:themeColor="text1"/>
                <w:lang w:eastAsia="fr-FR"/>
              </w:rPr>
              <w:t> </w:t>
            </w:r>
          </w:p>
        </w:tc>
        <w:tc>
          <w:tcPr>
            <w:tcW w:w="6563" w:type="dxa"/>
            <w:hideMark/>
          </w:tcPr>
          <w:p w14:paraId="5381688B" w14:textId="77777777" w:rsidR="00F42439" w:rsidRPr="00267519" w:rsidRDefault="00F42439" w:rsidP="00204F06">
            <w:pPr>
              <w:pStyle w:val="Tablebullet1"/>
              <w:numPr>
                <w:ilvl w:val="0"/>
                <w:numId w:val="25"/>
              </w:numPr>
              <w:jc w:val="left"/>
              <w:rPr>
                <w:lang w:eastAsia="fr-FR"/>
              </w:rPr>
            </w:pPr>
            <w:r w:rsidRPr="00267519">
              <w:rPr>
                <w:lang w:eastAsia="fr-FR"/>
              </w:rPr>
              <w:t>Nature des contributeurs et partenaires : 60,67 % Région, 24,26 % Crédit Agricole Nord de France, 7,28 % Groupama Nord-Est, 7,28 % Groupama Gan Vie , 0,50 % Nord Capital Partenaires</w:t>
            </w:r>
          </w:p>
        </w:tc>
      </w:tr>
      <w:tr w:rsidR="00F42439" w:rsidRPr="00267519" w14:paraId="042DC615"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27FFB941"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Produit / durée / ticket</w:t>
            </w:r>
            <w:r w:rsidRPr="00267519">
              <w:rPr>
                <w:rFonts w:eastAsia="Times New Roman" w:cs="Times New Roman"/>
                <w:color w:val="000000" w:themeColor="text1"/>
                <w:lang w:eastAsia="fr-FR"/>
              </w:rPr>
              <w:t> </w:t>
            </w:r>
          </w:p>
        </w:tc>
        <w:tc>
          <w:tcPr>
            <w:tcW w:w="6563" w:type="dxa"/>
            <w:hideMark/>
          </w:tcPr>
          <w:p w14:paraId="1872AFC2" w14:textId="77777777" w:rsidR="00F42439" w:rsidRPr="00267519" w:rsidRDefault="00F42439" w:rsidP="00204F06">
            <w:pPr>
              <w:pStyle w:val="Tablebullet1"/>
              <w:numPr>
                <w:ilvl w:val="0"/>
                <w:numId w:val="25"/>
              </w:numPr>
              <w:jc w:val="left"/>
              <w:rPr>
                <w:lang w:eastAsia="fr-FR"/>
              </w:rPr>
            </w:pPr>
            <w:r w:rsidRPr="00267519">
              <w:rPr>
                <w:lang w:eastAsia="fr-FR"/>
              </w:rPr>
              <w:t>Ticket(segmentation)</w:t>
            </w:r>
            <w:r w:rsidRPr="00267519">
              <w:rPr>
                <w:rFonts w:ascii="Arial" w:hAnsi="Arial" w:cs="Arial"/>
                <w:lang w:eastAsia="fr-FR"/>
              </w:rPr>
              <w:t> </w:t>
            </w:r>
            <w:r w:rsidRPr="00267519">
              <w:rPr>
                <w:lang w:eastAsia="fr-FR"/>
              </w:rPr>
              <w:t>d</w:t>
            </w:r>
            <w:r w:rsidRPr="00267519">
              <w:rPr>
                <w:rFonts w:cs="Century Gothic"/>
                <w:lang w:eastAsia="fr-FR"/>
              </w:rPr>
              <w:t>’</w:t>
            </w:r>
            <w:r w:rsidRPr="00267519">
              <w:rPr>
                <w:lang w:eastAsia="fr-FR"/>
              </w:rPr>
              <w:t>intervention</w:t>
            </w:r>
            <w:r w:rsidRPr="00267519">
              <w:rPr>
                <w:rFonts w:ascii="Arial" w:hAnsi="Arial" w:cs="Arial"/>
                <w:lang w:eastAsia="fr-FR"/>
              </w:rPr>
              <w:t> </w:t>
            </w:r>
            <w:r w:rsidRPr="00267519">
              <w:rPr>
                <w:lang w:eastAsia="fr-FR"/>
              </w:rPr>
              <w:t xml:space="preserve">:  </w:t>
            </w:r>
          </w:p>
          <w:p w14:paraId="02CD6159" w14:textId="77777777" w:rsidR="00F42439" w:rsidRPr="00267519" w:rsidRDefault="00F42439" w:rsidP="00204F06">
            <w:pPr>
              <w:pStyle w:val="Tablebullet1"/>
              <w:numPr>
                <w:ilvl w:val="0"/>
                <w:numId w:val="25"/>
              </w:numPr>
              <w:jc w:val="left"/>
              <w:rPr>
                <w:lang w:eastAsia="fr-FR"/>
              </w:rPr>
            </w:pPr>
            <w:r w:rsidRPr="00267519">
              <w:rPr>
                <w:lang w:eastAsia="fr-FR"/>
              </w:rPr>
              <w:t>Minimum :</w:t>
            </w:r>
            <w:r w:rsidRPr="00267519">
              <w:rPr>
                <w:rFonts w:ascii="Arial" w:hAnsi="Arial" w:cs="Arial"/>
                <w:lang w:eastAsia="fr-FR"/>
              </w:rPr>
              <w:t> </w:t>
            </w:r>
            <w:r w:rsidRPr="00267519">
              <w:rPr>
                <w:rFonts w:cs="Arial"/>
                <w:lang w:eastAsia="fr-FR"/>
              </w:rPr>
              <w:t>500</w:t>
            </w:r>
            <w:r w:rsidRPr="00267519">
              <w:rPr>
                <w:lang w:eastAsia="fr-FR"/>
              </w:rPr>
              <w:t>K€</w:t>
            </w:r>
            <w:r w:rsidRPr="00267519">
              <w:rPr>
                <w:rFonts w:ascii="Arial" w:hAnsi="Arial" w:cs="Arial"/>
                <w:lang w:eastAsia="fr-FR"/>
              </w:rPr>
              <w:t xml:space="preserve"> </w:t>
            </w:r>
            <w:r w:rsidRPr="00267519">
              <w:rPr>
                <w:lang w:eastAsia="fr-FR"/>
              </w:rPr>
              <w:t>; Maximum : 4 M€</w:t>
            </w:r>
            <w:r w:rsidRPr="00267519">
              <w:rPr>
                <w:rFonts w:ascii="Arial" w:hAnsi="Arial" w:cs="Arial"/>
                <w:lang w:eastAsia="fr-FR"/>
              </w:rPr>
              <w:t> </w:t>
            </w:r>
            <w:r w:rsidRPr="00267519">
              <w:rPr>
                <w:lang w:eastAsia="fr-FR"/>
              </w:rPr>
              <w:t>; Moyenne : 1,5M€</w:t>
            </w:r>
          </w:p>
          <w:p w14:paraId="1C1C4BD5" w14:textId="77777777" w:rsidR="00F42439" w:rsidRPr="00267519" w:rsidRDefault="00F42439" w:rsidP="00204F06">
            <w:pPr>
              <w:pStyle w:val="Tablebullet1"/>
              <w:numPr>
                <w:ilvl w:val="0"/>
                <w:numId w:val="25"/>
              </w:numPr>
              <w:jc w:val="left"/>
              <w:rPr>
                <w:lang w:eastAsia="fr-FR"/>
              </w:rPr>
            </w:pPr>
            <w:r w:rsidRPr="00267519">
              <w:rPr>
                <w:lang w:eastAsia="fr-FR"/>
              </w:rPr>
              <w:t>Condition d’intervention</w:t>
            </w:r>
            <w:r w:rsidRPr="00267519">
              <w:rPr>
                <w:rFonts w:ascii="Arial" w:hAnsi="Arial" w:cs="Arial"/>
                <w:lang w:eastAsia="fr-FR"/>
              </w:rPr>
              <w:t> </w:t>
            </w:r>
            <w:r w:rsidRPr="00267519">
              <w:rPr>
                <w:lang w:eastAsia="fr-FR"/>
              </w:rPr>
              <w:t>: Sont concernées les opérations de capital développement ou projets de création structurants (impliquant des investissements significatifs et/ou des créations d’emplois importantes).</w:t>
            </w:r>
          </w:p>
          <w:p w14:paraId="0495DC36" w14:textId="77777777" w:rsidR="00F42439" w:rsidRPr="00267519" w:rsidRDefault="00F42439" w:rsidP="00204F06">
            <w:pPr>
              <w:pStyle w:val="Tablebullet1"/>
              <w:numPr>
                <w:ilvl w:val="0"/>
                <w:numId w:val="25"/>
              </w:numPr>
              <w:jc w:val="left"/>
              <w:rPr>
                <w:lang w:eastAsia="fr-FR"/>
              </w:rPr>
            </w:pPr>
            <w:r w:rsidRPr="00267519">
              <w:rPr>
                <w:lang w:eastAsia="fr-FR"/>
              </w:rPr>
              <w:t>Durée</w:t>
            </w:r>
            <w:r w:rsidRPr="00267519">
              <w:rPr>
                <w:rFonts w:ascii="Arial" w:hAnsi="Arial" w:cs="Arial"/>
                <w:lang w:eastAsia="fr-FR"/>
              </w:rPr>
              <w:t> </w:t>
            </w:r>
            <w:r w:rsidRPr="00267519">
              <w:rPr>
                <w:lang w:eastAsia="fr-FR"/>
              </w:rPr>
              <w:t>d</w:t>
            </w:r>
            <w:r w:rsidRPr="00267519">
              <w:rPr>
                <w:rFonts w:cs="Century Gothic"/>
                <w:lang w:eastAsia="fr-FR"/>
              </w:rPr>
              <w:t>’</w:t>
            </w:r>
            <w:r w:rsidRPr="00267519">
              <w:rPr>
                <w:lang w:eastAsia="fr-FR"/>
              </w:rPr>
              <w:t>investissement</w:t>
            </w:r>
            <w:r w:rsidRPr="00267519">
              <w:rPr>
                <w:rFonts w:ascii="Arial" w:hAnsi="Arial" w:cs="Arial"/>
                <w:lang w:eastAsia="fr-FR"/>
              </w:rPr>
              <w:t> </w:t>
            </w:r>
            <w:r w:rsidRPr="00267519">
              <w:rPr>
                <w:lang w:eastAsia="fr-FR"/>
              </w:rPr>
              <w:t xml:space="preserve">: Accompagnement sur le long terme (7 à 9 ans). </w:t>
            </w:r>
          </w:p>
        </w:tc>
      </w:tr>
      <w:tr w:rsidR="00F42439" w:rsidRPr="00267519" w14:paraId="4AFC92F6"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6B14CB86"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Bénéficiaires cibles et besoins adressés</w:t>
            </w:r>
            <w:r w:rsidRPr="00267519">
              <w:rPr>
                <w:rFonts w:eastAsia="Times New Roman" w:cs="Times New Roman"/>
                <w:color w:val="000000" w:themeColor="text1"/>
                <w:lang w:eastAsia="fr-FR"/>
              </w:rPr>
              <w:t> </w:t>
            </w:r>
          </w:p>
        </w:tc>
        <w:tc>
          <w:tcPr>
            <w:tcW w:w="6563" w:type="dxa"/>
            <w:hideMark/>
          </w:tcPr>
          <w:p w14:paraId="17D0C0DA" w14:textId="77777777" w:rsidR="00F42439" w:rsidRPr="00267519" w:rsidRDefault="00F42439" w:rsidP="00204F06">
            <w:pPr>
              <w:pStyle w:val="Tablebullet1"/>
              <w:numPr>
                <w:ilvl w:val="0"/>
                <w:numId w:val="25"/>
              </w:numPr>
              <w:jc w:val="left"/>
              <w:rPr>
                <w:lang w:eastAsia="fr-FR"/>
              </w:rPr>
            </w:pPr>
            <w:r w:rsidRPr="00267519">
              <w:rPr>
                <w:lang w:eastAsia="fr-FR"/>
              </w:rPr>
              <w:t>Types d’entreprises ciblées : PME, ETI, Groupement d'employeurs</w:t>
            </w:r>
          </w:p>
          <w:p w14:paraId="3E8337B3" w14:textId="77777777" w:rsidR="00F42439" w:rsidRPr="00267519" w:rsidRDefault="00F42439" w:rsidP="00204F06">
            <w:pPr>
              <w:pStyle w:val="Tablebullet1"/>
              <w:numPr>
                <w:ilvl w:val="0"/>
                <w:numId w:val="25"/>
              </w:numPr>
              <w:jc w:val="left"/>
              <w:rPr>
                <w:lang w:eastAsia="fr-FR"/>
              </w:rPr>
            </w:pPr>
            <w:r w:rsidRPr="00267519">
              <w:rPr>
                <w:lang w:eastAsia="fr-FR"/>
              </w:rPr>
              <w:t>Types de besoins : les actions ordinaires, les actions de préférence, les obligations convertibles</w:t>
            </w:r>
          </w:p>
        </w:tc>
      </w:tr>
      <w:tr w:rsidR="00F42439" w:rsidRPr="00267519" w14:paraId="5C108A5D"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569EC56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Secteurs éligibles</w:t>
            </w:r>
            <w:r w:rsidRPr="00267519">
              <w:rPr>
                <w:rFonts w:eastAsia="Times New Roman" w:cs="Times New Roman"/>
                <w:color w:val="000000" w:themeColor="text1"/>
                <w:lang w:eastAsia="fr-FR"/>
              </w:rPr>
              <w:t> </w:t>
            </w:r>
          </w:p>
        </w:tc>
        <w:tc>
          <w:tcPr>
            <w:tcW w:w="6563" w:type="dxa"/>
            <w:hideMark/>
          </w:tcPr>
          <w:p w14:paraId="2407D8AF" w14:textId="77777777" w:rsidR="00F42439" w:rsidRPr="00267519" w:rsidRDefault="00F42439" w:rsidP="00204F06">
            <w:pPr>
              <w:pStyle w:val="Tablebullet1"/>
              <w:numPr>
                <w:ilvl w:val="0"/>
                <w:numId w:val="25"/>
              </w:numPr>
              <w:jc w:val="left"/>
              <w:rPr>
                <w:lang w:eastAsia="fr-FR"/>
              </w:rPr>
            </w:pPr>
            <w:r w:rsidRPr="00267519">
              <w:rPr>
                <w:lang w:eastAsia="fr-FR"/>
              </w:rPr>
              <w:t>Types de secteur</w:t>
            </w:r>
            <w:r w:rsidRPr="00267519">
              <w:rPr>
                <w:rFonts w:ascii="Arial" w:hAnsi="Arial" w:cs="Arial"/>
                <w:lang w:eastAsia="fr-FR"/>
              </w:rPr>
              <w:t> </w:t>
            </w:r>
            <w:r w:rsidRPr="00267519">
              <w:rPr>
                <w:lang w:eastAsia="fr-FR"/>
              </w:rPr>
              <w:t>: Filière marché (énergie, environnement), mobilité intelligente, économie circulaire</w:t>
            </w:r>
          </w:p>
        </w:tc>
      </w:tr>
      <w:tr w:rsidR="00F42439" w:rsidRPr="00267519" w14:paraId="419C61D5"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0198F4FF"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Stade d’intervention</w:t>
            </w:r>
            <w:r w:rsidRPr="00267519">
              <w:rPr>
                <w:rFonts w:eastAsia="Times New Roman" w:cs="Times New Roman"/>
                <w:color w:val="000000" w:themeColor="text1"/>
                <w:lang w:eastAsia="fr-FR"/>
              </w:rPr>
              <w:t> </w:t>
            </w:r>
          </w:p>
        </w:tc>
        <w:tc>
          <w:tcPr>
            <w:tcW w:w="6563" w:type="dxa"/>
            <w:hideMark/>
          </w:tcPr>
          <w:p w14:paraId="63FB7AA1" w14:textId="77777777" w:rsidR="00F42439" w:rsidRPr="00267519" w:rsidRDefault="00F42439" w:rsidP="00204F06">
            <w:pPr>
              <w:pStyle w:val="Tablebullet1"/>
              <w:numPr>
                <w:ilvl w:val="0"/>
                <w:numId w:val="25"/>
              </w:numPr>
              <w:jc w:val="left"/>
              <w:rPr>
                <w:lang w:eastAsia="fr-FR"/>
              </w:rPr>
            </w:pPr>
            <w:r w:rsidRPr="00267519">
              <w:rPr>
                <w:lang w:eastAsia="fr-FR"/>
              </w:rPr>
              <w:t>Stade d’intervention dans le développement de l’entreprise</w:t>
            </w:r>
            <w:r w:rsidRPr="00267519">
              <w:rPr>
                <w:rFonts w:ascii="Arial" w:hAnsi="Arial" w:cs="Arial"/>
                <w:lang w:eastAsia="fr-FR"/>
              </w:rPr>
              <w:t> </w:t>
            </w:r>
            <w:r w:rsidRPr="00267519">
              <w:rPr>
                <w:lang w:eastAsia="fr-FR"/>
              </w:rPr>
              <w:t xml:space="preserve">: création reprise et développement. </w:t>
            </w:r>
          </w:p>
        </w:tc>
      </w:tr>
      <w:tr w:rsidR="00F42439" w:rsidRPr="00267519" w14:paraId="2DBB8CB5"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27620A89"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Services associés à l’outil d’ingénierie financière </w:t>
            </w:r>
            <w:r w:rsidRPr="00267519">
              <w:rPr>
                <w:rFonts w:eastAsia="Times New Roman" w:cs="Times New Roman"/>
                <w:color w:val="000000" w:themeColor="text1"/>
                <w:lang w:eastAsia="fr-FR"/>
              </w:rPr>
              <w:t> </w:t>
            </w:r>
          </w:p>
        </w:tc>
        <w:tc>
          <w:tcPr>
            <w:tcW w:w="6563" w:type="dxa"/>
            <w:hideMark/>
          </w:tcPr>
          <w:p w14:paraId="773B01A8" w14:textId="77777777" w:rsidR="00F42439" w:rsidRPr="00267519" w:rsidRDefault="00F42439" w:rsidP="00204F06">
            <w:pPr>
              <w:pStyle w:val="Tablebullet1"/>
              <w:numPr>
                <w:ilvl w:val="0"/>
                <w:numId w:val="25"/>
              </w:numPr>
              <w:jc w:val="left"/>
              <w:rPr>
                <w:lang w:eastAsia="fr-FR"/>
              </w:rPr>
            </w:pPr>
            <w:r w:rsidRPr="00267519">
              <w:rPr>
                <w:lang w:eastAsia="fr-FR"/>
              </w:rPr>
              <w:t>Conseil, expertise de la part de l’investisseur</w:t>
            </w:r>
            <w:r w:rsidRPr="00267519">
              <w:rPr>
                <w:rFonts w:ascii="Arial" w:hAnsi="Arial" w:cs="Arial"/>
                <w:lang w:eastAsia="fr-FR"/>
              </w:rPr>
              <w:t> </w:t>
            </w:r>
            <w:r w:rsidRPr="00267519">
              <w:rPr>
                <w:lang w:eastAsia="fr-FR"/>
              </w:rPr>
              <w:t>: assistance technique</w:t>
            </w:r>
          </w:p>
        </w:tc>
      </w:tr>
      <w:tr w:rsidR="00F42439" w:rsidRPr="00267519" w14:paraId="73759E76"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0F11CD34"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Pipeline de projets</w:t>
            </w:r>
            <w:r w:rsidRPr="00267519">
              <w:rPr>
                <w:rFonts w:eastAsia="Times New Roman" w:cs="Times New Roman"/>
                <w:color w:val="000000" w:themeColor="text1"/>
                <w:lang w:eastAsia="fr-FR"/>
              </w:rPr>
              <w:t> </w:t>
            </w:r>
          </w:p>
        </w:tc>
        <w:tc>
          <w:tcPr>
            <w:tcW w:w="6563" w:type="dxa"/>
            <w:hideMark/>
          </w:tcPr>
          <w:p w14:paraId="38FA0860" w14:textId="77777777" w:rsidR="00F42439" w:rsidRPr="00267519" w:rsidRDefault="00F42439" w:rsidP="00204F06">
            <w:pPr>
              <w:pStyle w:val="Tablebullet1"/>
              <w:numPr>
                <w:ilvl w:val="0"/>
                <w:numId w:val="25"/>
              </w:numPr>
              <w:jc w:val="left"/>
              <w:rPr>
                <w:lang w:eastAsia="fr-FR"/>
              </w:rPr>
            </w:pPr>
            <w:r w:rsidRPr="00267519">
              <w:rPr>
                <w:lang w:eastAsia="fr-FR"/>
              </w:rPr>
              <w:t>Stocks de projets reçus par an</w:t>
            </w:r>
            <w:r w:rsidRPr="00267519">
              <w:rPr>
                <w:rFonts w:ascii="Arial" w:hAnsi="Arial" w:cs="Arial"/>
                <w:lang w:eastAsia="fr-FR"/>
              </w:rPr>
              <w:t> </w:t>
            </w:r>
            <w:r w:rsidRPr="00267519">
              <w:rPr>
                <w:lang w:eastAsia="fr-FR"/>
              </w:rPr>
              <w:t>: financement de 3 entreprises en 2019</w:t>
            </w:r>
          </w:p>
          <w:p w14:paraId="6B202576" w14:textId="77777777" w:rsidR="00F42439" w:rsidRPr="00267519" w:rsidRDefault="00F42439" w:rsidP="00204F06">
            <w:pPr>
              <w:pStyle w:val="Tablebullet1"/>
              <w:numPr>
                <w:ilvl w:val="0"/>
                <w:numId w:val="25"/>
              </w:numPr>
              <w:jc w:val="left"/>
              <w:rPr>
                <w:lang w:eastAsia="fr-FR"/>
              </w:rPr>
            </w:pPr>
            <w:r w:rsidRPr="00267519">
              <w:rPr>
                <w:lang w:eastAsia="fr-FR"/>
              </w:rPr>
              <w:t>Fonds débloqués par projet en moyenne</w:t>
            </w:r>
            <w:r w:rsidRPr="00267519">
              <w:rPr>
                <w:rFonts w:ascii="Arial" w:hAnsi="Arial" w:cs="Arial"/>
                <w:lang w:eastAsia="fr-FR"/>
              </w:rPr>
              <w:t> </w:t>
            </w:r>
            <w:r w:rsidRPr="00267519">
              <w:rPr>
                <w:lang w:eastAsia="fr-FR"/>
              </w:rPr>
              <w:t>: 1.7M€</w:t>
            </w:r>
          </w:p>
          <w:p w14:paraId="4B4A10DC" w14:textId="77777777" w:rsidR="00F42439" w:rsidRPr="00267519" w:rsidRDefault="00F42439" w:rsidP="00204F06">
            <w:pPr>
              <w:pStyle w:val="Tablebullet1"/>
              <w:numPr>
                <w:ilvl w:val="0"/>
                <w:numId w:val="25"/>
              </w:numPr>
              <w:jc w:val="left"/>
              <w:rPr>
                <w:lang w:eastAsia="fr-FR"/>
              </w:rPr>
            </w:pPr>
            <w:r w:rsidRPr="00267519">
              <w:rPr>
                <w:lang w:eastAsia="fr-FR"/>
              </w:rPr>
              <w:t>Délai de réponse</w:t>
            </w:r>
            <w:r w:rsidRPr="00267519">
              <w:rPr>
                <w:rFonts w:ascii="Arial" w:hAnsi="Arial" w:cs="Arial"/>
                <w:lang w:eastAsia="fr-FR"/>
              </w:rPr>
              <w:t> </w:t>
            </w:r>
            <w:r w:rsidRPr="00267519">
              <w:rPr>
                <w:lang w:eastAsia="fr-FR"/>
              </w:rPr>
              <w:t>: N/A</w:t>
            </w:r>
          </w:p>
        </w:tc>
      </w:tr>
      <w:tr w:rsidR="00F42439" w:rsidRPr="00267519" w14:paraId="647AB33B"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024D0D35"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Articulation / cohérence avec d’autres outils existants</w:t>
            </w:r>
            <w:r w:rsidRPr="00267519">
              <w:rPr>
                <w:rFonts w:eastAsia="Times New Roman" w:cs="Times New Roman"/>
                <w:color w:val="000000" w:themeColor="text1"/>
                <w:lang w:eastAsia="fr-FR"/>
              </w:rPr>
              <w:t> </w:t>
            </w:r>
          </w:p>
        </w:tc>
        <w:tc>
          <w:tcPr>
            <w:tcW w:w="6563" w:type="dxa"/>
            <w:hideMark/>
          </w:tcPr>
          <w:p w14:paraId="610052F0" w14:textId="77777777" w:rsidR="00F42439" w:rsidRPr="00267519" w:rsidRDefault="00F42439" w:rsidP="00204F06">
            <w:pPr>
              <w:pStyle w:val="Tablebullet1"/>
              <w:numPr>
                <w:ilvl w:val="0"/>
                <w:numId w:val="25"/>
              </w:numPr>
              <w:jc w:val="left"/>
              <w:rPr>
                <w:lang w:eastAsia="fr-FR"/>
              </w:rPr>
            </w:pPr>
            <w:r w:rsidRPr="00267519">
              <w:rPr>
                <w:lang w:eastAsia="fr-FR"/>
              </w:rPr>
              <w:t>Liens avec d’autres instruments de financement</w:t>
            </w:r>
            <w:r w:rsidRPr="00267519">
              <w:rPr>
                <w:rFonts w:ascii="Arial" w:hAnsi="Arial" w:cs="Arial"/>
                <w:lang w:eastAsia="fr-FR"/>
              </w:rPr>
              <w:t> </w:t>
            </w:r>
            <w:r w:rsidRPr="00267519">
              <w:rPr>
                <w:lang w:eastAsia="fr-FR"/>
              </w:rPr>
              <w:t>: N/A</w:t>
            </w:r>
          </w:p>
        </w:tc>
      </w:tr>
      <w:tr w:rsidR="00F42439" w:rsidRPr="00267519" w14:paraId="5AA09AD9"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523ABA72"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Caractérisation juridique</w:t>
            </w:r>
            <w:r w:rsidRPr="00267519">
              <w:rPr>
                <w:rFonts w:eastAsia="Times New Roman" w:cs="Times New Roman"/>
                <w:color w:val="000000" w:themeColor="text1"/>
                <w:lang w:eastAsia="fr-FR"/>
              </w:rPr>
              <w:t> </w:t>
            </w:r>
          </w:p>
        </w:tc>
        <w:tc>
          <w:tcPr>
            <w:tcW w:w="6563" w:type="dxa"/>
            <w:hideMark/>
          </w:tcPr>
          <w:p w14:paraId="320F835A" w14:textId="77777777" w:rsidR="00F42439" w:rsidRPr="00267519" w:rsidRDefault="00F42439" w:rsidP="00204F06">
            <w:pPr>
              <w:pStyle w:val="Tablebullet1"/>
              <w:numPr>
                <w:ilvl w:val="0"/>
                <w:numId w:val="25"/>
              </w:numPr>
              <w:jc w:val="left"/>
              <w:rPr>
                <w:lang w:eastAsia="fr-FR"/>
              </w:rPr>
            </w:pPr>
            <w:r w:rsidRPr="00267519">
              <w:rPr>
                <w:lang w:eastAsia="fr-FR"/>
              </w:rPr>
              <w:t>Fonds publics : 20 M€ par la BEI</w:t>
            </w:r>
          </w:p>
          <w:p w14:paraId="182EE8AB" w14:textId="77777777" w:rsidR="00F42439" w:rsidRPr="00267519" w:rsidRDefault="00F42439" w:rsidP="00204F06">
            <w:pPr>
              <w:pStyle w:val="Tablebullet1"/>
              <w:numPr>
                <w:ilvl w:val="0"/>
                <w:numId w:val="25"/>
              </w:numPr>
              <w:jc w:val="left"/>
              <w:rPr>
                <w:lang w:eastAsia="fr-FR"/>
              </w:rPr>
            </w:pPr>
            <w:r w:rsidRPr="00267519">
              <w:rPr>
                <w:lang w:eastAsia="fr-FR"/>
              </w:rPr>
              <w:t>Reçoit du FEDER : 12,5 M€ apportés par la Région + 2.5M€ pour assistance technique</w:t>
            </w:r>
          </w:p>
        </w:tc>
      </w:tr>
      <w:tr w:rsidR="00F42439" w:rsidRPr="00267519" w14:paraId="5EFFAB8F"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5E614F8C"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Identification des prescripteurs</w:t>
            </w:r>
            <w:r w:rsidRPr="00267519">
              <w:rPr>
                <w:rFonts w:eastAsia="Times New Roman" w:cs="Times New Roman"/>
                <w:color w:val="000000" w:themeColor="text1"/>
                <w:lang w:eastAsia="fr-FR"/>
              </w:rPr>
              <w:t> </w:t>
            </w:r>
          </w:p>
        </w:tc>
        <w:tc>
          <w:tcPr>
            <w:tcW w:w="6563" w:type="dxa"/>
            <w:hideMark/>
          </w:tcPr>
          <w:p w14:paraId="56358A18" w14:textId="77777777" w:rsidR="00F42439" w:rsidRPr="00267519" w:rsidRDefault="00F42439" w:rsidP="00204F06">
            <w:pPr>
              <w:pStyle w:val="Tablebullet1"/>
              <w:numPr>
                <w:ilvl w:val="0"/>
                <w:numId w:val="25"/>
              </w:numPr>
              <w:jc w:val="left"/>
              <w:rPr>
                <w:lang w:eastAsia="fr-FR"/>
              </w:rPr>
            </w:pPr>
            <w:r w:rsidRPr="00267519">
              <w:rPr>
                <w:lang w:eastAsia="fr-FR"/>
              </w:rPr>
              <w:t>Noms des principaux prescripteurs de l’instrument</w:t>
            </w:r>
            <w:r w:rsidRPr="00267519">
              <w:rPr>
                <w:rFonts w:ascii="Arial" w:hAnsi="Arial" w:cs="Arial"/>
                <w:lang w:eastAsia="fr-FR"/>
              </w:rPr>
              <w:t> </w:t>
            </w:r>
            <w:r w:rsidRPr="00267519">
              <w:rPr>
                <w:lang w:eastAsia="fr-FR"/>
              </w:rPr>
              <w:t>: Région Hauts de France, Nord de France, Groupama, BEI</w:t>
            </w:r>
          </w:p>
        </w:tc>
      </w:tr>
      <w:tr w:rsidR="00F42439" w:rsidRPr="00267519" w14:paraId="1BE89D9E"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11657BEC"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Performance du portefeuille et système de suivi interne</w:t>
            </w:r>
            <w:r w:rsidRPr="00267519">
              <w:rPr>
                <w:rFonts w:eastAsia="Times New Roman" w:cs="Times New Roman"/>
                <w:color w:val="000000" w:themeColor="text1"/>
                <w:lang w:eastAsia="fr-FR"/>
              </w:rPr>
              <w:t> </w:t>
            </w:r>
          </w:p>
        </w:tc>
        <w:tc>
          <w:tcPr>
            <w:tcW w:w="6563" w:type="dxa"/>
            <w:hideMark/>
          </w:tcPr>
          <w:p w14:paraId="7D4FC095" w14:textId="77777777" w:rsidR="00F42439" w:rsidRPr="00267519" w:rsidRDefault="00F42439" w:rsidP="00204F06">
            <w:pPr>
              <w:pStyle w:val="Tablebullet1"/>
              <w:numPr>
                <w:ilvl w:val="0"/>
                <w:numId w:val="25"/>
              </w:numPr>
              <w:jc w:val="left"/>
              <w:rPr>
                <w:lang w:eastAsia="fr-FR"/>
              </w:rPr>
            </w:pPr>
            <w:r w:rsidRPr="00267519">
              <w:rPr>
                <w:lang w:eastAsia="fr-FR"/>
              </w:rPr>
              <w:t>Effet de levier financier / Effet de levier qualitatif</w:t>
            </w:r>
            <w:r w:rsidRPr="00267519">
              <w:rPr>
                <w:rFonts w:ascii="Arial" w:hAnsi="Arial" w:cs="Arial"/>
                <w:lang w:eastAsia="fr-FR"/>
              </w:rPr>
              <w:t> </w:t>
            </w:r>
            <w:r w:rsidRPr="00267519">
              <w:rPr>
                <w:lang w:eastAsia="fr-FR"/>
              </w:rPr>
              <w:t>:</w:t>
            </w:r>
            <w:r w:rsidRPr="00267519">
              <w:rPr>
                <w:rFonts w:cs="Century Gothic"/>
                <w:lang w:eastAsia="fr-FR"/>
              </w:rPr>
              <w:t> </w:t>
            </w:r>
            <w:r w:rsidRPr="00267519">
              <w:rPr>
                <w:lang w:eastAsia="fr-FR"/>
              </w:rPr>
              <w:t xml:space="preserve"> ND</w:t>
            </w:r>
          </w:p>
          <w:p w14:paraId="779C08A4" w14:textId="77777777" w:rsidR="00F42439" w:rsidRPr="00267519" w:rsidRDefault="00F42439" w:rsidP="00204F06">
            <w:pPr>
              <w:pStyle w:val="Tablebullet1"/>
              <w:numPr>
                <w:ilvl w:val="0"/>
                <w:numId w:val="25"/>
              </w:numPr>
              <w:jc w:val="left"/>
              <w:rPr>
                <w:lang w:eastAsia="fr-FR"/>
              </w:rPr>
            </w:pPr>
            <w:r w:rsidRPr="00267519">
              <w:rPr>
                <w:lang w:eastAsia="fr-FR"/>
              </w:rPr>
              <w:t>Taux de retour sur investissement / Taux de défaillance (garantie, prêt)</w:t>
            </w:r>
            <w:r w:rsidRPr="00267519">
              <w:rPr>
                <w:rFonts w:ascii="Arial" w:hAnsi="Arial" w:cs="Arial"/>
                <w:lang w:eastAsia="fr-FR"/>
              </w:rPr>
              <w:t>  </w:t>
            </w:r>
            <w:r w:rsidRPr="00267519">
              <w:rPr>
                <w:lang w:eastAsia="fr-FR"/>
              </w:rPr>
              <w:t>: ND</w:t>
            </w:r>
          </w:p>
          <w:p w14:paraId="380466CD" w14:textId="77777777" w:rsidR="00F42439" w:rsidRPr="00267519" w:rsidRDefault="00F42439" w:rsidP="00204F06">
            <w:pPr>
              <w:pStyle w:val="Tablebullet1"/>
              <w:numPr>
                <w:ilvl w:val="0"/>
                <w:numId w:val="25"/>
              </w:numPr>
              <w:jc w:val="left"/>
              <w:rPr>
                <w:lang w:eastAsia="fr-FR"/>
              </w:rPr>
            </w:pPr>
            <w:r w:rsidRPr="00267519">
              <w:rPr>
                <w:lang w:eastAsia="fr-FR"/>
              </w:rPr>
              <w:t>Recyclage des fonds</w:t>
            </w:r>
            <w:r w:rsidRPr="00267519">
              <w:rPr>
                <w:rFonts w:ascii="Arial" w:hAnsi="Arial" w:cs="Arial"/>
                <w:lang w:eastAsia="fr-FR"/>
              </w:rPr>
              <w:t> </w:t>
            </w:r>
            <w:r w:rsidRPr="00267519">
              <w:rPr>
                <w:lang w:eastAsia="fr-FR"/>
              </w:rPr>
              <w:t>: ND</w:t>
            </w:r>
          </w:p>
        </w:tc>
      </w:tr>
      <w:tr w:rsidR="00F42439" w:rsidRPr="00267519" w14:paraId="0A2B95DE"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45F37364"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Stratégie à 5 ans</w:t>
            </w:r>
            <w:r w:rsidRPr="00267519">
              <w:rPr>
                <w:rFonts w:eastAsia="Times New Roman" w:cs="Times New Roman"/>
                <w:color w:val="000000" w:themeColor="text1"/>
                <w:lang w:eastAsia="fr-FR"/>
              </w:rPr>
              <w:t> </w:t>
            </w:r>
          </w:p>
        </w:tc>
        <w:tc>
          <w:tcPr>
            <w:tcW w:w="6563" w:type="dxa"/>
            <w:hideMark/>
          </w:tcPr>
          <w:p w14:paraId="279E97A0" w14:textId="77777777" w:rsidR="00F42439" w:rsidRPr="00267519" w:rsidRDefault="00F42439" w:rsidP="00204F06">
            <w:pPr>
              <w:pStyle w:val="Tablebullet1"/>
              <w:numPr>
                <w:ilvl w:val="0"/>
                <w:numId w:val="25"/>
              </w:numPr>
              <w:jc w:val="left"/>
              <w:rPr>
                <w:lang w:eastAsia="fr-FR"/>
              </w:rPr>
            </w:pPr>
            <w:r w:rsidRPr="00267519">
              <w:rPr>
                <w:lang w:eastAsia="fr-FR"/>
              </w:rPr>
              <w:t>Les objectifs de la Société sont d'effectuer 5 à 7 investissements sur l'année 2020 pour un montant global de l'ordre de 5 à 8 M€, portant les capitaux investis entre 21 et 24 M€</w:t>
            </w:r>
          </w:p>
        </w:tc>
      </w:tr>
    </w:tbl>
    <w:p w14:paraId="452116BA" w14:textId="77777777" w:rsidR="00F42439" w:rsidRDefault="00F42439" w:rsidP="00F42439">
      <w:pPr>
        <w:pStyle w:val="BodyText"/>
        <w:rPr>
          <w:color w:val="FF0000"/>
        </w:rPr>
      </w:pPr>
    </w:p>
    <w:p w14:paraId="718BA663" w14:textId="7B438C60" w:rsidR="00FB6A34" w:rsidRPr="00267519" w:rsidRDefault="00E02C44" w:rsidP="00FF4704">
      <w:pPr>
        <w:pStyle w:val="AppendixHeading2"/>
        <w:numPr>
          <w:ilvl w:val="0"/>
          <w:numId w:val="0"/>
        </w:numPr>
        <w:ind w:left="907" w:hanging="907"/>
        <w:outlineLvl w:val="9"/>
      </w:pPr>
      <w:r>
        <w:t>SPEE</w:t>
      </w:r>
    </w:p>
    <w:tbl>
      <w:tblPr>
        <w:tblStyle w:val="TechnopolisTable20"/>
        <w:tblW w:w="9210" w:type="dxa"/>
        <w:tblLook w:val="00A0" w:firstRow="1" w:lastRow="0" w:firstColumn="1" w:lastColumn="0" w:noHBand="0" w:noVBand="0"/>
      </w:tblPr>
      <w:tblGrid>
        <w:gridCol w:w="2518"/>
        <w:gridCol w:w="6692"/>
      </w:tblGrid>
      <w:tr w:rsidR="007F3EE4" w:rsidRPr="00A02D6B" w14:paraId="4C3ADEC1" w14:textId="77777777" w:rsidTr="00320F9A">
        <w:trPr>
          <w:cnfStyle w:val="100000000000" w:firstRow="1" w:lastRow="0" w:firstColumn="0" w:lastColumn="0" w:oddVBand="0" w:evenVBand="0" w:oddHBand="0" w:evenHBand="0" w:firstRowFirstColumn="0" w:firstRowLastColumn="0" w:lastRowFirstColumn="0" w:lastRowLastColumn="0"/>
          <w:trHeight w:val="413"/>
        </w:trPr>
        <w:tc>
          <w:tcPr>
            <w:tcW w:w="2518" w:type="dxa"/>
          </w:tcPr>
          <w:p w14:paraId="26DC90FD" w14:textId="77777777" w:rsidR="007F3EE4" w:rsidRPr="00A02D6B" w:rsidRDefault="007F3EE4" w:rsidP="00320F9A">
            <w:pPr>
              <w:spacing w:after="160" w:line="259" w:lineRule="auto"/>
              <w:jc w:val="both"/>
              <w:rPr>
                <w:rFonts w:eastAsia="Georgia" w:cs="Times New Roman"/>
              </w:rPr>
            </w:pPr>
            <w:r w:rsidRPr="00A02D6B">
              <w:rPr>
                <w:rFonts w:eastAsia="Georgia" w:cs="Times New Roman"/>
              </w:rPr>
              <w:t>Catégorie</w:t>
            </w:r>
          </w:p>
        </w:tc>
        <w:tc>
          <w:tcPr>
            <w:tcW w:w="6692" w:type="dxa"/>
          </w:tcPr>
          <w:p w14:paraId="76B30104" w14:textId="77777777" w:rsidR="007F3EE4" w:rsidRPr="00A02D6B" w:rsidRDefault="007F3EE4" w:rsidP="00320F9A">
            <w:pPr>
              <w:spacing w:after="160" w:line="259" w:lineRule="auto"/>
              <w:jc w:val="both"/>
              <w:rPr>
                <w:rFonts w:eastAsia="Georgia" w:cs="Times New Roman"/>
              </w:rPr>
            </w:pPr>
            <w:r w:rsidRPr="00A02D6B">
              <w:rPr>
                <w:rFonts w:eastAsia="Georgia" w:cs="Times New Roman"/>
              </w:rPr>
              <w:t xml:space="preserve">Explication du contenu </w:t>
            </w:r>
          </w:p>
        </w:tc>
      </w:tr>
      <w:tr w:rsidR="007F3EE4" w:rsidRPr="002D5104" w14:paraId="74675C32"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098065F6"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Type d’instrument financier</w:t>
            </w:r>
          </w:p>
        </w:tc>
        <w:tc>
          <w:tcPr>
            <w:tcW w:w="6692" w:type="dxa"/>
          </w:tcPr>
          <w:p w14:paraId="1DD44BA9" w14:textId="77777777" w:rsidR="007F3EE4" w:rsidRPr="00C23426" w:rsidRDefault="007F3EE4" w:rsidP="00204F06">
            <w:pPr>
              <w:pStyle w:val="Tablebullet1"/>
              <w:numPr>
                <w:ilvl w:val="0"/>
                <w:numId w:val="26"/>
              </w:numPr>
            </w:pPr>
            <w:r w:rsidRPr="00A02D6B">
              <w:rPr>
                <w:rFonts w:eastAsia="Georgia" w:cs="Times New Roman"/>
              </w:rPr>
              <w:t>Prêt, garantie, capital investissement, Avances remboursables</w:t>
            </w:r>
          </w:p>
        </w:tc>
      </w:tr>
      <w:tr w:rsidR="007F3EE4" w:rsidRPr="00A02D6B" w14:paraId="5BE34A92"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3C48E725"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Intermédiaire / opérateur</w:t>
            </w:r>
          </w:p>
        </w:tc>
        <w:tc>
          <w:tcPr>
            <w:tcW w:w="6692" w:type="dxa"/>
          </w:tcPr>
          <w:p w14:paraId="53D84F61"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Nom de l’intermédiaire</w:t>
            </w:r>
            <w:r>
              <w:rPr>
                <w:rFonts w:eastAsia="Georgia" w:cs="Times New Roman"/>
              </w:rPr>
              <w:t xml:space="preserve"> : </w:t>
            </w:r>
            <w:r w:rsidRPr="009E66B1">
              <w:rPr>
                <w:rFonts w:eastAsia="Georgia" w:cs="Times New Roman"/>
              </w:rPr>
              <w:t>SPEE</w:t>
            </w:r>
          </w:p>
          <w:p w14:paraId="2C6A2D62"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ETP affectés à la gestion de l’instrument</w:t>
            </w:r>
            <w:r>
              <w:rPr>
                <w:rFonts w:eastAsia="Georgia" w:cs="Times New Roman"/>
              </w:rPr>
              <w:t xml:space="preserve"> : </w:t>
            </w:r>
          </w:p>
          <w:p w14:paraId="005BC6B9"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 xml:space="preserve">Frais de gestion : </w:t>
            </w:r>
            <w:r>
              <w:rPr>
                <w:rFonts w:eastAsia="Georgia" w:cs="Times New Roman"/>
              </w:rPr>
              <w:t>3500€ / dossier</w:t>
            </w:r>
          </w:p>
        </w:tc>
      </w:tr>
      <w:tr w:rsidR="007F3EE4" w:rsidRPr="00A02D6B" w14:paraId="6FC44497"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39B0B90E"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Montant</w:t>
            </w:r>
          </w:p>
        </w:tc>
        <w:tc>
          <w:tcPr>
            <w:tcW w:w="6692" w:type="dxa"/>
          </w:tcPr>
          <w:p w14:paraId="4BB8132B"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Montant total de l’instrument</w:t>
            </w:r>
            <w:r>
              <w:rPr>
                <w:rFonts w:eastAsia="Georgia" w:cs="Times New Roman"/>
              </w:rPr>
              <w:t> :</w:t>
            </w:r>
          </w:p>
        </w:tc>
      </w:tr>
      <w:tr w:rsidR="007F3EE4" w:rsidRPr="002D5104" w14:paraId="09D438FA"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57884B3E"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Contributeur</w:t>
            </w:r>
          </w:p>
        </w:tc>
        <w:tc>
          <w:tcPr>
            <w:tcW w:w="6692" w:type="dxa"/>
          </w:tcPr>
          <w:p w14:paraId="22BB6311" w14:textId="185A1620" w:rsidR="007F3EE4" w:rsidRPr="00C23426" w:rsidRDefault="007F3EE4" w:rsidP="00204F06">
            <w:pPr>
              <w:pStyle w:val="Tablebullet1"/>
              <w:numPr>
                <w:ilvl w:val="0"/>
                <w:numId w:val="26"/>
              </w:numPr>
            </w:pPr>
            <w:r w:rsidRPr="00A02D6B">
              <w:rPr>
                <w:rFonts w:eastAsia="Georgia" w:cs="Times New Roman"/>
              </w:rPr>
              <w:t>Nature des contributeurs et partenaires (ex : souscripteur d’un FCPR, membres d’un réseau de BA, etc.)</w:t>
            </w:r>
            <w:r>
              <w:rPr>
                <w:rFonts w:eastAsia="Georgia" w:cs="Times New Roman"/>
              </w:rPr>
              <w:t xml:space="preserve"> : FEDER (maisons individuelles aux revenus modestes et très modestes, et copropriétés), INTERREG (jusqu’en juin 2021), H2020 (pour la réflexion sur l’organisation / le financement / gestion de société de tiers-financement donc ne va pas directement aider sur l’accompagnement des ménages), subvention de fonctionnement ELENA de la BEI (2014-2027) </w:t>
            </w:r>
          </w:p>
        </w:tc>
      </w:tr>
      <w:tr w:rsidR="007F3EE4" w:rsidRPr="00A02D6B" w14:paraId="1FD94BB6"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2D9A9255"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Produit / durée / ticket</w:t>
            </w:r>
          </w:p>
        </w:tc>
        <w:tc>
          <w:tcPr>
            <w:tcW w:w="6692" w:type="dxa"/>
          </w:tcPr>
          <w:p w14:paraId="1DEC939C"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Ticket (segmentation) d’intervention : minimum/maximum</w:t>
            </w:r>
          </w:p>
          <w:p w14:paraId="17E77B26" w14:textId="7BF1A5D1" w:rsidR="007F3EE4" w:rsidRPr="00A02D6B" w:rsidRDefault="007F3EE4" w:rsidP="00204F06">
            <w:pPr>
              <w:pStyle w:val="Tablebullet1"/>
              <w:numPr>
                <w:ilvl w:val="0"/>
                <w:numId w:val="26"/>
              </w:numPr>
              <w:rPr>
                <w:rFonts w:eastAsia="Georgia" w:cs="Times New Roman"/>
              </w:rPr>
            </w:pPr>
            <w:r w:rsidRPr="00A02D6B">
              <w:rPr>
                <w:rFonts w:eastAsia="Georgia" w:cs="Times New Roman"/>
              </w:rPr>
              <w:t>Condition d’intervention (ex : quotité de garantie)</w:t>
            </w:r>
            <w:r>
              <w:rPr>
                <w:rFonts w:eastAsia="Georgia" w:cs="Times New Roman"/>
              </w:rPr>
              <w:t xml:space="preserve"> : au moins 35% d’économies d’énergie et, en cas de demande de financement (tiers-financement ou éco-PTZ), scores d’octroi de financement acceptables pour la SPEE (sur le reste à vivre, les mensualités comparées aux économies d’énergie, le taux d’endettement et le </w:t>
            </w:r>
            <w:proofErr w:type="spellStart"/>
            <w:r>
              <w:rPr>
                <w:rFonts w:eastAsia="Georgia" w:cs="Times New Roman"/>
              </w:rPr>
              <w:t>loan</w:t>
            </w:r>
            <w:proofErr w:type="spellEnd"/>
            <w:r>
              <w:rPr>
                <w:rFonts w:eastAsia="Georgia" w:cs="Times New Roman"/>
              </w:rPr>
              <w:t xml:space="preserve"> to value i.e. le reste à payer sur le bien). </w:t>
            </w:r>
            <w:r w:rsidR="00187023">
              <w:rPr>
                <w:rFonts w:eastAsia="Georgia" w:cs="Times New Roman"/>
              </w:rPr>
              <w:t xml:space="preserve"> </w:t>
            </w:r>
          </w:p>
          <w:p w14:paraId="266C327A" w14:textId="5D6C73D2" w:rsidR="007F3EE4" w:rsidRPr="00A02D6B" w:rsidRDefault="007F3EE4" w:rsidP="00204F06">
            <w:pPr>
              <w:pStyle w:val="Tablebullet1"/>
              <w:numPr>
                <w:ilvl w:val="0"/>
                <w:numId w:val="26"/>
              </w:numPr>
              <w:rPr>
                <w:rFonts w:eastAsia="Georgia" w:cs="Times New Roman"/>
              </w:rPr>
            </w:pPr>
            <w:r w:rsidRPr="00A02D6B">
              <w:rPr>
                <w:rFonts w:eastAsia="Georgia" w:cs="Times New Roman"/>
              </w:rPr>
              <w:t>Durée d’investissement</w:t>
            </w:r>
            <w:r>
              <w:rPr>
                <w:rFonts w:eastAsia="Georgia" w:cs="Times New Roman"/>
              </w:rPr>
              <w:t xml:space="preserve"> : </w:t>
            </w:r>
          </w:p>
        </w:tc>
      </w:tr>
      <w:tr w:rsidR="007F3EE4" w:rsidRPr="002D5104" w14:paraId="583DCED3"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6E3A5357"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Bénéficiaires cibles et besoins adressés</w:t>
            </w:r>
          </w:p>
        </w:tc>
        <w:tc>
          <w:tcPr>
            <w:tcW w:w="6692" w:type="dxa"/>
          </w:tcPr>
          <w:p w14:paraId="4E9C22B8" w14:textId="4C2CC047" w:rsidR="007F3EE4" w:rsidRPr="00A02D6B" w:rsidRDefault="007F3EE4" w:rsidP="00204F06">
            <w:pPr>
              <w:pStyle w:val="Tablebullet1"/>
              <w:numPr>
                <w:ilvl w:val="0"/>
                <w:numId w:val="26"/>
              </w:numPr>
              <w:rPr>
                <w:rFonts w:eastAsia="Georgia" w:cs="Times New Roman"/>
              </w:rPr>
            </w:pPr>
            <w:r w:rsidRPr="00A02D6B">
              <w:rPr>
                <w:rFonts w:eastAsia="Georgia" w:cs="Times New Roman"/>
              </w:rPr>
              <w:t xml:space="preserve">Types </w:t>
            </w:r>
            <w:r>
              <w:rPr>
                <w:rFonts w:eastAsia="Georgia" w:cs="Times New Roman"/>
              </w:rPr>
              <w:t>de porteurs de projets</w:t>
            </w:r>
            <w:r w:rsidRPr="00A02D6B">
              <w:rPr>
                <w:rFonts w:eastAsia="Georgia" w:cs="Times New Roman"/>
              </w:rPr>
              <w:t xml:space="preserve"> ciblés : </w:t>
            </w:r>
            <w:r w:rsidR="00187023">
              <w:rPr>
                <w:rFonts w:eastAsia="Georgia" w:cs="Times New Roman"/>
              </w:rPr>
              <w:t>Propriétaires individuels et collectifs</w:t>
            </w:r>
          </w:p>
          <w:p w14:paraId="56ECDF42" w14:textId="1D858BFC" w:rsidR="007F3EE4" w:rsidRPr="00C23426" w:rsidRDefault="007F3EE4" w:rsidP="00204F06">
            <w:pPr>
              <w:pStyle w:val="Tablebullet1"/>
              <w:numPr>
                <w:ilvl w:val="0"/>
                <w:numId w:val="26"/>
              </w:numPr>
            </w:pPr>
            <w:r w:rsidRPr="00A02D6B">
              <w:rPr>
                <w:rFonts w:eastAsia="Georgia" w:cs="Times New Roman"/>
              </w:rPr>
              <w:t>Types de besoins</w:t>
            </w:r>
            <w:r w:rsidR="00187023">
              <w:rPr>
                <w:rFonts w:eastAsia="Georgia" w:cs="Times New Roman"/>
              </w:rPr>
              <w:t> : Financement de travaux de rénovation énergétique</w:t>
            </w:r>
          </w:p>
        </w:tc>
      </w:tr>
      <w:tr w:rsidR="007F3EE4" w:rsidRPr="00A02D6B" w14:paraId="6F06DD99"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56346B6A"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Secteurs éligibles</w:t>
            </w:r>
          </w:p>
        </w:tc>
        <w:tc>
          <w:tcPr>
            <w:tcW w:w="6692" w:type="dxa"/>
          </w:tcPr>
          <w:p w14:paraId="34099787" w14:textId="4E9F64FC" w:rsidR="007F3EE4" w:rsidRPr="00A02D6B" w:rsidRDefault="007F3EE4" w:rsidP="00204F06">
            <w:pPr>
              <w:pStyle w:val="Tablebullet1"/>
              <w:numPr>
                <w:ilvl w:val="0"/>
                <w:numId w:val="26"/>
              </w:numPr>
              <w:rPr>
                <w:rFonts w:eastAsia="Georgia" w:cs="Times New Roman"/>
              </w:rPr>
            </w:pPr>
            <w:r w:rsidRPr="00A02D6B">
              <w:rPr>
                <w:rFonts w:eastAsia="Georgia" w:cs="Times New Roman"/>
              </w:rPr>
              <w:t>Types de secteur</w:t>
            </w:r>
            <w:r w:rsidR="00187023">
              <w:rPr>
                <w:rFonts w:eastAsia="Georgia" w:cs="Times New Roman"/>
              </w:rPr>
              <w:t> : Rénovation énergétique</w:t>
            </w:r>
          </w:p>
        </w:tc>
      </w:tr>
      <w:tr w:rsidR="007F3EE4" w:rsidRPr="002D5104" w14:paraId="1747C95C"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75702253"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Stade d’intervention</w:t>
            </w:r>
          </w:p>
        </w:tc>
        <w:tc>
          <w:tcPr>
            <w:tcW w:w="6692" w:type="dxa"/>
          </w:tcPr>
          <w:p w14:paraId="69E1D225" w14:textId="77777777" w:rsidR="007F3EE4" w:rsidRPr="00C23426" w:rsidRDefault="007F3EE4" w:rsidP="00204F06">
            <w:pPr>
              <w:pStyle w:val="Tablebullet1"/>
              <w:numPr>
                <w:ilvl w:val="0"/>
                <w:numId w:val="26"/>
              </w:numPr>
            </w:pPr>
            <w:r w:rsidRPr="00A02D6B">
              <w:rPr>
                <w:rFonts w:eastAsia="Georgia" w:cs="Times New Roman"/>
              </w:rPr>
              <w:t xml:space="preserve">Stade d’intervention dans le développement </w:t>
            </w:r>
            <w:r>
              <w:rPr>
                <w:rFonts w:eastAsia="Georgia" w:cs="Times New Roman"/>
              </w:rPr>
              <w:t xml:space="preserve">du projet </w:t>
            </w:r>
            <w:r w:rsidRPr="00A02D6B">
              <w:rPr>
                <w:rFonts w:eastAsia="Georgia" w:cs="Times New Roman"/>
              </w:rPr>
              <w:t>: création, amorçage, développement, transmission</w:t>
            </w:r>
          </w:p>
        </w:tc>
      </w:tr>
      <w:tr w:rsidR="007F3EE4" w:rsidRPr="002D5104" w14:paraId="1F98EE92"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380481D3"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 xml:space="preserve">Services associés à l’outil d’ingénierie financière </w:t>
            </w:r>
          </w:p>
        </w:tc>
        <w:tc>
          <w:tcPr>
            <w:tcW w:w="6692" w:type="dxa"/>
          </w:tcPr>
          <w:p w14:paraId="1FF5465C" w14:textId="51E2F990" w:rsidR="007F3EE4" w:rsidRPr="00C23426" w:rsidRDefault="007F3EE4" w:rsidP="00204F06">
            <w:pPr>
              <w:pStyle w:val="Tablebullet1"/>
              <w:numPr>
                <w:ilvl w:val="0"/>
                <w:numId w:val="26"/>
              </w:numPr>
            </w:pPr>
            <w:r w:rsidRPr="00A02D6B">
              <w:rPr>
                <w:rFonts w:eastAsia="Georgia" w:cs="Times New Roman"/>
              </w:rPr>
              <w:t>Conseil, expertise de la part de l’investisseur</w:t>
            </w:r>
            <w:r w:rsidR="00187023">
              <w:rPr>
                <w:rFonts w:eastAsia="Georgia" w:cs="Times New Roman"/>
              </w:rPr>
              <w:t> : Accompagnement et ingénierie de projet</w:t>
            </w:r>
          </w:p>
        </w:tc>
      </w:tr>
      <w:tr w:rsidR="007F3EE4" w:rsidRPr="00A02D6B" w14:paraId="6113A046"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490524E4"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Pipeline de projets</w:t>
            </w:r>
          </w:p>
        </w:tc>
        <w:tc>
          <w:tcPr>
            <w:tcW w:w="6692" w:type="dxa"/>
          </w:tcPr>
          <w:p w14:paraId="65650E1A" w14:textId="0B8CE2EE" w:rsidR="007F3EE4" w:rsidRDefault="007F3EE4" w:rsidP="00204F06">
            <w:pPr>
              <w:pStyle w:val="Tablebullet1"/>
              <w:numPr>
                <w:ilvl w:val="0"/>
                <w:numId w:val="26"/>
              </w:numPr>
              <w:rPr>
                <w:rFonts w:eastAsia="Georgia" w:cs="Times New Roman"/>
              </w:rPr>
            </w:pPr>
            <w:r w:rsidRPr="00A02D6B">
              <w:rPr>
                <w:rFonts w:eastAsia="Georgia" w:cs="Times New Roman"/>
              </w:rPr>
              <w:t xml:space="preserve">Stocks de projets reçus par an ; </w:t>
            </w:r>
            <w:r>
              <w:rPr>
                <w:rFonts w:eastAsia="Georgia" w:cs="Times New Roman"/>
              </w:rPr>
              <w:t>90 dossiers en 2020, sur les meilleures années, on avait jusqu’à 150 dossiers en Picardie sur les années précédentes. 10% des prises de contact donnent suite</w:t>
            </w:r>
          </w:p>
          <w:p w14:paraId="70DADC06" w14:textId="77777777" w:rsidR="007F3EE4" w:rsidRPr="00A02D6B" w:rsidRDefault="007F3EE4" w:rsidP="00320F9A">
            <w:pPr>
              <w:pStyle w:val="Tablebullet1"/>
              <w:numPr>
                <w:ilvl w:val="0"/>
                <w:numId w:val="0"/>
              </w:numPr>
              <w:ind w:left="360"/>
              <w:rPr>
                <w:rFonts w:eastAsia="Georgia" w:cs="Times New Roman"/>
              </w:rPr>
            </w:pPr>
            <w:r>
              <w:rPr>
                <w:rFonts w:eastAsia="Georgia" w:cs="Times New Roman"/>
              </w:rPr>
              <w:t>1800 logements en copropriété en contrat et accompagnés aujourd’hui</w:t>
            </w:r>
          </w:p>
          <w:p w14:paraId="1737D78E"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Fonds débloqués par projet en moyenne</w:t>
            </w:r>
            <w:r>
              <w:rPr>
                <w:rFonts w:eastAsia="Georgia" w:cs="Times New Roman"/>
              </w:rPr>
              <w:t> : 28K</w:t>
            </w:r>
          </w:p>
          <w:p w14:paraId="54552259" w14:textId="79CC965F" w:rsidR="007F3EE4" w:rsidRPr="00A02D6B" w:rsidRDefault="007F3EE4" w:rsidP="00204F06">
            <w:pPr>
              <w:pStyle w:val="Tablebullet1"/>
              <w:numPr>
                <w:ilvl w:val="0"/>
                <w:numId w:val="26"/>
              </w:numPr>
              <w:rPr>
                <w:rFonts w:eastAsia="Georgia" w:cs="Times New Roman"/>
              </w:rPr>
            </w:pPr>
            <w:r w:rsidRPr="00A02D6B">
              <w:rPr>
                <w:rFonts w:eastAsia="Georgia" w:cs="Times New Roman"/>
              </w:rPr>
              <w:t>Délai de réponse</w:t>
            </w:r>
            <w:r w:rsidR="00187023">
              <w:rPr>
                <w:rFonts w:eastAsia="Georgia" w:cs="Times New Roman"/>
              </w:rPr>
              <w:t> : entre le moment où le ménage a signé son contrat et le moment où le ménage a terminé les travaux, on a 6 et 9 mois</w:t>
            </w:r>
          </w:p>
        </w:tc>
      </w:tr>
      <w:tr w:rsidR="007F3EE4" w:rsidRPr="002D5104" w14:paraId="3EB5BA47"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48F88581"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Articulation / cohérence avec d’autres outils existants</w:t>
            </w:r>
          </w:p>
        </w:tc>
        <w:tc>
          <w:tcPr>
            <w:tcW w:w="6692" w:type="dxa"/>
          </w:tcPr>
          <w:p w14:paraId="01268B2C" w14:textId="23FCC91A" w:rsidR="007F3EE4" w:rsidRPr="00C23426" w:rsidRDefault="007F3EE4" w:rsidP="00204F06">
            <w:pPr>
              <w:pStyle w:val="Tablebullet1"/>
              <w:numPr>
                <w:ilvl w:val="0"/>
                <w:numId w:val="26"/>
              </w:numPr>
            </w:pPr>
            <w:r w:rsidRPr="00A02D6B">
              <w:rPr>
                <w:rFonts w:eastAsia="Georgia" w:cs="Times New Roman"/>
              </w:rPr>
              <w:t>Liens avec d’autres instruments de financement</w:t>
            </w:r>
            <w:r w:rsidR="00187023">
              <w:rPr>
                <w:rFonts w:eastAsia="Georgia" w:cs="Times New Roman"/>
              </w:rPr>
              <w:t xml:space="preserve"> : </w:t>
            </w:r>
            <w:r w:rsidR="005E7C11">
              <w:rPr>
                <w:rFonts w:eastAsia="Georgia" w:cs="Times New Roman"/>
              </w:rPr>
              <w:t xml:space="preserve">CEE </w:t>
            </w:r>
          </w:p>
        </w:tc>
      </w:tr>
      <w:tr w:rsidR="007F3EE4" w:rsidRPr="002D5104" w14:paraId="367C8052"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5CB7FE79" w14:textId="77777777" w:rsidR="007F3EE4" w:rsidRPr="00A02D6B" w:rsidRDefault="007F3EE4" w:rsidP="00320F9A">
            <w:pPr>
              <w:jc w:val="both"/>
              <w:rPr>
                <w:rFonts w:eastAsia="Georgia" w:cs="Times New Roman"/>
                <w:b/>
              </w:rPr>
            </w:pPr>
            <w:r w:rsidRPr="00A02D6B">
              <w:rPr>
                <w:rFonts w:eastAsia="Georgia" w:cs="Times New Roman"/>
                <w:b/>
              </w:rPr>
              <w:t>Caractérisation juridique</w:t>
            </w:r>
          </w:p>
        </w:tc>
        <w:tc>
          <w:tcPr>
            <w:tcW w:w="6692" w:type="dxa"/>
          </w:tcPr>
          <w:p w14:paraId="19AA549B" w14:textId="77777777" w:rsidR="007F3EE4" w:rsidRPr="00C23426" w:rsidRDefault="007F3EE4" w:rsidP="00204F06">
            <w:pPr>
              <w:pStyle w:val="Tablebullet1"/>
              <w:numPr>
                <w:ilvl w:val="0"/>
                <w:numId w:val="26"/>
              </w:numPr>
            </w:pPr>
            <w:r w:rsidRPr="00A02D6B">
              <w:rPr>
                <w:rFonts w:eastAsia="Georgia" w:cs="Times New Roman"/>
              </w:rPr>
              <w:t>Conformité avec les aides d’état</w:t>
            </w:r>
            <w:r>
              <w:rPr>
                <w:rFonts w:eastAsia="Georgia" w:cs="Times New Roman"/>
              </w:rPr>
              <w:t> : CEE valorisés pour le compte des ménages, et on en garde une petite partie pour financer le dispositif – pour les ménages au-dessus des plafonds de l’ANAH avec des primes en moyenne de 5K</w:t>
            </w:r>
          </w:p>
        </w:tc>
      </w:tr>
      <w:tr w:rsidR="007F3EE4" w:rsidRPr="002D5104" w14:paraId="540043DD"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6153A49A"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Identification des prescripteurs</w:t>
            </w:r>
          </w:p>
        </w:tc>
        <w:tc>
          <w:tcPr>
            <w:tcW w:w="6692" w:type="dxa"/>
          </w:tcPr>
          <w:p w14:paraId="60DE877A" w14:textId="7E45B55C" w:rsidR="007F3EE4" w:rsidRPr="00C23426" w:rsidRDefault="007F3EE4" w:rsidP="00204F06">
            <w:pPr>
              <w:pStyle w:val="Tablebullet1"/>
              <w:numPr>
                <w:ilvl w:val="0"/>
                <w:numId w:val="26"/>
              </w:numPr>
            </w:pPr>
            <w:r w:rsidRPr="00A02D6B">
              <w:rPr>
                <w:rFonts w:eastAsia="Georgia" w:cs="Times New Roman"/>
              </w:rPr>
              <w:t>Noms des principaux prescripteurs de l’instrument</w:t>
            </w:r>
            <w:r w:rsidR="00154AF7">
              <w:rPr>
                <w:rFonts w:eastAsia="Georgia" w:cs="Times New Roman"/>
              </w:rPr>
              <w:t> : N/A</w:t>
            </w:r>
          </w:p>
        </w:tc>
      </w:tr>
      <w:tr w:rsidR="007F3EE4" w:rsidRPr="00A02D6B" w14:paraId="42AB99F1"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29384862"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Performance du portefeuille et système de suivi interne</w:t>
            </w:r>
          </w:p>
        </w:tc>
        <w:tc>
          <w:tcPr>
            <w:tcW w:w="6692" w:type="dxa"/>
          </w:tcPr>
          <w:p w14:paraId="6F3D9BEF"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Effet de levier financier / Effet de levier qualitatif</w:t>
            </w:r>
            <w:r>
              <w:rPr>
                <w:rFonts w:eastAsia="Georgia" w:cs="Times New Roman"/>
              </w:rPr>
              <w:t> : sur les dernières Primes, il y a plus de gens qui vont accepter plus facilement les programmes complets car il y a des primes plus conséquentes en rénovation globale. Les aides poussent à aller plus loin car on a des seuils qui sont plus importants dès lors qu’on fait des gros travaux</w:t>
            </w:r>
          </w:p>
          <w:p w14:paraId="299412D7" w14:textId="77777777" w:rsidR="007F3EE4" w:rsidRDefault="007F3EE4" w:rsidP="00204F06">
            <w:pPr>
              <w:pStyle w:val="Tablebullet1"/>
              <w:numPr>
                <w:ilvl w:val="0"/>
                <w:numId w:val="26"/>
              </w:numPr>
              <w:rPr>
                <w:rFonts w:eastAsia="Georgia" w:cs="Times New Roman"/>
              </w:rPr>
            </w:pPr>
            <w:r w:rsidRPr="00A02D6B">
              <w:rPr>
                <w:rFonts w:eastAsia="Georgia" w:cs="Times New Roman"/>
              </w:rPr>
              <w:t>Taux de retour sur investissement</w:t>
            </w:r>
            <w:r>
              <w:rPr>
                <w:rFonts w:eastAsia="Georgia" w:cs="Times New Roman"/>
              </w:rPr>
              <w:t xml:space="preserve"> : </w:t>
            </w:r>
          </w:p>
          <w:p w14:paraId="7D4E19B7" w14:textId="77777777" w:rsidR="005E7C11" w:rsidRDefault="007F3EE4" w:rsidP="00204F06">
            <w:pPr>
              <w:pStyle w:val="Tablebullet1"/>
              <w:numPr>
                <w:ilvl w:val="0"/>
                <w:numId w:val="26"/>
              </w:numPr>
              <w:rPr>
                <w:rFonts w:eastAsia="Georgia" w:cs="Times New Roman"/>
              </w:rPr>
            </w:pPr>
            <w:r w:rsidRPr="00A02D6B">
              <w:rPr>
                <w:rFonts w:eastAsia="Georgia" w:cs="Times New Roman"/>
              </w:rPr>
              <w:t>Taux de défaillance (garantie, prêt)</w:t>
            </w:r>
            <w:r>
              <w:rPr>
                <w:rFonts w:eastAsia="Georgia" w:cs="Times New Roman"/>
              </w:rPr>
              <w:t xml:space="preserve"> : uniquement sur les ménages accompagnés financièrement, 18M d’engagement aujourd’hui, </w:t>
            </w:r>
            <w:r w:rsidR="005E7C11">
              <w:rPr>
                <w:rFonts w:eastAsia="Georgia" w:cs="Times New Roman"/>
              </w:rPr>
              <w:t>48% avec au moins</w:t>
            </w:r>
            <w:r>
              <w:rPr>
                <w:rFonts w:eastAsia="Georgia" w:cs="Times New Roman"/>
              </w:rPr>
              <w:t xml:space="preserve"> une échéance impayée pour des. 0,01% d’impayés. </w:t>
            </w:r>
          </w:p>
          <w:p w14:paraId="354344D4" w14:textId="77777777" w:rsidR="005E7C11" w:rsidRDefault="007F3EE4" w:rsidP="005E7C11">
            <w:pPr>
              <w:pStyle w:val="Tablebullet1"/>
              <w:numPr>
                <w:ilvl w:val="0"/>
                <w:numId w:val="0"/>
              </w:numPr>
              <w:ind w:left="360"/>
              <w:rPr>
                <w:rFonts w:eastAsia="Georgia" w:cs="Times New Roman"/>
              </w:rPr>
            </w:pPr>
            <w:r>
              <w:rPr>
                <w:rFonts w:eastAsia="Georgia" w:cs="Times New Roman"/>
              </w:rPr>
              <w:t>Sur les engagements en défaut (au moins 3 échéances impayées), 28% de</w:t>
            </w:r>
            <w:r w:rsidR="005E7C11">
              <w:rPr>
                <w:rFonts w:eastAsia="Georgia" w:cs="Times New Roman"/>
              </w:rPr>
              <w:t xml:space="preserve">s </w:t>
            </w:r>
            <w:r>
              <w:rPr>
                <w:rFonts w:eastAsia="Georgia" w:cs="Times New Roman"/>
              </w:rPr>
              <w:t xml:space="preserve">engagements. </w:t>
            </w:r>
          </w:p>
          <w:p w14:paraId="3C4926E8" w14:textId="786BDF65" w:rsidR="005E7C11" w:rsidRDefault="007F3EE4" w:rsidP="005E7C11">
            <w:pPr>
              <w:pStyle w:val="Tablebullet1"/>
              <w:numPr>
                <w:ilvl w:val="0"/>
                <w:numId w:val="0"/>
              </w:numPr>
              <w:ind w:left="360"/>
              <w:rPr>
                <w:rFonts w:eastAsia="Georgia" w:cs="Times New Roman"/>
              </w:rPr>
            </w:pPr>
            <w:r>
              <w:rPr>
                <w:rFonts w:eastAsia="Georgia" w:cs="Times New Roman"/>
              </w:rPr>
              <w:t xml:space="preserve">- de 50% des ménages dans des catégories à </w:t>
            </w:r>
            <w:r w:rsidR="00933C8A">
              <w:rPr>
                <w:rFonts w:eastAsia="Georgia" w:cs="Times New Roman"/>
              </w:rPr>
              <w:t>risques.</w:t>
            </w:r>
          </w:p>
          <w:p w14:paraId="5AD59684" w14:textId="77777777" w:rsidR="005E7C11" w:rsidRDefault="007F3EE4" w:rsidP="005E7C11">
            <w:pPr>
              <w:pStyle w:val="Tablebullet1"/>
              <w:numPr>
                <w:ilvl w:val="0"/>
                <w:numId w:val="0"/>
              </w:numPr>
              <w:ind w:left="360"/>
              <w:rPr>
                <w:rFonts w:eastAsia="Georgia" w:cs="Times New Roman"/>
              </w:rPr>
            </w:pPr>
            <w:r>
              <w:rPr>
                <w:rFonts w:eastAsia="Georgia" w:cs="Times New Roman"/>
              </w:rPr>
              <w:t>82% de dossiers scorés « vert » i.e. les moins risqués, 5% de dossiers qui ont un score moyen et le reste ayant un score « rouge » (octroyés parce que les économies d’énergie sont supérieurs aux mensualités, ou parce qu’il s’agit de ménages en grande difficulté énergétique</w:t>
            </w:r>
            <w:r w:rsidR="005E7C11">
              <w:rPr>
                <w:rFonts w:eastAsia="Georgia" w:cs="Times New Roman"/>
              </w:rPr>
              <w:t>)</w:t>
            </w:r>
          </w:p>
          <w:p w14:paraId="0E99F07D" w14:textId="0E844A3A" w:rsidR="007F3EE4" w:rsidRPr="00A02D6B" w:rsidRDefault="007F3EE4" w:rsidP="005E7C11">
            <w:pPr>
              <w:pStyle w:val="Tablebullet1"/>
            </w:pPr>
            <w:r w:rsidRPr="00A02D6B">
              <w:t>Recyclage des fonds</w:t>
            </w:r>
            <w:r>
              <w:t> : 2,8M</w:t>
            </w:r>
            <w:r w:rsidR="00933C8A">
              <w:t>€</w:t>
            </w:r>
            <w:r>
              <w:t xml:space="preserve"> réaffectés à d’autres dossiers malgré la faible antériorité de l’instrument</w:t>
            </w:r>
          </w:p>
        </w:tc>
      </w:tr>
      <w:tr w:rsidR="007F3EE4" w:rsidRPr="002D5104" w14:paraId="2F639845"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4C3D84AC"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Stratégie à 5 ans</w:t>
            </w:r>
          </w:p>
        </w:tc>
        <w:tc>
          <w:tcPr>
            <w:tcW w:w="6692" w:type="dxa"/>
          </w:tcPr>
          <w:p w14:paraId="6F179751" w14:textId="3C32D87A" w:rsidR="007F3EE4" w:rsidRPr="00986095" w:rsidRDefault="007F3EE4" w:rsidP="00204F06">
            <w:pPr>
              <w:pStyle w:val="Tablebullet1"/>
              <w:numPr>
                <w:ilvl w:val="0"/>
                <w:numId w:val="26"/>
              </w:numPr>
            </w:pPr>
            <w:r w:rsidRPr="00A02D6B">
              <w:rPr>
                <w:rFonts w:eastAsia="Georgia" w:cs="Times New Roman"/>
              </w:rPr>
              <w:t>Quelle est à la stratégie à 5 ans de l’instrument/intermédiaires financiers ?</w:t>
            </w:r>
            <w:r>
              <w:rPr>
                <w:rFonts w:eastAsia="Georgia" w:cs="Times New Roman"/>
              </w:rPr>
              <w:t xml:space="preserve"> La </w:t>
            </w:r>
            <w:r w:rsidR="00933C8A">
              <w:rPr>
                <w:rFonts w:eastAsia="Georgia" w:cs="Times New Roman"/>
              </w:rPr>
              <w:t>D</w:t>
            </w:r>
            <w:r>
              <w:rPr>
                <w:rFonts w:eastAsia="Georgia" w:cs="Times New Roman"/>
              </w:rPr>
              <w:t>évelopper suffisamment pour acquérir un rythme de rénovation de 1000 dossiers (maisons individuelles) par an d’ici fin 2024.</w:t>
            </w:r>
          </w:p>
          <w:p w14:paraId="771500A6" w14:textId="77777777" w:rsidR="007F3EE4" w:rsidRDefault="007F3EE4" w:rsidP="00320F9A">
            <w:pPr>
              <w:pStyle w:val="Tablebullet1"/>
              <w:numPr>
                <w:ilvl w:val="0"/>
                <w:numId w:val="0"/>
              </w:numPr>
              <w:ind w:left="360"/>
              <w:rPr>
                <w:rFonts w:eastAsia="Georgia" w:cs="Times New Roman"/>
              </w:rPr>
            </w:pPr>
            <w:r>
              <w:rPr>
                <w:rFonts w:eastAsia="Georgia" w:cs="Times New Roman"/>
              </w:rPr>
              <w:t>L’emprunt de tiers-financement se termine en juin 2022 et la stratégie de refinancement sera d’aller chercher un refinancement partagé entre la BEI et la CDC.</w:t>
            </w:r>
          </w:p>
          <w:p w14:paraId="7BC6D4D1" w14:textId="55546A85" w:rsidR="007F3EE4" w:rsidRDefault="00933C8A" w:rsidP="00320F9A">
            <w:pPr>
              <w:pStyle w:val="Tablebullet1"/>
              <w:numPr>
                <w:ilvl w:val="0"/>
                <w:numId w:val="0"/>
              </w:numPr>
              <w:ind w:left="360"/>
              <w:rPr>
                <w:rFonts w:eastAsia="Georgia" w:cs="Times New Roman"/>
              </w:rPr>
            </w:pPr>
            <w:r>
              <w:rPr>
                <w:rFonts w:eastAsia="Georgia" w:cs="Times New Roman"/>
              </w:rPr>
              <w:t>Travail</w:t>
            </w:r>
            <w:r w:rsidR="007F3EE4">
              <w:rPr>
                <w:rFonts w:eastAsia="Georgia" w:cs="Times New Roman"/>
              </w:rPr>
              <w:t xml:space="preserve"> dans le cadre du projet ORPHEE sur un refinancement par cession de créances (travail commun avec les autres sociétés de tiers-financement) dès 2022. </w:t>
            </w:r>
          </w:p>
          <w:p w14:paraId="15DF4127" w14:textId="06E9DD34" w:rsidR="007F3EE4" w:rsidRDefault="00933C8A" w:rsidP="00320F9A">
            <w:pPr>
              <w:pStyle w:val="Tablebullet1"/>
              <w:numPr>
                <w:ilvl w:val="0"/>
                <w:numId w:val="0"/>
              </w:numPr>
              <w:ind w:left="360"/>
              <w:rPr>
                <w:rFonts w:eastAsia="Georgia" w:cs="Times New Roman"/>
              </w:rPr>
            </w:pPr>
            <w:r>
              <w:rPr>
                <w:rFonts w:eastAsia="Georgia" w:cs="Times New Roman"/>
              </w:rPr>
              <w:t>Besoin de</w:t>
            </w:r>
            <w:r w:rsidR="007F3EE4">
              <w:rPr>
                <w:rFonts w:eastAsia="Georgia" w:cs="Times New Roman"/>
              </w:rPr>
              <w:t xml:space="preserve"> refinancement de 35M€ à partir de 2022-2023</w:t>
            </w:r>
          </w:p>
          <w:p w14:paraId="30D325F3" w14:textId="3343AA31" w:rsidR="007F3EE4" w:rsidRPr="00836EB2" w:rsidRDefault="00933C8A" w:rsidP="00320F9A">
            <w:pPr>
              <w:pStyle w:val="Tablebullet1"/>
              <w:numPr>
                <w:ilvl w:val="0"/>
                <w:numId w:val="0"/>
              </w:numPr>
              <w:ind w:left="360"/>
              <w:rPr>
                <w:rFonts w:eastAsia="Georgia" w:cs="Times New Roman"/>
              </w:rPr>
            </w:pPr>
            <w:r>
              <w:rPr>
                <w:rFonts w:eastAsia="Georgia" w:cs="Times New Roman"/>
              </w:rPr>
              <w:t>Signature à venir d’</w:t>
            </w:r>
            <w:r w:rsidR="007F3EE4">
              <w:rPr>
                <w:rFonts w:eastAsia="Georgia" w:cs="Times New Roman"/>
              </w:rPr>
              <w:t xml:space="preserve">une convention avec </w:t>
            </w:r>
            <w:proofErr w:type="spellStart"/>
            <w:r w:rsidR="007F3EE4">
              <w:rPr>
                <w:rFonts w:eastAsia="Georgia" w:cs="Times New Roman"/>
              </w:rPr>
              <w:t>Procivis</w:t>
            </w:r>
            <w:proofErr w:type="spellEnd"/>
            <w:r w:rsidR="007F3EE4">
              <w:rPr>
                <w:rFonts w:eastAsia="Georgia" w:cs="Times New Roman"/>
              </w:rPr>
              <w:t xml:space="preserve"> pour l’avance des montants pour les copropriétés.</w:t>
            </w:r>
          </w:p>
        </w:tc>
      </w:tr>
    </w:tbl>
    <w:p w14:paraId="2270AA80" w14:textId="77777777" w:rsidR="00F42439" w:rsidRPr="00267519" w:rsidRDefault="00F42439" w:rsidP="008E6E25">
      <w:pPr>
        <w:pStyle w:val="AppendixHeading2"/>
        <w:keepNext w:val="0"/>
        <w:numPr>
          <w:ilvl w:val="0"/>
          <w:numId w:val="0"/>
        </w:numPr>
        <w:ind w:left="907" w:hanging="907"/>
        <w:jc w:val="both"/>
        <w:outlineLvl w:val="9"/>
      </w:pPr>
      <w:r w:rsidRPr="00267519">
        <w:t>Batixia</w:t>
      </w:r>
    </w:p>
    <w:tbl>
      <w:tblPr>
        <w:tblStyle w:val="TechnopolisTable"/>
        <w:tblW w:w="0" w:type="dxa"/>
        <w:tblLook w:val="04A0" w:firstRow="1" w:lastRow="0" w:firstColumn="1" w:lastColumn="0" w:noHBand="0" w:noVBand="1"/>
      </w:tblPr>
      <w:tblGrid>
        <w:gridCol w:w="2499"/>
        <w:gridCol w:w="6563"/>
      </w:tblGrid>
      <w:tr w:rsidR="00F42439" w:rsidRPr="00267519" w14:paraId="526B5A9F" w14:textId="77777777" w:rsidTr="00A427F0">
        <w:trPr>
          <w:cnfStyle w:val="100000000000" w:firstRow="1" w:lastRow="0" w:firstColumn="0" w:lastColumn="0" w:oddVBand="0" w:evenVBand="0" w:oddHBand="0" w:evenHBand="0" w:firstRowFirstColumn="0" w:firstRowLastColumn="0" w:lastRowFirstColumn="0" w:lastRowLastColumn="0"/>
          <w:trHeight w:val="405"/>
        </w:trPr>
        <w:tc>
          <w:tcPr>
            <w:tcW w:w="2505" w:type="dxa"/>
            <w:hideMark/>
          </w:tcPr>
          <w:p w14:paraId="5749B2BC"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Cs/>
                <w:color w:val="000000" w:themeColor="text1"/>
                <w:lang w:eastAsia="fr-FR"/>
              </w:rPr>
              <w:t>Catégorie</w:t>
            </w:r>
            <w:r w:rsidRPr="00267519">
              <w:rPr>
                <w:rFonts w:eastAsia="Times New Roman" w:cs="Times New Roman"/>
                <w:color w:val="000000" w:themeColor="text1"/>
                <w:lang w:eastAsia="fr-FR"/>
              </w:rPr>
              <w:t> </w:t>
            </w:r>
          </w:p>
        </w:tc>
        <w:tc>
          <w:tcPr>
            <w:tcW w:w="6690" w:type="dxa"/>
            <w:hideMark/>
          </w:tcPr>
          <w:p w14:paraId="415AC604" w14:textId="77777777" w:rsidR="00F42439" w:rsidRPr="00267519" w:rsidRDefault="00F42439" w:rsidP="00A427F0">
            <w:pPr>
              <w:pStyle w:val="Tablebullet1"/>
              <w:numPr>
                <w:ilvl w:val="0"/>
                <w:numId w:val="0"/>
              </w:numPr>
              <w:ind w:left="227" w:hanging="227"/>
              <w:rPr>
                <w:lang w:eastAsia="fr-FR"/>
              </w:rPr>
            </w:pPr>
            <w:r w:rsidRPr="00267519">
              <w:rPr>
                <w:lang w:eastAsia="fr-FR"/>
              </w:rPr>
              <w:t>Explication du contenu  </w:t>
            </w:r>
          </w:p>
        </w:tc>
      </w:tr>
      <w:tr w:rsidR="00F42439" w:rsidRPr="00267519" w14:paraId="6591D804"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7B80776D"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Type d’instrument financier</w:t>
            </w:r>
            <w:r w:rsidRPr="00267519">
              <w:rPr>
                <w:rFonts w:eastAsia="Times New Roman" w:cs="Times New Roman"/>
                <w:color w:val="000000" w:themeColor="text1"/>
                <w:lang w:eastAsia="fr-FR"/>
              </w:rPr>
              <w:t> </w:t>
            </w:r>
          </w:p>
        </w:tc>
        <w:tc>
          <w:tcPr>
            <w:tcW w:w="6690" w:type="dxa"/>
            <w:hideMark/>
          </w:tcPr>
          <w:p w14:paraId="0A727F7F" w14:textId="77777777" w:rsidR="00F42439" w:rsidRPr="00267519" w:rsidRDefault="00F42439" w:rsidP="00204F06">
            <w:pPr>
              <w:pStyle w:val="Tablebullet1"/>
              <w:numPr>
                <w:ilvl w:val="0"/>
                <w:numId w:val="25"/>
              </w:numPr>
              <w:jc w:val="left"/>
              <w:rPr>
                <w:lang w:eastAsia="fr-FR"/>
              </w:rPr>
            </w:pPr>
            <w:r w:rsidRPr="00267519">
              <w:rPr>
                <w:lang w:eastAsia="fr-FR"/>
              </w:rPr>
              <w:t>fonds propres ou quasi propres</w:t>
            </w:r>
          </w:p>
        </w:tc>
      </w:tr>
      <w:tr w:rsidR="00F42439" w:rsidRPr="00267519" w14:paraId="7D1CAAD2"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27190A1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Année de création</w:t>
            </w:r>
            <w:r w:rsidRPr="00267519">
              <w:rPr>
                <w:rFonts w:eastAsia="Times New Roman" w:cs="Times New Roman"/>
                <w:color w:val="000000" w:themeColor="text1"/>
                <w:lang w:eastAsia="fr-FR"/>
              </w:rPr>
              <w:t> </w:t>
            </w:r>
          </w:p>
        </w:tc>
        <w:tc>
          <w:tcPr>
            <w:tcW w:w="6690" w:type="dxa"/>
            <w:hideMark/>
          </w:tcPr>
          <w:p w14:paraId="06A4D8C5" w14:textId="77777777" w:rsidR="00F42439" w:rsidRPr="00267519" w:rsidRDefault="00F42439" w:rsidP="00204F06">
            <w:pPr>
              <w:pStyle w:val="Tablebullet1"/>
              <w:numPr>
                <w:ilvl w:val="0"/>
                <w:numId w:val="25"/>
              </w:numPr>
              <w:jc w:val="left"/>
              <w:rPr>
                <w:lang w:eastAsia="fr-FR"/>
              </w:rPr>
            </w:pPr>
            <w:r w:rsidRPr="00267519">
              <w:rPr>
                <w:lang w:eastAsia="fr-FR"/>
              </w:rPr>
              <w:t>2002</w:t>
            </w:r>
          </w:p>
        </w:tc>
      </w:tr>
      <w:tr w:rsidR="00F42439" w:rsidRPr="00267519" w14:paraId="6D8E8F27"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4FD22F6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Intermédiaire / opérateur</w:t>
            </w:r>
            <w:r w:rsidRPr="00267519">
              <w:rPr>
                <w:rFonts w:eastAsia="Times New Roman" w:cs="Times New Roman"/>
                <w:color w:val="000000" w:themeColor="text1"/>
                <w:lang w:eastAsia="fr-FR"/>
              </w:rPr>
              <w:t> </w:t>
            </w:r>
          </w:p>
        </w:tc>
        <w:tc>
          <w:tcPr>
            <w:tcW w:w="6690" w:type="dxa"/>
            <w:hideMark/>
          </w:tcPr>
          <w:p w14:paraId="4D7158A9" w14:textId="77777777" w:rsidR="00F42439" w:rsidRPr="00267519" w:rsidRDefault="00F42439" w:rsidP="00204F06">
            <w:pPr>
              <w:pStyle w:val="Tablebullet1"/>
              <w:numPr>
                <w:ilvl w:val="0"/>
                <w:numId w:val="25"/>
              </w:numPr>
              <w:jc w:val="left"/>
              <w:rPr>
                <w:lang w:eastAsia="fr-FR"/>
              </w:rPr>
            </w:pPr>
            <w:r w:rsidRPr="00267519">
              <w:rPr>
                <w:lang w:eastAsia="fr-FR"/>
              </w:rPr>
              <w:t>Nom de l’intermédiaire</w:t>
            </w:r>
            <w:r w:rsidRPr="00267519">
              <w:rPr>
                <w:rFonts w:ascii="Arial" w:hAnsi="Arial" w:cs="Arial"/>
                <w:lang w:eastAsia="fr-FR"/>
              </w:rPr>
              <w:t> </w:t>
            </w:r>
            <w:r w:rsidRPr="00267519">
              <w:rPr>
                <w:lang w:eastAsia="fr-FR"/>
              </w:rPr>
              <w:t>: Batixia</w:t>
            </w:r>
          </w:p>
          <w:p w14:paraId="106327DC" w14:textId="77777777" w:rsidR="00F42439" w:rsidRPr="00267519" w:rsidRDefault="00F42439" w:rsidP="00204F06">
            <w:pPr>
              <w:pStyle w:val="Tablebullet1"/>
              <w:numPr>
                <w:ilvl w:val="0"/>
                <w:numId w:val="25"/>
              </w:numPr>
              <w:jc w:val="left"/>
              <w:rPr>
                <w:lang w:eastAsia="fr-FR"/>
              </w:rPr>
            </w:pPr>
            <w:r w:rsidRPr="00267519">
              <w:rPr>
                <w:lang w:eastAsia="fr-FR"/>
              </w:rPr>
              <w:t>ETP affectés à la gestion de l’instrument</w:t>
            </w:r>
            <w:r w:rsidRPr="00267519">
              <w:rPr>
                <w:rFonts w:ascii="Arial" w:hAnsi="Arial" w:cs="Arial"/>
                <w:lang w:eastAsia="fr-FR"/>
              </w:rPr>
              <w:t> </w:t>
            </w:r>
            <w:r w:rsidRPr="00267519">
              <w:rPr>
                <w:lang w:eastAsia="fr-FR"/>
              </w:rPr>
              <w:t>: 4 personnes</w:t>
            </w:r>
          </w:p>
          <w:p w14:paraId="46FCDBF1" w14:textId="77777777" w:rsidR="00F42439" w:rsidRPr="00267519" w:rsidRDefault="00F42439" w:rsidP="00204F06">
            <w:pPr>
              <w:pStyle w:val="Tablebullet1"/>
              <w:numPr>
                <w:ilvl w:val="0"/>
                <w:numId w:val="25"/>
              </w:numPr>
              <w:jc w:val="left"/>
              <w:rPr>
                <w:lang w:eastAsia="fr-FR"/>
              </w:rPr>
            </w:pPr>
            <w:r w:rsidRPr="00267519">
              <w:rPr>
                <w:lang w:eastAsia="fr-FR"/>
              </w:rPr>
              <w:t>Frais de gestion</w:t>
            </w:r>
            <w:r w:rsidRPr="00267519">
              <w:rPr>
                <w:rFonts w:ascii="Arial" w:hAnsi="Arial" w:cs="Arial"/>
                <w:lang w:eastAsia="fr-FR"/>
              </w:rPr>
              <w:t> </w:t>
            </w:r>
            <w:r w:rsidRPr="00267519">
              <w:rPr>
                <w:lang w:eastAsia="fr-FR"/>
              </w:rPr>
              <w:t>: ND</w:t>
            </w:r>
          </w:p>
        </w:tc>
      </w:tr>
      <w:tr w:rsidR="00F42439" w:rsidRPr="00267519" w14:paraId="49438326"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1116CCDF"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Montant</w:t>
            </w:r>
            <w:r w:rsidRPr="00267519">
              <w:rPr>
                <w:rFonts w:eastAsia="Times New Roman" w:cs="Times New Roman"/>
                <w:color w:val="000000" w:themeColor="text1"/>
                <w:lang w:eastAsia="fr-FR"/>
              </w:rPr>
              <w:t> </w:t>
            </w:r>
          </w:p>
        </w:tc>
        <w:tc>
          <w:tcPr>
            <w:tcW w:w="6690" w:type="dxa"/>
            <w:hideMark/>
          </w:tcPr>
          <w:p w14:paraId="32BE4AAC" w14:textId="77777777" w:rsidR="00F42439" w:rsidRPr="00267519" w:rsidRDefault="00F42439" w:rsidP="00204F06">
            <w:pPr>
              <w:pStyle w:val="Tablebullet1"/>
              <w:numPr>
                <w:ilvl w:val="0"/>
                <w:numId w:val="25"/>
              </w:numPr>
              <w:jc w:val="left"/>
              <w:rPr>
                <w:lang w:eastAsia="fr-FR"/>
              </w:rPr>
            </w:pPr>
            <w:r w:rsidRPr="00267519">
              <w:rPr>
                <w:lang w:eastAsia="fr-FR"/>
              </w:rPr>
              <w:t>Montant total de l’instrument</w:t>
            </w:r>
            <w:r w:rsidRPr="00267519">
              <w:rPr>
                <w:rFonts w:ascii="Arial" w:hAnsi="Arial" w:cs="Arial"/>
                <w:lang w:eastAsia="fr-FR"/>
              </w:rPr>
              <w:t> </w:t>
            </w:r>
            <w:r w:rsidRPr="00267519">
              <w:rPr>
                <w:lang w:eastAsia="fr-FR"/>
              </w:rPr>
              <w:t>: 15 M€</w:t>
            </w:r>
          </w:p>
        </w:tc>
      </w:tr>
      <w:tr w:rsidR="00F42439" w:rsidRPr="00267519" w14:paraId="75001173"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3E0B1A6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Contributeur</w:t>
            </w:r>
            <w:r w:rsidRPr="00267519">
              <w:rPr>
                <w:rFonts w:eastAsia="Times New Roman" w:cs="Times New Roman"/>
                <w:color w:val="000000" w:themeColor="text1"/>
                <w:lang w:eastAsia="fr-FR"/>
              </w:rPr>
              <w:t> </w:t>
            </w:r>
          </w:p>
        </w:tc>
        <w:tc>
          <w:tcPr>
            <w:tcW w:w="6690" w:type="dxa"/>
            <w:hideMark/>
          </w:tcPr>
          <w:p w14:paraId="4B00B3D7" w14:textId="77777777" w:rsidR="00F42439" w:rsidRPr="00267519" w:rsidRDefault="00F42439" w:rsidP="00204F06">
            <w:pPr>
              <w:pStyle w:val="Tablebullet1"/>
              <w:numPr>
                <w:ilvl w:val="0"/>
                <w:numId w:val="25"/>
              </w:numPr>
              <w:jc w:val="left"/>
              <w:rPr>
                <w:lang w:eastAsia="fr-FR"/>
              </w:rPr>
            </w:pPr>
            <w:r w:rsidRPr="00267519">
              <w:rPr>
                <w:lang w:eastAsia="fr-FR"/>
              </w:rPr>
              <w:t>Nature des contributeurs et partenaires : le Conseil Régional Nord-Pas de Calais, la Caisse des dépôts et consignations (CDC), la Caisse d’Epargne Nord France Europe et le groupe IRD, à travers sa filiale BATIXIS</w:t>
            </w:r>
          </w:p>
        </w:tc>
      </w:tr>
      <w:tr w:rsidR="00F42439" w:rsidRPr="00267519" w14:paraId="73FAB72B"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1EAA5A85"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Produit / durée / ticket</w:t>
            </w:r>
            <w:r w:rsidRPr="00267519">
              <w:rPr>
                <w:rFonts w:eastAsia="Times New Roman" w:cs="Times New Roman"/>
                <w:color w:val="000000" w:themeColor="text1"/>
                <w:lang w:eastAsia="fr-FR"/>
              </w:rPr>
              <w:t> </w:t>
            </w:r>
          </w:p>
        </w:tc>
        <w:tc>
          <w:tcPr>
            <w:tcW w:w="6690" w:type="dxa"/>
            <w:hideMark/>
          </w:tcPr>
          <w:p w14:paraId="085F6FF8" w14:textId="77777777" w:rsidR="00F42439" w:rsidRPr="00267519" w:rsidRDefault="00F42439" w:rsidP="00204F06">
            <w:pPr>
              <w:pStyle w:val="Tablebullet1"/>
              <w:numPr>
                <w:ilvl w:val="0"/>
                <w:numId w:val="25"/>
              </w:numPr>
              <w:jc w:val="left"/>
              <w:rPr>
                <w:lang w:eastAsia="fr-FR"/>
              </w:rPr>
            </w:pPr>
            <w:r w:rsidRPr="00267519">
              <w:rPr>
                <w:lang w:eastAsia="fr-FR"/>
              </w:rPr>
              <w:t>Ticket(segmentation)</w:t>
            </w:r>
            <w:r w:rsidRPr="00267519">
              <w:rPr>
                <w:rFonts w:ascii="Arial" w:hAnsi="Arial" w:cs="Arial"/>
                <w:lang w:eastAsia="fr-FR"/>
              </w:rPr>
              <w:t> </w:t>
            </w:r>
            <w:r w:rsidRPr="00267519">
              <w:rPr>
                <w:lang w:eastAsia="fr-FR"/>
              </w:rPr>
              <w:t>d’intervention :  projets immobiliers de 1 à 3M Minimum :</w:t>
            </w:r>
            <w:r w:rsidRPr="00267519">
              <w:rPr>
                <w:rFonts w:ascii="Arial" w:hAnsi="Arial" w:cs="Arial"/>
                <w:lang w:eastAsia="fr-FR"/>
              </w:rPr>
              <w:t> </w:t>
            </w:r>
            <w:r w:rsidRPr="00267519">
              <w:rPr>
                <w:lang w:eastAsia="fr-FR"/>
              </w:rPr>
              <w:t xml:space="preserve">; Maximum :  </w:t>
            </w:r>
            <w:r w:rsidRPr="00267519">
              <w:rPr>
                <w:rFonts w:ascii="Arial" w:hAnsi="Arial" w:cs="Arial"/>
                <w:lang w:eastAsia="fr-FR"/>
              </w:rPr>
              <w:t> </w:t>
            </w:r>
            <w:r w:rsidRPr="00267519">
              <w:rPr>
                <w:lang w:eastAsia="fr-FR"/>
              </w:rPr>
              <w:t>; Moyenne :</w:t>
            </w:r>
          </w:p>
          <w:p w14:paraId="505733CA" w14:textId="77777777" w:rsidR="00F42439" w:rsidRPr="00267519" w:rsidRDefault="00F42439" w:rsidP="00204F06">
            <w:pPr>
              <w:pStyle w:val="Tablebullet1"/>
              <w:numPr>
                <w:ilvl w:val="0"/>
                <w:numId w:val="25"/>
              </w:numPr>
              <w:jc w:val="left"/>
              <w:rPr>
                <w:rFonts w:eastAsiaTheme="majorEastAsia" w:cstheme="majorBidi"/>
                <w:lang w:eastAsia="fr-FR"/>
              </w:rPr>
            </w:pPr>
            <w:r w:rsidRPr="00267519">
              <w:rPr>
                <w:lang w:eastAsia="fr-FR"/>
              </w:rPr>
              <w:t>Condition d’intervention</w:t>
            </w:r>
            <w:r w:rsidRPr="00267519">
              <w:rPr>
                <w:rFonts w:ascii="Arial" w:hAnsi="Arial" w:cs="Arial"/>
                <w:lang w:eastAsia="fr-FR"/>
              </w:rPr>
              <w:t> </w:t>
            </w:r>
            <w:r w:rsidRPr="00267519">
              <w:rPr>
                <w:lang w:eastAsia="fr-FR"/>
              </w:rPr>
              <w:t xml:space="preserve">: 3 types d’intervention : participation au financement immobilier pour des entreprises, accompagnement des ZFU, friches industrielles. Intervient sur les territoires en difficulté ou en reconversion. </w:t>
            </w:r>
            <w:r w:rsidRPr="00267519">
              <w:t>Batixia accompagne les politiques publiques à la fois dans le cadre de l’ANRU ou dans les périmètres en ZFU mais pas exclusivement. Elle peut également investir dans les projets immobiliers initiés par les pôles d’excellence (Plaine Images à Roubaix et Tourcoing) ou les pôles de compétitivité (CETI, I-Trans à Valenciennes…).</w:t>
            </w:r>
          </w:p>
          <w:p w14:paraId="3C6ABD27" w14:textId="77777777" w:rsidR="00F42439" w:rsidRPr="00267519" w:rsidRDefault="00F42439" w:rsidP="00204F06">
            <w:pPr>
              <w:pStyle w:val="Tablebullet1"/>
              <w:numPr>
                <w:ilvl w:val="0"/>
                <w:numId w:val="25"/>
              </w:numPr>
              <w:jc w:val="left"/>
              <w:rPr>
                <w:lang w:eastAsia="fr-FR"/>
              </w:rPr>
            </w:pPr>
            <w:r w:rsidRPr="00267519">
              <w:rPr>
                <w:lang w:eastAsia="fr-FR"/>
              </w:rPr>
              <w:t xml:space="preserve">Investit pour la réalisation de bâtiments tertiaires (immeubles de bureaux, hôtels d’entreprise). Toujours en </w:t>
            </w:r>
            <w:proofErr w:type="spellStart"/>
            <w:r w:rsidRPr="00267519">
              <w:rPr>
                <w:lang w:eastAsia="fr-FR"/>
              </w:rPr>
              <w:t>co</w:t>
            </w:r>
            <w:proofErr w:type="spellEnd"/>
            <w:r w:rsidRPr="00267519">
              <w:rPr>
                <w:lang w:eastAsia="fr-FR"/>
              </w:rPr>
              <w:t>-investissement à hauteur maximum de 50%</w:t>
            </w:r>
          </w:p>
          <w:p w14:paraId="65E742CE" w14:textId="77777777" w:rsidR="00F42439" w:rsidRPr="00267519" w:rsidRDefault="00F42439" w:rsidP="00204F06">
            <w:pPr>
              <w:pStyle w:val="Tablebullet1"/>
              <w:numPr>
                <w:ilvl w:val="0"/>
                <w:numId w:val="25"/>
              </w:numPr>
              <w:jc w:val="left"/>
              <w:rPr>
                <w:lang w:eastAsia="fr-FR"/>
              </w:rPr>
            </w:pPr>
            <w:r w:rsidRPr="00267519">
              <w:rPr>
                <w:lang w:eastAsia="fr-FR"/>
              </w:rPr>
              <w:t>Durée</w:t>
            </w:r>
            <w:r w:rsidRPr="00267519">
              <w:rPr>
                <w:rFonts w:ascii="Arial" w:hAnsi="Arial" w:cs="Arial"/>
                <w:lang w:eastAsia="fr-FR"/>
              </w:rPr>
              <w:t> </w:t>
            </w:r>
            <w:r w:rsidRPr="00267519">
              <w:rPr>
                <w:lang w:eastAsia="fr-FR"/>
              </w:rPr>
              <w:t>d</w:t>
            </w:r>
            <w:r w:rsidRPr="00267519">
              <w:rPr>
                <w:rFonts w:cs="Century Gothic"/>
                <w:lang w:eastAsia="fr-FR"/>
              </w:rPr>
              <w:t>’</w:t>
            </w:r>
            <w:r w:rsidRPr="00267519">
              <w:rPr>
                <w:lang w:eastAsia="fr-FR"/>
              </w:rPr>
              <w:t>investissement</w:t>
            </w:r>
            <w:r w:rsidRPr="00267519">
              <w:rPr>
                <w:rFonts w:ascii="Arial" w:hAnsi="Arial" w:cs="Arial"/>
                <w:lang w:eastAsia="fr-FR"/>
              </w:rPr>
              <w:t> </w:t>
            </w:r>
            <w:r w:rsidRPr="00267519">
              <w:rPr>
                <w:lang w:eastAsia="fr-FR"/>
              </w:rPr>
              <w:t>: cession de ses parts avec plus-value à l’horizon de 8 à 10 ans</w:t>
            </w:r>
          </w:p>
        </w:tc>
      </w:tr>
      <w:tr w:rsidR="00F42439" w:rsidRPr="00267519" w14:paraId="7C45F6B9"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7451E0C2"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Bénéficiaires cibles et besoins adressés</w:t>
            </w:r>
            <w:r w:rsidRPr="00267519">
              <w:rPr>
                <w:rFonts w:eastAsia="Times New Roman" w:cs="Times New Roman"/>
                <w:color w:val="000000" w:themeColor="text1"/>
                <w:lang w:eastAsia="fr-FR"/>
              </w:rPr>
              <w:t> </w:t>
            </w:r>
          </w:p>
        </w:tc>
        <w:tc>
          <w:tcPr>
            <w:tcW w:w="6690" w:type="dxa"/>
            <w:hideMark/>
          </w:tcPr>
          <w:p w14:paraId="0428614D" w14:textId="77777777" w:rsidR="00F42439" w:rsidRPr="00267519" w:rsidRDefault="00F42439" w:rsidP="00204F06">
            <w:pPr>
              <w:pStyle w:val="Tablebullet1"/>
              <w:numPr>
                <w:ilvl w:val="0"/>
                <w:numId w:val="25"/>
              </w:numPr>
              <w:jc w:val="left"/>
              <w:rPr>
                <w:lang w:eastAsia="fr-FR"/>
              </w:rPr>
            </w:pPr>
            <w:r w:rsidRPr="00267519">
              <w:rPr>
                <w:lang w:eastAsia="fr-FR"/>
              </w:rPr>
              <w:t xml:space="preserve">Types d’entreprises ciblées : sociétés immobilières. </w:t>
            </w:r>
          </w:p>
          <w:p w14:paraId="1C296CF7" w14:textId="77777777" w:rsidR="00F42439" w:rsidRPr="00267519" w:rsidRDefault="00F42439" w:rsidP="00204F06">
            <w:pPr>
              <w:pStyle w:val="Tablebullet1"/>
              <w:numPr>
                <w:ilvl w:val="0"/>
                <w:numId w:val="25"/>
              </w:numPr>
              <w:jc w:val="left"/>
              <w:rPr>
                <w:lang w:eastAsia="fr-FR"/>
              </w:rPr>
            </w:pPr>
            <w:r w:rsidRPr="00267519">
              <w:rPr>
                <w:lang w:eastAsia="fr-FR"/>
              </w:rPr>
              <w:t xml:space="preserve">Types de besoins : </w:t>
            </w:r>
            <w:r w:rsidRPr="00267519">
              <w:t xml:space="preserve">opérations de renouvellement urbain </w:t>
            </w:r>
            <w:r w:rsidRPr="00267519">
              <w:rPr>
                <w:lang w:eastAsia="fr-FR"/>
              </w:rPr>
              <w:t>(zones franches urbaines, ZUS, friches…), accompagnement sur les projets immobiliers (installation, nouveaux bureaux)</w:t>
            </w:r>
          </w:p>
        </w:tc>
      </w:tr>
      <w:tr w:rsidR="00F42439" w:rsidRPr="00267519" w14:paraId="59382433"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231723D9"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Secteurs éligibles</w:t>
            </w:r>
            <w:r w:rsidRPr="00267519">
              <w:rPr>
                <w:rFonts w:eastAsia="Times New Roman" w:cs="Times New Roman"/>
                <w:color w:val="000000" w:themeColor="text1"/>
                <w:lang w:eastAsia="fr-FR"/>
              </w:rPr>
              <w:t> </w:t>
            </w:r>
          </w:p>
        </w:tc>
        <w:tc>
          <w:tcPr>
            <w:tcW w:w="6690" w:type="dxa"/>
            <w:hideMark/>
          </w:tcPr>
          <w:p w14:paraId="49C7136C" w14:textId="77777777" w:rsidR="00F42439" w:rsidRPr="00267519" w:rsidRDefault="00F42439" w:rsidP="00204F06">
            <w:pPr>
              <w:pStyle w:val="Tablebullet1"/>
              <w:numPr>
                <w:ilvl w:val="0"/>
                <w:numId w:val="25"/>
              </w:numPr>
              <w:jc w:val="left"/>
              <w:rPr>
                <w:lang w:eastAsia="fr-FR"/>
              </w:rPr>
            </w:pPr>
            <w:r w:rsidRPr="00267519">
              <w:rPr>
                <w:lang w:eastAsia="fr-FR"/>
              </w:rPr>
              <w:t>Types de secteur</w:t>
            </w:r>
            <w:r w:rsidRPr="00267519">
              <w:rPr>
                <w:rFonts w:ascii="Arial" w:hAnsi="Arial" w:cs="Arial"/>
                <w:lang w:eastAsia="fr-FR"/>
              </w:rPr>
              <w:t> </w:t>
            </w:r>
            <w:r w:rsidRPr="00267519">
              <w:rPr>
                <w:lang w:eastAsia="fr-FR"/>
              </w:rPr>
              <w:t>: Immobilier</w:t>
            </w:r>
          </w:p>
          <w:p w14:paraId="7540FD08" w14:textId="77777777" w:rsidR="00F42439" w:rsidRPr="00267519" w:rsidRDefault="00F42439" w:rsidP="00204F06">
            <w:pPr>
              <w:pStyle w:val="Tablebullet1"/>
              <w:numPr>
                <w:ilvl w:val="0"/>
                <w:numId w:val="25"/>
              </w:numPr>
              <w:jc w:val="left"/>
              <w:rPr>
                <w:lang w:eastAsia="fr-FR"/>
              </w:rPr>
            </w:pPr>
            <w:r w:rsidRPr="00267519">
              <w:rPr>
                <w:lang w:eastAsia="fr-FR"/>
              </w:rPr>
              <w:t>3 critères : qualité de l’entreprise/Impact sur le développement du territoire/qualité du projet immobilier</w:t>
            </w:r>
          </w:p>
        </w:tc>
      </w:tr>
      <w:tr w:rsidR="00F42439" w:rsidRPr="00267519" w14:paraId="37C7E7F0"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59D1A1F3"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Stade d’intervention</w:t>
            </w:r>
            <w:r w:rsidRPr="00267519">
              <w:rPr>
                <w:rFonts w:eastAsia="Times New Roman" w:cs="Times New Roman"/>
                <w:color w:val="000000" w:themeColor="text1"/>
                <w:lang w:eastAsia="fr-FR"/>
              </w:rPr>
              <w:t> </w:t>
            </w:r>
          </w:p>
        </w:tc>
        <w:tc>
          <w:tcPr>
            <w:tcW w:w="6690" w:type="dxa"/>
            <w:hideMark/>
          </w:tcPr>
          <w:p w14:paraId="5A3ED6EB" w14:textId="77777777" w:rsidR="00F42439" w:rsidRPr="00267519" w:rsidRDefault="00F42439" w:rsidP="00204F06">
            <w:pPr>
              <w:pStyle w:val="Tablebullet1"/>
              <w:numPr>
                <w:ilvl w:val="0"/>
                <w:numId w:val="25"/>
              </w:numPr>
              <w:jc w:val="left"/>
              <w:rPr>
                <w:lang w:eastAsia="fr-FR"/>
              </w:rPr>
            </w:pPr>
            <w:r w:rsidRPr="00267519">
              <w:rPr>
                <w:lang w:eastAsia="fr-FR"/>
              </w:rPr>
              <w:t>Stade d’intervention dans le développement de l’entreprise</w:t>
            </w:r>
            <w:r w:rsidRPr="00267519">
              <w:rPr>
                <w:rFonts w:ascii="Arial" w:hAnsi="Arial" w:cs="Arial"/>
                <w:lang w:eastAsia="fr-FR"/>
              </w:rPr>
              <w:t> </w:t>
            </w:r>
            <w:r w:rsidRPr="00267519">
              <w:rPr>
                <w:lang w:eastAsia="fr-FR"/>
              </w:rPr>
              <w:t xml:space="preserve">: création, développement, structuration. </w:t>
            </w:r>
          </w:p>
        </w:tc>
      </w:tr>
      <w:tr w:rsidR="00F42439" w:rsidRPr="00267519" w14:paraId="18D7DA92"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0B19B19D"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Services associés à l’outil d’ingénierie financière </w:t>
            </w:r>
            <w:r w:rsidRPr="00267519">
              <w:rPr>
                <w:rFonts w:eastAsia="Times New Roman" w:cs="Times New Roman"/>
                <w:color w:val="000000" w:themeColor="text1"/>
                <w:lang w:eastAsia="fr-FR"/>
              </w:rPr>
              <w:t> </w:t>
            </w:r>
          </w:p>
        </w:tc>
        <w:tc>
          <w:tcPr>
            <w:tcW w:w="6690" w:type="dxa"/>
            <w:hideMark/>
          </w:tcPr>
          <w:p w14:paraId="73BF9C30" w14:textId="77777777" w:rsidR="00F42439" w:rsidRPr="00267519" w:rsidRDefault="00F42439" w:rsidP="00204F06">
            <w:pPr>
              <w:pStyle w:val="Tablebullet1"/>
              <w:numPr>
                <w:ilvl w:val="0"/>
                <w:numId w:val="25"/>
              </w:numPr>
              <w:jc w:val="left"/>
              <w:rPr>
                <w:lang w:eastAsia="fr-FR"/>
              </w:rPr>
            </w:pPr>
            <w:r w:rsidRPr="00267519">
              <w:rPr>
                <w:lang w:eastAsia="fr-FR"/>
              </w:rPr>
              <w:t>Conseil, expertise de la part de l’investisseur</w:t>
            </w:r>
            <w:r w:rsidRPr="00267519">
              <w:rPr>
                <w:rFonts w:ascii="Arial" w:hAnsi="Arial" w:cs="Arial"/>
                <w:lang w:eastAsia="fr-FR"/>
              </w:rPr>
              <w:t> </w:t>
            </w:r>
            <w:r w:rsidRPr="00267519">
              <w:rPr>
                <w:lang w:eastAsia="fr-FR"/>
              </w:rPr>
              <w:t xml:space="preserve">: catalyseur financier, maîtrise d’ouvrage. </w:t>
            </w:r>
          </w:p>
        </w:tc>
      </w:tr>
      <w:tr w:rsidR="00F42439" w:rsidRPr="00267519" w14:paraId="2DAAACBE"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2BE8D3B4"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Pipeline de projets</w:t>
            </w:r>
            <w:r w:rsidRPr="00267519">
              <w:rPr>
                <w:rFonts w:eastAsia="Times New Roman" w:cs="Times New Roman"/>
                <w:color w:val="000000" w:themeColor="text1"/>
                <w:lang w:eastAsia="fr-FR"/>
              </w:rPr>
              <w:t> </w:t>
            </w:r>
          </w:p>
        </w:tc>
        <w:tc>
          <w:tcPr>
            <w:tcW w:w="6690" w:type="dxa"/>
            <w:hideMark/>
          </w:tcPr>
          <w:p w14:paraId="1E0E70DE" w14:textId="77777777" w:rsidR="00F42439" w:rsidRPr="00267519" w:rsidRDefault="00F42439" w:rsidP="00204F06">
            <w:pPr>
              <w:pStyle w:val="Tablebullet1"/>
              <w:numPr>
                <w:ilvl w:val="0"/>
                <w:numId w:val="25"/>
              </w:numPr>
              <w:jc w:val="left"/>
              <w:rPr>
                <w:lang w:eastAsia="fr-FR"/>
              </w:rPr>
            </w:pPr>
            <w:r w:rsidRPr="00267519">
              <w:rPr>
                <w:lang w:eastAsia="fr-FR"/>
              </w:rPr>
              <w:t>Stocks de projets reçus par an</w:t>
            </w:r>
            <w:r w:rsidRPr="00267519">
              <w:rPr>
                <w:rFonts w:ascii="Arial" w:hAnsi="Arial" w:cs="Arial"/>
                <w:lang w:eastAsia="fr-FR"/>
              </w:rPr>
              <w:t> </w:t>
            </w:r>
            <w:r w:rsidRPr="00267519">
              <w:rPr>
                <w:lang w:eastAsia="fr-FR"/>
              </w:rPr>
              <w:t>: 23 investissements immobiliers dans des SCI en 2019.</w:t>
            </w:r>
            <w:r w:rsidRPr="00267519">
              <w:t xml:space="preserve"> 21 participations portant un actif immobilier en exploitation.</w:t>
            </w:r>
          </w:p>
          <w:p w14:paraId="2B0CAB46" w14:textId="77777777" w:rsidR="00F42439" w:rsidRPr="00267519" w:rsidRDefault="00F42439" w:rsidP="00204F06">
            <w:pPr>
              <w:pStyle w:val="Tablebullet1"/>
              <w:numPr>
                <w:ilvl w:val="0"/>
                <w:numId w:val="25"/>
              </w:numPr>
              <w:jc w:val="left"/>
            </w:pPr>
            <w:r w:rsidRPr="00267519">
              <w:t>35 opérations en 20 ans. 10-15 sollicitations par an, 10% sont financées</w:t>
            </w:r>
          </w:p>
          <w:p w14:paraId="20135FDE" w14:textId="77777777" w:rsidR="00F42439" w:rsidRPr="00267519" w:rsidRDefault="00F42439" w:rsidP="00204F06">
            <w:pPr>
              <w:pStyle w:val="Tablebullet1"/>
              <w:numPr>
                <w:ilvl w:val="0"/>
                <w:numId w:val="25"/>
              </w:numPr>
              <w:jc w:val="left"/>
              <w:rPr>
                <w:lang w:eastAsia="fr-FR"/>
              </w:rPr>
            </w:pPr>
            <w:r w:rsidRPr="00267519">
              <w:rPr>
                <w:lang w:eastAsia="fr-FR"/>
              </w:rPr>
              <w:t>Fonds débloqués par projet en moyenne</w:t>
            </w:r>
            <w:r w:rsidRPr="00267519">
              <w:rPr>
                <w:rFonts w:ascii="Arial" w:hAnsi="Arial" w:cs="Arial"/>
                <w:lang w:eastAsia="fr-FR"/>
              </w:rPr>
              <w:t> </w:t>
            </w:r>
            <w:r w:rsidRPr="00267519">
              <w:rPr>
                <w:lang w:eastAsia="fr-FR"/>
              </w:rPr>
              <w:t xml:space="preserve">: 1M€ débloqué au total par an en moyenne. </w:t>
            </w:r>
          </w:p>
          <w:p w14:paraId="22518D69" w14:textId="77777777" w:rsidR="00F42439" w:rsidRPr="00267519" w:rsidRDefault="00F42439" w:rsidP="00204F06">
            <w:pPr>
              <w:pStyle w:val="Tablebullet1"/>
              <w:numPr>
                <w:ilvl w:val="0"/>
                <w:numId w:val="25"/>
              </w:numPr>
              <w:jc w:val="left"/>
              <w:rPr>
                <w:lang w:eastAsia="fr-FR"/>
              </w:rPr>
            </w:pPr>
            <w:r w:rsidRPr="00267519">
              <w:rPr>
                <w:lang w:eastAsia="fr-FR"/>
              </w:rPr>
              <w:t>Délai de réponse</w:t>
            </w:r>
            <w:r w:rsidRPr="00267519">
              <w:rPr>
                <w:rFonts w:ascii="Arial" w:hAnsi="Arial" w:cs="Arial"/>
                <w:lang w:eastAsia="fr-FR"/>
              </w:rPr>
              <w:t> </w:t>
            </w:r>
            <w:r w:rsidRPr="00267519">
              <w:rPr>
                <w:lang w:eastAsia="fr-FR"/>
              </w:rPr>
              <w:t>: ND</w:t>
            </w:r>
          </w:p>
        </w:tc>
      </w:tr>
      <w:tr w:rsidR="00F42439" w:rsidRPr="00267519" w14:paraId="32B0F9DC"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07B1C653"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Articulation / cohérence avec d’autres outils existants</w:t>
            </w:r>
            <w:r w:rsidRPr="00267519">
              <w:rPr>
                <w:rFonts w:eastAsia="Times New Roman" w:cs="Times New Roman"/>
                <w:color w:val="000000" w:themeColor="text1"/>
                <w:lang w:eastAsia="fr-FR"/>
              </w:rPr>
              <w:t> </w:t>
            </w:r>
          </w:p>
        </w:tc>
        <w:tc>
          <w:tcPr>
            <w:tcW w:w="6690" w:type="dxa"/>
            <w:hideMark/>
          </w:tcPr>
          <w:p w14:paraId="4A1214B3" w14:textId="77777777" w:rsidR="00F42439" w:rsidRPr="00267519" w:rsidRDefault="00F42439" w:rsidP="00204F06">
            <w:pPr>
              <w:pStyle w:val="Tablebullet1"/>
              <w:numPr>
                <w:ilvl w:val="0"/>
                <w:numId w:val="25"/>
              </w:numPr>
              <w:jc w:val="left"/>
              <w:rPr>
                <w:lang w:eastAsia="fr-FR"/>
              </w:rPr>
            </w:pPr>
            <w:r w:rsidRPr="00267519">
              <w:rPr>
                <w:lang w:eastAsia="fr-FR"/>
              </w:rPr>
              <w:t>Liens avec d’autres instruments de financement</w:t>
            </w:r>
            <w:r w:rsidRPr="00267519">
              <w:rPr>
                <w:rFonts w:ascii="Arial" w:hAnsi="Arial" w:cs="Arial"/>
                <w:lang w:eastAsia="fr-FR"/>
              </w:rPr>
              <w:t> </w:t>
            </w:r>
            <w:r w:rsidRPr="00267519">
              <w:rPr>
                <w:lang w:eastAsia="fr-FR"/>
              </w:rPr>
              <w:t>: ND</w:t>
            </w:r>
          </w:p>
        </w:tc>
      </w:tr>
      <w:tr w:rsidR="00F42439" w:rsidRPr="00267519" w14:paraId="29D73A39"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4A6E36CD"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Caractérisation juridique</w:t>
            </w:r>
            <w:r w:rsidRPr="00267519">
              <w:rPr>
                <w:rFonts w:eastAsia="Times New Roman" w:cs="Times New Roman"/>
                <w:color w:val="000000" w:themeColor="text1"/>
                <w:lang w:eastAsia="fr-FR"/>
              </w:rPr>
              <w:t> </w:t>
            </w:r>
          </w:p>
        </w:tc>
        <w:tc>
          <w:tcPr>
            <w:tcW w:w="6690" w:type="dxa"/>
            <w:hideMark/>
          </w:tcPr>
          <w:p w14:paraId="01393410" w14:textId="77777777" w:rsidR="00F42439" w:rsidRPr="00267519" w:rsidRDefault="00F42439" w:rsidP="00204F06">
            <w:pPr>
              <w:pStyle w:val="Tablebullet1"/>
              <w:numPr>
                <w:ilvl w:val="0"/>
                <w:numId w:val="25"/>
              </w:numPr>
              <w:jc w:val="left"/>
              <w:rPr>
                <w:lang w:eastAsia="fr-FR"/>
              </w:rPr>
            </w:pPr>
            <w:r w:rsidRPr="00267519">
              <w:rPr>
                <w:lang w:eastAsia="fr-FR"/>
              </w:rPr>
              <w:t>Fonds publics : ND</w:t>
            </w:r>
          </w:p>
          <w:p w14:paraId="0A8EF846" w14:textId="77777777" w:rsidR="00F42439" w:rsidRPr="00267519" w:rsidRDefault="00F42439" w:rsidP="00204F06">
            <w:pPr>
              <w:pStyle w:val="Tablebullet1"/>
              <w:numPr>
                <w:ilvl w:val="0"/>
                <w:numId w:val="25"/>
              </w:numPr>
              <w:jc w:val="left"/>
              <w:rPr>
                <w:lang w:eastAsia="fr-FR"/>
              </w:rPr>
            </w:pPr>
            <w:r w:rsidRPr="00267519">
              <w:rPr>
                <w:lang w:eastAsia="fr-FR"/>
              </w:rPr>
              <w:t>Reçoit du FEDER : ND</w:t>
            </w:r>
          </w:p>
        </w:tc>
      </w:tr>
      <w:tr w:rsidR="00F42439" w:rsidRPr="00267519" w14:paraId="6859FEA4"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40E162CD"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Identification des prescripteurs</w:t>
            </w:r>
            <w:r w:rsidRPr="00267519">
              <w:rPr>
                <w:rFonts w:eastAsia="Times New Roman" w:cs="Times New Roman"/>
                <w:color w:val="000000" w:themeColor="text1"/>
                <w:lang w:eastAsia="fr-FR"/>
              </w:rPr>
              <w:t> </w:t>
            </w:r>
          </w:p>
        </w:tc>
        <w:tc>
          <w:tcPr>
            <w:tcW w:w="6690" w:type="dxa"/>
            <w:hideMark/>
          </w:tcPr>
          <w:p w14:paraId="21983C9C" w14:textId="77777777" w:rsidR="00F42439" w:rsidRPr="00267519" w:rsidRDefault="00F42439" w:rsidP="00204F06">
            <w:pPr>
              <w:pStyle w:val="Tablebullet1"/>
              <w:numPr>
                <w:ilvl w:val="0"/>
                <w:numId w:val="25"/>
              </w:numPr>
              <w:jc w:val="left"/>
              <w:rPr>
                <w:lang w:eastAsia="fr-FR"/>
              </w:rPr>
            </w:pPr>
            <w:r w:rsidRPr="00267519">
              <w:rPr>
                <w:lang w:eastAsia="fr-FR"/>
              </w:rPr>
              <w:t>Noms des principaux prescripteurs de l’instrument</w:t>
            </w:r>
            <w:r w:rsidRPr="00267519">
              <w:rPr>
                <w:rFonts w:ascii="Arial" w:hAnsi="Arial" w:cs="Arial"/>
                <w:lang w:eastAsia="fr-FR"/>
              </w:rPr>
              <w:t> </w:t>
            </w:r>
            <w:r w:rsidRPr="00267519">
              <w:rPr>
                <w:lang w:eastAsia="fr-FR"/>
              </w:rPr>
              <w:t>: ND</w:t>
            </w:r>
          </w:p>
        </w:tc>
      </w:tr>
      <w:tr w:rsidR="00F42439" w:rsidRPr="00267519" w14:paraId="13979EFB"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5F8ACED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Performance du portefeuille et système de suivi interne</w:t>
            </w:r>
            <w:r w:rsidRPr="00267519">
              <w:rPr>
                <w:rFonts w:eastAsia="Times New Roman" w:cs="Times New Roman"/>
                <w:color w:val="000000" w:themeColor="text1"/>
                <w:lang w:eastAsia="fr-FR"/>
              </w:rPr>
              <w:t> </w:t>
            </w:r>
          </w:p>
        </w:tc>
        <w:tc>
          <w:tcPr>
            <w:tcW w:w="6690" w:type="dxa"/>
            <w:hideMark/>
          </w:tcPr>
          <w:p w14:paraId="6B2DF235" w14:textId="77777777" w:rsidR="00F42439" w:rsidRPr="00267519" w:rsidRDefault="00F42439" w:rsidP="00204F06">
            <w:pPr>
              <w:pStyle w:val="Tablebullet1"/>
              <w:numPr>
                <w:ilvl w:val="0"/>
                <w:numId w:val="25"/>
              </w:numPr>
              <w:jc w:val="left"/>
              <w:rPr>
                <w:lang w:eastAsia="fr-FR"/>
              </w:rPr>
            </w:pPr>
            <w:r w:rsidRPr="00267519">
              <w:rPr>
                <w:lang w:eastAsia="fr-FR"/>
              </w:rPr>
              <w:t>Effet de levier financier / Effet de levier qualitatif</w:t>
            </w:r>
            <w:r w:rsidRPr="00267519">
              <w:rPr>
                <w:rFonts w:ascii="Arial" w:hAnsi="Arial" w:cs="Arial"/>
                <w:lang w:eastAsia="fr-FR"/>
              </w:rPr>
              <w:t> </w:t>
            </w:r>
            <w:r w:rsidRPr="00267519">
              <w:rPr>
                <w:lang w:eastAsia="fr-FR"/>
              </w:rPr>
              <w:t>:</w:t>
            </w:r>
            <w:r w:rsidRPr="00267519">
              <w:t xml:space="preserve"> 8 </w:t>
            </w:r>
            <w:r w:rsidRPr="00267519">
              <w:rPr>
                <w:lang w:eastAsia="fr-FR"/>
              </w:rPr>
              <w:t xml:space="preserve">(1 M€ de fonds propres Batixia – 8 M€ d’investissement). </w:t>
            </w:r>
          </w:p>
          <w:p w14:paraId="5CB1CEDE" w14:textId="77777777" w:rsidR="00F42439" w:rsidRPr="00267519" w:rsidRDefault="00F42439" w:rsidP="00204F06">
            <w:pPr>
              <w:pStyle w:val="Tablebullet1"/>
              <w:numPr>
                <w:ilvl w:val="0"/>
                <w:numId w:val="25"/>
              </w:numPr>
              <w:jc w:val="left"/>
              <w:rPr>
                <w:lang w:eastAsia="fr-FR"/>
              </w:rPr>
            </w:pPr>
            <w:r w:rsidRPr="00267519">
              <w:rPr>
                <w:lang w:eastAsia="fr-FR"/>
              </w:rPr>
              <w:t>Taux de retour sur investissement / Taux de défaillance (garantie, prêt)</w:t>
            </w:r>
            <w:r w:rsidRPr="00267519">
              <w:rPr>
                <w:rFonts w:ascii="Arial" w:hAnsi="Arial" w:cs="Arial"/>
                <w:lang w:eastAsia="fr-FR"/>
              </w:rPr>
              <w:t>  </w:t>
            </w:r>
            <w:r w:rsidRPr="00267519">
              <w:rPr>
                <w:lang w:eastAsia="fr-FR"/>
              </w:rPr>
              <w:t>: ND</w:t>
            </w:r>
          </w:p>
          <w:p w14:paraId="2C59FEFB" w14:textId="77777777" w:rsidR="00F42439" w:rsidRPr="00267519" w:rsidRDefault="00F42439" w:rsidP="00204F06">
            <w:pPr>
              <w:pStyle w:val="Tablebullet1"/>
              <w:numPr>
                <w:ilvl w:val="0"/>
                <w:numId w:val="25"/>
              </w:numPr>
              <w:jc w:val="left"/>
              <w:rPr>
                <w:lang w:eastAsia="fr-FR"/>
              </w:rPr>
            </w:pPr>
            <w:r w:rsidRPr="00267519">
              <w:rPr>
                <w:lang w:eastAsia="fr-FR"/>
              </w:rPr>
              <w:t>Recyclage des fonds</w:t>
            </w:r>
            <w:r w:rsidRPr="00267519">
              <w:rPr>
                <w:rFonts w:ascii="Arial" w:hAnsi="Arial" w:cs="Arial"/>
                <w:lang w:eastAsia="fr-FR"/>
              </w:rPr>
              <w:t> </w:t>
            </w:r>
            <w:r w:rsidRPr="00267519">
              <w:rPr>
                <w:lang w:eastAsia="fr-FR"/>
              </w:rPr>
              <w:t>: ND</w:t>
            </w:r>
          </w:p>
        </w:tc>
      </w:tr>
      <w:tr w:rsidR="00F42439" w:rsidRPr="00267519" w14:paraId="7E11AFA0"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3ABAB4B6"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Stratégie à 5 ans</w:t>
            </w:r>
            <w:r w:rsidRPr="00267519">
              <w:rPr>
                <w:rFonts w:eastAsia="Times New Roman" w:cs="Times New Roman"/>
                <w:color w:val="000000" w:themeColor="text1"/>
                <w:lang w:eastAsia="fr-FR"/>
              </w:rPr>
              <w:t> </w:t>
            </w:r>
          </w:p>
        </w:tc>
        <w:tc>
          <w:tcPr>
            <w:tcW w:w="6690" w:type="dxa"/>
            <w:hideMark/>
          </w:tcPr>
          <w:p w14:paraId="27B3866E" w14:textId="77777777" w:rsidR="00F42439" w:rsidRPr="00267519" w:rsidRDefault="00F42439" w:rsidP="00204F06">
            <w:pPr>
              <w:pStyle w:val="Tablebullet1"/>
              <w:numPr>
                <w:ilvl w:val="0"/>
                <w:numId w:val="25"/>
              </w:numPr>
              <w:jc w:val="left"/>
              <w:rPr>
                <w:rFonts w:eastAsiaTheme="majorEastAsia" w:cstheme="majorBidi"/>
                <w:lang w:eastAsia="fr-FR"/>
              </w:rPr>
            </w:pPr>
            <w:r w:rsidRPr="00267519">
              <w:rPr>
                <w:lang w:eastAsia="fr-FR"/>
              </w:rPr>
              <w:t xml:space="preserve">Restructuration actuelle de l’outil, </w:t>
            </w:r>
            <w:proofErr w:type="spellStart"/>
            <w:r w:rsidRPr="00267519">
              <w:rPr>
                <w:lang w:eastAsia="fr-FR"/>
              </w:rPr>
              <w:t>reflexion</w:t>
            </w:r>
            <w:proofErr w:type="spellEnd"/>
            <w:r w:rsidRPr="00267519">
              <w:rPr>
                <w:lang w:eastAsia="fr-FR"/>
              </w:rPr>
              <w:t xml:space="preserve"> avec les actionnaires</w:t>
            </w:r>
          </w:p>
          <w:p w14:paraId="2D38FB69" w14:textId="77777777" w:rsidR="00F42439" w:rsidRPr="00267519" w:rsidRDefault="00F42439" w:rsidP="00A427F0">
            <w:pPr>
              <w:pStyle w:val="Tablebullet1"/>
              <w:numPr>
                <w:ilvl w:val="0"/>
                <w:numId w:val="0"/>
              </w:numPr>
              <w:rPr>
                <w:lang w:eastAsia="fr-FR"/>
              </w:rPr>
            </w:pPr>
          </w:p>
        </w:tc>
      </w:tr>
    </w:tbl>
    <w:p w14:paraId="078B8E15" w14:textId="77777777" w:rsidR="00F42439" w:rsidRPr="00267519" w:rsidRDefault="00F42439" w:rsidP="00F42439">
      <w:pPr>
        <w:pStyle w:val="BodyText"/>
      </w:pPr>
    </w:p>
    <w:p w14:paraId="6ED4B6F1" w14:textId="77777777" w:rsidR="00DF7E4D" w:rsidRPr="00B55B64" w:rsidRDefault="00DF7E4D"/>
    <w:tbl>
      <w:tblPr>
        <w:tblW w:w="9688" w:type="dxa"/>
        <w:tblLayout w:type="fixed"/>
        <w:tblCellMar>
          <w:left w:w="0" w:type="dxa"/>
          <w:right w:w="0" w:type="dxa"/>
        </w:tblCellMar>
        <w:tblLook w:val="04A0" w:firstRow="1" w:lastRow="0" w:firstColumn="1" w:lastColumn="0" w:noHBand="0" w:noVBand="1"/>
      </w:tblPr>
      <w:tblGrid>
        <w:gridCol w:w="9688"/>
      </w:tblGrid>
      <w:tr w:rsidR="003C13D2" w:rsidRPr="00FB6623" w14:paraId="1CA2F1BB" w14:textId="77777777" w:rsidTr="2EB32BDA">
        <w:trPr>
          <w:cantSplit/>
          <w:trHeight w:val="12743"/>
        </w:trPr>
        <w:tc>
          <w:tcPr>
            <w:tcW w:w="9688" w:type="dxa"/>
            <w:vAlign w:val="bottom"/>
          </w:tcPr>
          <w:p w14:paraId="663F2102" w14:textId="77777777" w:rsidR="003C13D2" w:rsidRPr="00B55B64" w:rsidRDefault="003C13D2" w:rsidP="005D1E80">
            <w:r>
              <w:rPr>
                <w:noProof/>
                <w:lang w:eastAsia="fr-FR"/>
              </w:rPr>
              <w:drawing>
                <wp:inline distT="0" distB="0" distL="0" distR="0" wp14:anchorId="1E8435ED" wp14:editId="26E9F6C2">
                  <wp:extent cx="1440000" cy="289081"/>
                  <wp:effectExtent l="0" t="0" r="8255"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0">
                            <a:extLst>
                              <a:ext uri="{28A0092B-C50C-407E-A947-70E740481C1C}">
                                <a14:useLocalDpi xmlns:a14="http://schemas.microsoft.com/office/drawing/2010/main" val="0"/>
                              </a:ext>
                            </a:extLst>
                          </a:blip>
                          <a:stretch>
                            <a:fillRect/>
                          </a:stretch>
                        </pic:blipFill>
                        <pic:spPr>
                          <a:xfrm>
                            <a:off x="0" y="0"/>
                            <a:ext cx="1440000" cy="289081"/>
                          </a:xfrm>
                          <a:prstGeom prst="rect">
                            <a:avLst/>
                          </a:prstGeom>
                        </pic:spPr>
                      </pic:pic>
                    </a:graphicData>
                  </a:graphic>
                </wp:inline>
              </w:drawing>
            </w:r>
          </w:p>
          <w:p w14:paraId="1EE231F4" w14:textId="77777777" w:rsidR="003C13D2" w:rsidRPr="00B55B64" w:rsidRDefault="003C13D2" w:rsidP="005D1E80"/>
          <w:p w14:paraId="66A32A84" w14:textId="7FF8EC0E" w:rsidR="003C13D2" w:rsidRPr="00FB6623" w:rsidRDefault="00B455B7" w:rsidP="005D1E80">
            <w:hyperlink r:id="rId51" w:history="1">
              <w:r w:rsidR="00F42170" w:rsidRPr="00B55B64">
                <w:rPr>
                  <w:rStyle w:val="Hyperlink"/>
                </w:rPr>
                <w:t>www.technopolis-group.com</w:t>
              </w:r>
            </w:hyperlink>
          </w:p>
        </w:tc>
      </w:tr>
    </w:tbl>
    <w:p w14:paraId="4CC937C0" w14:textId="77777777" w:rsidR="00BD37B9" w:rsidRPr="00BD37B9" w:rsidRDefault="00BD37B9" w:rsidP="003C13D2">
      <w:pPr>
        <w:pStyle w:val="BodyText"/>
      </w:pPr>
    </w:p>
    <w:sectPr w:rsidR="00BD37B9" w:rsidRPr="00BD37B9" w:rsidSect="003C13D2">
      <w:pgSz w:w="11907" w:h="16839" w:code="9"/>
      <w:pgMar w:top="1701" w:right="1134" w:bottom="1701" w:left="170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EEB4F" w14:textId="77777777" w:rsidR="00AA0D3D" w:rsidRDefault="00AA0D3D" w:rsidP="004201C7">
      <w:pPr>
        <w:spacing w:after="0" w:line="240" w:lineRule="auto"/>
      </w:pPr>
      <w:r>
        <w:separator/>
      </w:r>
    </w:p>
    <w:p w14:paraId="50F6056C" w14:textId="77777777" w:rsidR="00AA0D3D" w:rsidRDefault="00AA0D3D"/>
    <w:p w14:paraId="093AE444" w14:textId="77777777" w:rsidR="00AA0D3D" w:rsidRDefault="00AA0D3D"/>
    <w:p w14:paraId="3353CAFD" w14:textId="77777777" w:rsidR="00AA0D3D" w:rsidRDefault="00AA0D3D"/>
  </w:endnote>
  <w:endnote w:type="continuationSeparator" w:id="0">
    <w:p w14:paraId="60E5F18C" w14:textId="77777777" w:rsidR="00AA0D3D" w:rsidRDefault="00AA0D3D" w:rsidP="004201C7">
      <w:pPr>
        <w:spacing w:after="0" w:line="240" w:lineRule="auto"/>
      </w:pPr>
      <w:r>
        <w:continuationSeparator/>
      </w:r>
    </w:p>
    <w:p w14:paraId="70706764" w14:textId="77777777" w:rsidR="00AA0D3D" w:rsidRDefault="00AA0D3D"/>
    <w:p w14:paraId="233B57DF" w14:textId="77777777" w:rsidR="00AA0D3D" w:rsidRDefault="00AA0D3D"/>
    <w:p w14:paraId="36A6D942" w14:textId="77777777" w:rsidR="00AA0D3D" w:rsidRDefault="00AA0D3D"/>
  </w:endnote>
  <w:endnote w:type="continuationNotice" w:id="1">
    <w:p w14:paraId="4F8FDAA9" w14:textId="77777777" w:rsidR="00AA0D3D" w:rsidRDefault="00AA0D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eiryo">
    <w:altName w:val="メイリオ"/>
    <w:panose1 w:val="00000000000000000000"/>
    <w:charset w:val="80"/>
    <w:family w:val="roman"/>
    <w:notTrueType/>
    <w:pitch w:val="default"/>
  </w:font>
  <w:font w:name="Century Goth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EYInterstate Light">
    <w:altName w:val="Calibri"/>
    <w:charset w:val="CC"/>
    <w:family w:val="auto"/>
    <w:pitch w:val="variable"/>
    <w:sig w:usb0="A00002AF" w:usb1="5000206A"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ppleSystemUIFontBold">
    <w:altName w:val="Calibri"/>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5083919"/>
      <w:docPartObj>
        <w:docPartGallery w:val="Page Numbers (Bottom of Page)"/>
        <w:docPartUnique/>
      </w:docPartObj>
    </w:sdtPr>
    <w:sdtContent>
      <w:p w14:paraId="088474CE" w14:textId="77777777" w:rsidR="00356A54" w:rsidRDefault="00356A54" w:rsidP="00DC4E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5C81BD94" w14:textId="77777777" w:rsidR="00356A54" w:rsidRDefault="00356A54" w:rsidP="00361B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E115" w14:textId="0BB2995C" w:rsidR="00356A54" w:rsidRDefault="00356A54" w:rsidP="00361B05">
    <w:pPr>
      <w:pStyle w:val="Footer"/>
      <w:ind w:right="360"/>
    </w:pPr>
    <w:r>
      <w:rPr>
        <w:noProof/>
        <w:lang w:eastAsia="fr-FR"/>
      </w:rPr>
      <mc:AlternateContent>
        <mc:Choice Requires="wps">
          <w:drawing>
            <wp:anchor distT="0" distB="0" distL="114300" distR="114300" simplePos="0" relativeHeight="251658242" behindDoc="0" locked="0" layoutInCell="1" allowOverlap="1" wp14:anchorId="443AABF0" wp14:editId="19E2DFFF">
              <wp:simplePos x="0" y="0"/>
              <wp:positionH relativeFrom="rightMargin">
                <wp:posOffset>-107950</wp:posOffset>
              </wp:positionH>
              <wp:positionV relativeFrom="paragraph">
                <wp:posOffset>0</wp:posOffset>
              </wp:positionV>
              <wp:extent cx="108000" cy="162000"/>
              <wp:effectExtent l="0" t="0" r="6350" b="9525"/>
              <wp:wrapNone/>
              <wp:docPr id="19" name="Text Box 19"/>
              <wp:cNvGraphicFramePr/>
              <a:graphic xmlns:a="http://schemas.openxmlformats.org/drawingml/2006/main">
                <a:graphicData uri="http://schemas.microsoft.com/office/word/2010/wordprocessingShape">
                  <wps:wsp>
                    <wps:cNvSpPr txBox="1"/>
                    <wps:spPr bwMode="auto">
                      <a:xfrm>
                        <a:off x="0" y="0"/>
                        <a:ext cx="108000" cy="162000"/>
                      </a:xfrm>
                      <a:prstGeom prst="rect">
                        <a:avLst/>
                      </a:prstGeom>
                      <a:solidFill>
                        <a:srgbClr val="FFFFFF"/>
                      </a:solidFill>
                      <a:ln w="9525">
                        <a:noFill/>
                        <a:miter lim="800000"/>
                        <a:headEnd/>
                        <a:tailEnd/>
                      </a:ln>
                    </wps:spPr>
                    <wps:txbx>
                      <w:txbxContent>
                        <w:p w14:paraId="78CE76D3" w14:textId="2D331958" w:rsidR="00356A54" w:rsidRPr="00F0782C" w:rsidRDefault="00356A54" w:rsidP="0018261B">
                          <w:pPr>
                            <w:spacing w:after="0"/>
                            <w:jc w:val="right"/>
                            <w:rPr>
                              <w:color w:val="C73C3A" w:themeColor="accent1"/>
                            </w:rPr>
                          </w:pPr>
                          <w:r w:rsidRPr="00F0782C">
                            <w:rPr>
                              <w:color w:val="C73C3A" w:themeColor="accent1"/>
                            </w:rPr>
                            <w:fldChar w:fldCharType="begin"/>
                          </w:r>
                          <w:r w:rsidRPr="00F0782C">
                            <w:rPr>
                              <w:color w:val="C73C3A" w:themeColor="accent1"/>
                            </w:rPr>
                            <w:instrText xml:space="preserve"> PAGE   \* MERGEFORMAT </w:instrText>
                          </w:r>
                          <w:r w:rsidRPr="00F0782C">
                            <w:rPr>
                              <w:color w:val="C73C3A" w:themeColor="accent1"/>
                            </w:rPr>
                            <w:fldChar w:fldCharType="separate"/>
                          </w:r>
                          <w:r w:rsidR="000D4248">
                            <w:rPr>
                              <w:noProof/>
                              <w:color w:val="C73C3A" w:themeColor="accent1"/>
                            </w:rPr>
                            <w:t>i</w:t>
                          </w:r>
                          <w:r w:rsidRPr="00F0782C">
                            <w:rPr>
                              <w:noProof/>
                              <w:color w:val="C73C3A" w:themeColor="accen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AABF0" id="_x0000_t202" coordsize="21600,21600" o:spt="202" path="m,l,21600r21600,l21600,xe">
              <v:stroke joinstyle="miter"/>
              <v:path gradientshapeok="t" o:connecttype="rect"/>
            </v:shapetype>
            <v:shape id="Text Box 19" o:spid="_x0000_s1026" type="#_x0000_t202" style="position:absolute;margin-left:-8.5pt;margin-top:0;width:8.5pt;height:12.75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" stroked="f">
              <v:textbox inset="0,0,0,0">
                <w:txbxContent>
                  <w:p w14:paraId="78CE76D3" w14:textId="2D331958" w:rsidR="00356A54" w:rsidRPr="00F0782C" w:rsidRDefault="00356A54" w:rsidP="0018261B">
                    <w:pPr>
                      <w:spacing w:after="0"/>
                      <w:jc w:val="right"/>
                      <w:rPr>
                        <w:color w:val="C73C3A" w:themeColor="accent1"/>
                      </w:rPr>
                    </w:pPr>
                    <w:r w:rsidRPr="00F0782C">
                      <w:rPr>
                        <w:color w:val="C73C3A" w:themeColor="accent1"/>
                      </w:rPr>
                      <w:fldChar w:fldCharType="begin"/>
                    </w:r>
                    <w:r w:rsidRPr="00F0782C">
                      <w:rPr>
                        <w:color w:val="C73C3A" w:themeColor="accent1"/>
                      </w:rPr>
                      <w:instrText xml:space="preserve"> PAGE   \* MERGEFORMAT </w:instrText>
                    </w:r>
                    <w:r w:rsidRPr="00F0782C">
                      <w:rPr>
                        <w:color w:val="C73C3A" w:themeColor="accent1"/>
                      </w:rPr>
                      <w:fldChar w:fldCharType="separate"/>
                    </w:r>
                    <w:r w:rsidR="000D4248">
                      <w:rPr>
                        <w:noProof/>
                        <w:color w:val="C73C3A" w:themeColor="accent1"/>
                      </w:rPr>
                      <w:t>i</w:t>
                    </w:r>
                    <w:r w:rsidRPr="00F0782C">
                      <w:rPr>
                        <w:noProof/>
                        <w:color w:val="C73C3A" w:themeColor="accent1"/>
                      </w:rPr>
                      <w:fldChar w:fldCharType="end"/>
                    </w:r>
                  </w:p>
                </w:txbxContent>
              </v:textbox>
              <w10:wrap anchorx="margin"/>
            </v:shape>
          </w:pict>
        </mc:Fallback>
      </mc:AlternateContent>
    </w:r>
    <w:sdt>
      <w:sdtPr>
        <w:alias w:val="Title"/>
        <w:tag w:val=""/>
        <w:id w:val="1261564545"/>
        <w:placeholder>
          <w:docPart w:val="A73D6C17310444DCAA6067E4646241F7"/>
        </w:placeholder>
        <w:dataBinding w:prefixMappings="xmlns:ns0='http://purl.org/dc/elements/1.1/' xmlns:ns1='http://schemas.openxmlformats.org/package/2006/metadata/core-properties' " w:xpath="/ns1:coreProperties[1]/ns0:title[1]" w:storeItemID="{6C3C8BC8-F283-45AE-878A-BAB7291924A1}"/>
        <w:text/>
      </w:sdtPr>
      <w:sdtContent>
        <w:r>
          <w:t>Mission d’évaluation ex-ante à la mise en place d’instruments financiers dans le cadre du programme opérationnel 2021-2027 FEDER-FSE de la Région Hauts-de-France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063F" w14:textId="77777777" w:rsidR="00356A54" w:rsidRPr="00723857" w:rsidRDefault="00356A54">
    <w:pPr>
      <w:pStyle w:val="Footer"/>
      <w:rPr>
        <w:sz w:val="18"/>
        <w:szCs w:val="18"/>
      </w:rPr>
    </w:pPr>
    <w:r w:rsidRPr="00723857">
      <w:rPr>
        <w:sz w:val="18"/>
        <w:szCs w:val="18"/>
      </w:rPr>
      <w:t>www.technopolis-group.com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EB8C5" w14:textId="14232DB2" w:rsidR="00356A54" w:rsidRDefault="00356A54" w:rsidP="00361B05">
    <w:pPr>
      <w:pStyle w:val="Footer"/>
      <w:ind w:right="360"/>
    </w:pPr>
    <w:r>
      <w:rPr>
        <w:noProof/>
        <w:lang w:eastAsia="fr-FR"/>
      </w:rPr>
      <mc:AlternateContent>
        <mc:Choice Requires="wps">
          <w:drawing>
            <wp:anchor distT="0" distB="0" distL="114300" distR="114300" simplePos="0" relativeHeight="251658241" behindDoc="0" locked="0" layoutInCell="1" allowOverlap="1" wp14:anchorId="10DA6714" wp14:editId="25B111AE">
              <wp:simplePos x="0" y="0"/>
              <wp:positionH relativeFrom="rightMargin">
                <wp:posOffset>-107950</wp:posOffset>
              </wp:positionH>
              <wp:positionV relativeFrom="paragraph">
                <wp:posOffset>0</wp:posOffset>
              </wp:positionV>
              <wp:extent cx="108000" cy="162000"/>
              <wp:effectExtent l="0" t="0" r="6350" b="9525"/>
              <wp:wrapNone/>
              <wp:docPr id="2" name="Text Box 2"/>
              <wp:cNvGraphicFramePr/>
              <a:graphic xmlns:a="http://schemas.openxmlformats.org/drawingml/2006/main">
                <a:graphicData uri="http://schemas.microsoft.com/office/word/2010/wordprocessingShape">
                  <wps:wsp>
                    <wps:cNvSpPr txBox="1"/>
                    <wps:spPr bwMode="auto">
                      <a:xfrm>
                        <a:off x="0" y="0"/>
                        <a:ext cx="108000" cy="162000"/>
                      </a:xfrm>
                      <a:prstGeom prst="rect">
                        <a:avLst/>
                      </a:prstGeom>
                      <a:solidFill>
                        <a:srgbClr val="FFFFFF"/>
                      </a:solidFill>
                      <a:ln w="9525">
                        <a:noFill/>
                        <a:miter lim="800000"/>
                        <a:headEnd/>
                        <a:tailEnd/>
                      </a:ln>
                    </wps:spPr>
                    <wps:txbx>
                      <w:txbxContent>
                        <w:p w14:paraId="40FFF1F7" w14:textId="620149A7" w:rsidR="00356A54" w:rsidRPr="00F0782C" w:rsidRDefault="00356A54" w:rsidP="0018261B">
                          <w:pPr>
                            <w:spacing w:after="0"/>
                            <w:jc w:val="right"/>
                            <w:rPr>
                              <w:color w:val="C73C3A" w:themeColor="accent1"/>
                            </w:rPr>
                          </w:pPr>
                          <w:r w:rsidRPr="00F0782C">
                            <w:rPr>
                              <w:color w:val="C73C3A" w:themeColor="accent1"/>
                            </w:rPr>
                            <w:fldChar w:fldCharType="begin"/>
                          </w:r>
                          <w:r w:rsidRPr="00F0782C">
                            <w:rPr>
                              <w:color w:val="C73C3A" w:themeColor="accent1"/>
                            </w:rPr>
                            <w:instrText xml:space="preserve"> PAGE   \* MERGEFORMAT </w:instrText>
                          </w:r>
                          <w:r w:rsidRPr="00F0782C">
                            <w:rPr>
                              <w:color w:val="C73C3A" w:themeColor="accent1"/>
                            </w:rPr>
                            <w:fldChar w:fldCharType="separate"/>
                          </w:r>
                          <w:r w:rsidR="000D4248">
                            <w:rPr>
                              <w:noProof/>
                              <w:color w:val="C73C3A" w:themeColor="accent1"/>
                            </w:rPr>
                            <w:t>62</w:t>
                          </w:r>
                          <w:r w:rsidRPr="00F0782C">
                            <w:rPr>
                              <w:noProof/>
                              <w:color w:val="C73C3A" w:themeColor="accen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A6714" id="_x0000_t202" coordsize="21600,21600" o:spt="202" path="m,l,21600r21600,l21600,xe">
              <v:stroke joinstyle="miter"/>
              <v:path gradientshapeok="t" o:connecttype="rect"/>
            </v:shapetype>
            <v:shape id="Text Box 2" o:spid="_x0000_s1027" type="#_x0000_t202" style="position:absolute;margin-left:-8.5pt;margin-top:0;width:8.5pt;height:12.75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" stroked="f">
              <v:textbox inset="0,0,0,0">
                <w:txbxContent>
                  <w:p w14:paraId="40FFF1F7" w14:textId="620149A7" w:rsidR="00356A54" w:rsidRPr="00F0782C" w:rsidRDefault="00356A54" w:rsidP="0018261B">
                    <w:pPr>
                      <w:spacing w:after="0"/>
                      <w:jc w:val="right"/>
                      <w:rPr>
                        <w:color w:val="C73C3A" w:themeColor="accent1"/>
                      </w:rPr>
                    </w:pPr>
                    <w:r w:rsidRPr="00F0782C">
                      <w:rPr>
                        <w:color w:val="C73C3A" w:themeColor="accent1"/>
                      </w:rPr>
                      <w:fldChar w:fldCharType="begin"/>
                    </w:r>
                    <w:r w:rsidRPr="00F0782C">
                      <w:rPr>
                        <w:color w:val="C73C3A" w:themeColor="accent1"/>
                      </w:rPr>
                      <w:instrText xml:space="preserve"> PAGE   \* MERGEFORMAT </w:instrText>
                    </w:r>
                    <w:r w:rsidRPr="00F0782C">
                      <w:rPr>
                        <w:color w:val="C73C3A" w:themeColor="accent1"/>
                      </w:rPr>
                      <w:fldChar w:fldCharType="separate"/>
                    </w:r>
                    <w:r w:rsidR="000D4248">
                      <w:rPr>
                        <w:noProof/>
                        <w:color w:val="C73C3A" w:themeColor="accent1"/>
                      </w:rPr>
                      <w:t>62</w:t>
                    </w:r>
                    <w:r w:rsidRPr="00F0782C">
                      <w:rPr>
                        <w:noProof/>
                        <w:color w:val="C73C3A" w:themeColor="accent1"/>
                      </w:rPr>
                      <w:fldChar w:fldCharType="end"/>
                    </w:r>
                  </w:p>
                </w:txbxContent>
              </v:textbox>
              <w10:wrap anchorx="margin"/>
            </v:shape>
          </w:pict>
        </mc:Fallback>
      </mc:AlternateContent>
    </w:r>
    <w:sdt>
      <w:sdtPr>
        <w:alias w:val="Title"/>
        <w:tag w:val=""/>
        <w:id w:val="-90246837"/>
        <w:dataBinding w:prefixMappings="xmlns:ns0='http://purl.org/dc/elements/1.1/' xmlns:ns1='http://schemas.openxmlformats.org/package/2006/metadata/core-properties' " w:xpath="/ns1:coreProperties[1]/ns0:title[1]" w:storeItemID="{6C3C8BC8-F283-45AE-878A-BAB7291924A1}"/>
        <w:text/>
      </w:sdtPr>
      <w:sdtContent>
        <w:r>
          <w:t>Mission d’évaluation ex-ante à la mise en place d’instruments financiers dans le cadre du programme opérationnel 2021-2027 FEDER-FSE de la Région Hauts-de-France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6397899"/>
      <w:docPartObj>
        <w:docPartGallery w:val="Page Numbers (Bottom of Page)"/>
        <w:docPartUnique/>
      </w:docPartObj>
    </w:sdtPr>
    <w:sdtContent>
      <w:p w14:paraId="3AB51D61" w14:textId="3CBC76E6" w:rsidR="00356A54" w:rsidRDefault="00356A54" w:rsidP="001E7A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D4248">
          <w:rPr>
            <w:rStyle w:val="PageNumber"/>
            <w:noProof/>
          </w:rPr>
          <w:t>101</w:t>
        </w:r>
        <w:r>
          <w:rPr>
            <w:rStyle w:val="PageNumber"/>
          </w:rPr>
          <w:fldChar w:fldCharType="end"/>
        </w:r>
      </w:p>
    </w:sdtContent>
  </w:sdt>
  <w:p w14:paraId="6E71D49E" w14:textId="77777777" w:rsidR="00356A54" w:rsidRPr="008B131C" w:rsidRDefault="00356A54" w:rsidP="00F05CFC">
    <w:pP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D3CC" w14:textId="2AE1F27A" w:rsidR="00356A54" w:rsidRDefault="00356A54" w:rsidP="00384216">
    <w:pPr>
      <w:ind w:right="360"/>
    </w:pPr>
    <w:r>
      <w:rPr>
        <w:noProof/>
        <w:lang w:eastAsia="fr-FR"/>
      </w:rPr>
      <mc:AlternateContent>
        <mc:Choice Requires="wps">
          <w:drawing>
            <wp:anchor distT="0" distB="0" distL="114300" distR="114300" simplePos="0" relativeHeight="251658247" behindDoc="0" locked="0" layoutInCell="1" allowOverlap="1" wp14:anchorId="5AC4255C" wp14:editId="31DA111D">
              <wp:simplePos x="0" y="0"/>
              <wp:positionH relativeFrom="rightMargin">
                <wp:posOffset>-211455</wp:posOffset>
              </wp:positionH>
              <wp:positionV relativeFrom="paragraph">
                <wp:posOffset>-1905</wp:posOffset>
              </wp:positionV>
              <wp:extent cx="212725" cy="162000"/>
              <wp:effectExtent l="0" t="0" r="0" b="9525"/>
              <wp:wrapNone/>
              <wp:docPr id="53" name="Text Box 32"/>
              <wp:cNvGraphicFramePr/>
              <a:graphic xmlns:a="http://schemas.openxmlformats.org/drawingml/2006/main">
                <a:graphicData uri="http://schemas.microsoft.com/office/word/2010/wordprocessingShape">
                  <wps:wsp>
                    <wps:cNvSpPr txBox="1"/>
                    <wps:spPr bwMode="auto">
                      <a:xfrm>
                        <a:off x="0" y="0"/>
                        <a:ext cx="212725" cy="162000"/>
                      </a:xfrm>
                      <a:prstGeom prst="rect">
                        <a:avLst/>
                      </a:prstGeom>
                      <a:solidFill>
                        <a:srgbClr val="FFFFFF"/>
                      </a:solidFill>
                      <a:ln w="9525">
                        <a:noFill/>
                        <a:miter lim="800000"/>
                        <a:headEnd/>
                        <a:tailEnd/>
                      </a:ln>
                    </wps:spPr>
                    <wps:txbx>
                      <w:txbxContent>
                        <w:p w14:paraId="42B36F10" w14:textId="64B259E1" w:rsidR="00356A54" w:rsidRPr="00F068A7" w:rsidRDefault="00356A54" w:rsidP="00384216">
                          <w:pPr>
                            <w:spacing w:after="0"/>
                            <w:jc w:val="right"/>
                            <w:rPr>
                              <w:color w:val="CF342C" w:themeColor="text2"/>
                            </w:rPr>
                          </w:pPr>
                          <w:r w:rsidRPr="00F068A7">
                            <w:rPr>
                              <w:color w:val="CF342C" w:themeColor="text2"/>
                            </w:rPr>
                            <w:fldChar w:fldCharType="begin"/>
                          </w:r>
                          <w:r w:rsidRPr="00F068A7">
                            <w:rPr>
                              <w:color w:val="CF342C" w:themeColor="text2"/>
                            </w:rPr>
                            <w:instrText xml:space="preserve"> PAGE   \* MERGEFORMAT </w:instrText>
                          </w:r>
                          <w:r w:rsidRPr="00F068A7">
                            <w:rPr>
                              <w:color w:val="CF342C" w:themeColor="text2"/>
                            </w:rPr>
                            <w:fldChar w:fldCharType="separate"/>
                          </w:r>
                          <w:r w:rsidR="000D4248">
                            <w:rPr>
                              <w:noProof/>
                              <w:color w:val="CF342C" w:themeColor="text2"/>
                            </w:rPr>
                            <w:t>119</w:t>
                          </w:r>
                          <w:r w:rsidRPr="00F068A7">
                            <w:rPr>
                              <w:noProof/>
                              <w:color w:val="CF342C" w:themeColor="text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4255C" id="_x0000_t202" coordsize="21600,21600" o:spt="202" path="m,l,21600r21600,l21600,xe">
              <v:stroke joinstyle="miter"/>
              <v:path gradientshapeok="t" o:connecttype="rect"/>
            </v:shapetype>
            <v:shape id="Text Box 32" o:spid="_x0000_s1028" type="#_x0000_t202" style="position:absolute;margin-left:-16.65pt;margin-top:-.15pt;width:16.75pt;height:12.75pt;z-index:2516582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" stroked="f">
              <v:textbox inset="0,0,0,0">
                <w:txbxContent>
                  <w:p w14:paraId="42B36F10" w14:textId="64B259E1" w:rsidR="00356A54" w:rsidRPr="00F068A7" w:rsidRDefault="00356A54" w:rsidP="00384216">
                    <w:pPr>
                      <w:spacing w:after="0"/>
                      <w:jc w:val="right"/>
                      <w:rPr>
                        <w:color w:val="CF342C" w:themeColor="text2"/>
                      </w:rPr>
                    </w:pPr>
                    <w:r w:rsidRPr="00F068A7">
                      <w:rPr>
                        <w:color w:val="CF342C" w:themeColor="text2"/>
                      </w:rPr>
                      <w:fldChar w:fldCharType="begin"/>
                    </w:r>
                    <w:r w:rsidRPr="00F068A7">
                      <w:rPr>
                        <w:color w:val="CF342C" w:themeColor="text2"/>
                      </w:rPr>
                      <w:instrText xml:space="preserve"> PAGE   \* MERGEFORMAT </w:instrText>
                    </w:r>
                    <w:r w:rsidRPr="00F068A7">
                      <w:rPr>
                        <w:color w:val="CF342C" w:themeColor="text2"/>
                      </w:rPr>
                      <w:fldChar w:fldCharType="separate"/>
                    </w:r>
                    <w:r w:rsidR="000D4248">
                      <w:rPr>
                        <w:noProof/>
                        <w:color w:val="CF342C" w:themeColor="text2"/>
                      </w:rPr>
                      <w:t>119</w:t>
                    </w:r>
                    <w:r w:rsidRPr="00F068A7">
                      <w:rPr>
                        <w:noProof/>
                        <w:color w:val="CF342C" w:themeColor="text2"/>
                      </w:rPr>
                      <w:fldChar w:fldCharType="end"/>
                    </w:r>
                  </w:p>
                </w:txbxContent>
              </v:textbox>
              <w10:wrap anchorx="margin"/>
            </v:shape>
          </w:pict>
        </mc:Fallback>
      </mc:AlternateContent>
    </w:r>
    <w:r w:rsidRPr="0031277E">
      <w:t xml:space="preserve"> </w:t>
    </w:r>
    <w:sdt>
      <w:sdtPr>
        <w:alias w:val="Title"/>
        <w:tag w:val=""/>
        <w:id w:val="-935903261"/>
        <w:dataBinding w:prefixMappings="xmlns:ns0='http://purl.org/dc/elements/1.1/' xmlns:ns1='http://schemas.openxmlformats.org/package/2006/metadata/core-properties' " w:xpath="/ns1:coreProperties[1]/ns0:title[1]" w:storeItemID="{6C3C8BC8-F283-45AE-878A-BAB7291924A1}"/>
        <w:text/>
      </w:sdtPr>
      <w:sdtContent>
        <w:r>
          <w:t>Mission d’évaluation ex-ante à la mise en place d’instruments financiers dans le cadre du programme opérationnel 2021-2027 FEDER-FSE de la Région Hauts-de-France</w:t>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5A9C0" w14:textId="77777777" w:rsidR="00AA0D3D" w:rsidRDefault="00AA0D3D" w:rsidP="004201C7">
      <w:pPr>
        <w:spacing w:after="0" w:line="240" w:lineRule="auto"/>
      </w:pPr>
      <w:r>
        <w:separator/>
      </w:r>
    </w:p>
    <w:p w14:paraId="3EEDDBC1" w14:textId="77777777" w:rsidR="00AA0D3D" w:rsidRDefault="00AA0D3D"/>
  </w:footnote>
  <w:footnote w:type="continuationSeparator" w:id="0">
    <w:p w14:paraId="13DB3406" w14:textId="77777777" w:rsidR="00AA0D3D" w:rsidRDefault="00AA0D3D" w:rsidP="004201C7">
      <w:pPr>
        <w:spacing w:after="0" w:line="240" w:lineRule="auto"/>
      </w:pPr>
      <w:r>
        <w:continuationSeparator/>
      </w:r>
    </w:p>
    <w:p w14:paraId="5B678C0A" w14:textId="77777777" w:rsidR="00AA0D3D" w:rsidRDefault="00AA0D3D"/>
    <w:p w14:paraId="2E744EE0" w14:textId="77777777" w:rsidR="00AA0D3D" w:rsidRDefault="00AA0D3D"/>
    <w:p w14:paraId="3F02A8CA" w14:textId="77777777" w:rsidR="00AA0D3D" w:rsidRDefault="00AA0D3D"/>
  </w:footnote>
  <w:footnote w:type="continuationNotice" w:id="1">
    <w:p w14:paraId="250203B4" w14:textId="77777777" w:rsidR="00AA0D3D" w:rsidRDefault="00AA0D3D">
      <w:pPr>
        <w:spacing w:after="0" w:line="240" w:lineRule="auto"/>
      </w:pPr>
    </w:p>
  </w:footnote>
  <w:footnote w:id="2">
    <w:p w14:paraId="3DF568EA" w14:textId="77777777" w:rsidR="00356A54" w:rsidRDefault="00356A54" w:rsidP="00D22970">
      <w:pPr>
        <w:pStyle w:val="FootnoteText"/>
      </w:pPr>
      <w:r>
        <w:rPr>
          <w:rStyle w:val="FootnoteReference"/>
        </w:rPr>
        <w:footnoteRef/>
      </w:r>
      <w:r>
        <w:t xml:space="preserve"> Devenue essentielle depuis la crise COVID-19</w:t>
      </w:r>
    </w:p>
  </w:footnote>
  <w:footnote w:id="3">
    <w:p w14:paraId="1AF63737" w14:textId="7CDABA21" w:rsidR="000B1092" w:rsidRDefault="000B1092">
      <w:pPr>
        <w:pStyle w:val="FootnoteText"/>
      </w:pPr>
      <w:r>
        <w:rPr>
          <w:rStyle w:val="FootnoteReference"/>
        </w:rPr>
        <w:footnoteRef/>
      </w:r>
      <w:r>
        <w:t xml:space="preserve"> Un atelier était initialement prévu autour du recyclage foncier et des friches, mais en raison d’une étude spécifique réalisée par la SCET sur ce sujet, </w:t>
      </w:r>
      <w:r w:rsidR="009023B2">
        <w:t>l’atelier a été transformé en entretiens complémentaires</w:t>
      </w:r>
    </w:p>
  </w:footnote>
  <w:footnote w:id="4">
    <w:p w14:paraId="3B7164E7" w14:textId="3077CFBB" w:rsidR="00356A54" w:rsidRDefault="00356A54">
      <w:pPr>
        <w:pStyle w:val="FootnoteText"/>
      </w:pPr>
      <w:r>
        <w:rPr>
          <w:rStyle w:val="FootnoteReference"/>
        </w:rPr>
        <w:footnoteRef/>
      </w:r>
      <w:r>
        <w:t xml:space="preserve"> </w:t>
      </w:r>
      <w:r w:rsidRPr="00F85D52">
        <w:t>L’</w:t>
      </w:r>
      <w:proofErr w:type="spellStart"/>
      <w:r w:rsidRPr="00F85D52">
        <w:t>intracting</w:t>
      </w:r>
      <w:proofErr w:type="spellEnd"/>
      <w:r w:rsidRPr="00F85D52">
        <w:t xml:space="preserve"> consiste à réaliser des travaux généraux d’économies d’énergie permettant un retour sur investissement inférieur à 10 ans, affecté au remboursement des avances consenties par la Banque des Territoires par un Contrat de Performance Énergétique (CPE).</w:t>
      </w:r>
    </w:p>
  </w:footnote>
  <w:footnote w:id="5">
    <w:p w14:paraId="1F9B23CC" w14:textId="77777777" w:rsidR="00356A54" w:rsidRPr="00DD3EE3" w:rsidRDefault="00356A54" w:rsidP="00107B5C">
      <w:pPr>
        <w:pStyle w:val="FootnoteText"/>
      </w:pPr>
      <w:r>
        <w:rPr>
          <w:rStyle w:val="FootnoteReference"/>
        </w:rPr>
        <w:footnoteRef/>
      </w:r>
      <w:r>
        <w:t xml:space="preserve"> Les Échos, </w:t>
      </w:r>
      <w:r>
        <w:rPr>
          <w:i/>
        </w:rPr>
        <w:t>Emmanuel Macron promet une « écologie du mieux » sans entrer dans le détail</w:t>
      </w:r>
      <w:r>
        <w:t xml:space="preserve">, Juillet 2020. </w:t>
      </w:r>
      <w:r w:rsidRPr="00DD3EE3">
        <w:t xml:space="preserve">URL : </w:t>
      </w:r>
      <w:hyperlink r:id="rId1" w:history="1">
        <w:r w:rsidRPr="00DD3EE3">
          <w:rPr>
            <w:rStyle w:val="Hyperlink"/>
          </w:rPr>
          <w:t>https://www.lesechos.fr/politique-societe/societe/emmanuel-macron-promet-une-ecologie-du-mieux-sans-entrer-dans-le-detail-1223569</w:t>
        </w:r>
      </w:hyperlink>
      <w:r w:rsidRPr="00DD3EE3">
        <w:t xml:space="preserve"> </w:t>
      </w:r>
    </w:p>
  </w:footnote>
  <w:footnote w:id="6">
    <w:p w14:paraId="42A5C037" w14:textId="4EA79D96" w:rsidR="00356A54" w:rsidRDefault="00356A54">
      <w:pPr>
        <w:pStyle w:val="FootnoteText"/>
      </w:pPr>
      <w:r>
        <w:rPr>
          <w:rStyle w:val="FootnoteReference"/>
        </w:rPr>
        <w:footnoteRef/>
      </w:r>
      <w:r>
        <w:t xml:space="preserve"> Ministère de la Transition écologique, </w:t>
      </w:r>
      <w:r w:rsidRPr="00E23161">
        <w:rPr>
          <w:i/>
          <w:iCs/>
        </w:rPr>
        <w:t>Le plan France Relance : la transition écologique comme objectif stratégique</w:t>
      </w:r>
      <w:r>
        <w:t xml:space="preserve">, Septembre 2020. URL : </w:t>
      </w:r>
      <w:hyperlink r:id="rId2" w:history="1">
        <w:r>
          <w:rPr>
            <w:rStyle w:val="Hyperlink"/>
          </w:rPr>
          <w:t>https://www.ecologie.gouv.fr/france-relance-transition-ecologique</w:t>
        </w:r>
      </w:hyperlink>
      <w:r>
        <w:t xml:space="preserve"> </w:t>
      </w:r>
    </w:p>
  </w:footnote>
  <w:footnote w:id="7">
    <w:p w14:paraId="1DB8FB64" w14:textId="77777777" w:rsidR="00356A54" w:rsidRDefault="00356A54" w:rsidP="00107B5C">
      <w:pPr>
        <w:pStyle w:val="FootnoteText"/>
      </w:pPr>
      <w:r>
        <w:rPr>
          <w:rStyle w:val="FootnoteReference"/>
        </w:rPr>
        <w:footnoteRef/>
      </w:r>
      <w:r>
        <w:t xml:space="preserve"> </w:t>
      </w:r>
      <w:proofErr w:type="spellStart"/>
      <w:r>
        <w:t>Calculeo</w:t>
      </w:r>
      <w:proofErr w:type="spellEnd"/>
      <w:r>
        <w:t xml:space="preserve">, </w:t>
      </w:r>
      <w:r>
        <w:rPr>
          <w:i/>
        </w:rPr>
        <w:t>Principe, montant, bénéficiaires, travaux éligibles... La prime énergie n'aura plus de secrets pour vous</w:t>
      </w:r>
      <w:r>
        <w:t xml:space="preserve">, </w:t>
      </w:r>
      <w:proofErr w:type="spellStart"/>
      <w:r>
        <w:t>n.d</w:t>
      </w:r>
      <w:proofErr w:type="spellEnd"/>
      <w:r>
        <w:t xml:space="preserve">. URL : </w:t>
      </w:r>
      <w:hyperlink r:id="rId3" w:history="1">
        <w:r>
          <w:rPr>
            <w:rStyle w:val="Hyperlink"/>
          </w:rPr>
          <w:t>https://www.calculeo.fr/Subventions/Prime-energie</w:t>
        </w:r>
      </w:hyperlink>
      <w:r>
        <w:t xml:space="preserve"> </w:t>
      </w:r>
    </w:p>
  </w:footnote>
  <w:footnote w:id="8">
    <w:p w14:paraId="5C90DA3B" w14:textId="77777777" w:rsidR="00356A54" w:rsidRPr="00DD3EE3" w:rsidRDefault="00356A54" w:rsidP="00107B5C">
      <w:pPr>
        <w:pStyle w:val="FootnoteText"/>
      </w:pPr>
      <w:r>
        <w:rPr>
          <w:rStyle w:val="FootnoteReference"/>
        </w:rPr>
        <w:footnoteRef/>
      </w:r>
      <w:r>
        <w:t xml:space="preserve"> CEREMA, </w:t>
      </w:r>
      <w:r>
        <w:rPr>
          <w:i/>
        </w:rPr>
        <w:t>L’</w:t>
      </w:r>
      <w:proofErr w:type="spellStart"/>
      <w:r>
        <w:rPr>
          <w:i/>
        </w:rPr>
        <w:t>intracting</w:t>
      </w:r>
      <w:proofErr w:type="spellEnd"/>
      <w:r>
        <w:rPr>
          <w:i/>
        </w:rPr>
        <w:t xml:space="preserve"> : une démarche pour financer la rénovation énergétique des bâtiments</w:t>
      </w:r>
      <w:r>
        <w:t xml:space="preserve">, Octobre 2018. </w:t>
      </w:r>
      <w:r w:rsidRPr="00DD3EE3">
        <w:t xml:space="preserve">URL : </w:t>
      </w:r>
      <w:hyperlink r:id="rId4" w:history="1">
        <w:r w:rsidRPr="00DD3EE3">
          <w:rPr>
            <w:rStyle w:val="Hyperlink"/>
          </w:rPr>
          <w:t>https://www.cerema.fr/fr/actualites/intracting-demarche-financer-renovation-energetique</w:t>
        </w:r>
      </w:hyperlink>
      <w:r w:rsidRPr="00DD3EE3">
        <w:t xml:space="preserve"> </w:t>
      </w:r>
    </w:p>
  </w:footnote>
  <w:footnote w:id="9">
    <w:p w14:paraId="3C10FE66" w14:textId="77777777" w:rsidR="00356A54" w:rsidRPr="00DD3EE3" w:rsidRDefault="00356A54" w:rsidP="00107B5C">
      <w:pPr>
        <w:pStyle w:val="FootnoteText"/>
      </w:pPr>
      <w:r>
        <w:rPr>
          <w:rStyle w:val="FootnoteReference"/>
        </w:rPr>
        <w:footnoteRef/>
      </w:r>
      <w:r>
        <w:t xml:space="preserve"> Banque des Territoires, </w:t>
      </w:r>
      <w:r>
        <w:rPr>
          <w:i/>
        </w:rPr>
        <w:t>Grand plan d'investissement : 10 milliards d'euros pour les collectivités</w:t>
      </w:r>
      <w:r>
        <w:t xml:space="preserve">, Septembre 2017. </w:t>
      </w:r>
      <w:r w:rsidRPr="00DD3EE3">
        <w:t xml:space="preserve">URL : </w:t>
      </w:r>
      <w:hyperlink r:id="rId5" w:history="1">
        <w:r w:rsidRPr="00DD3EE3">
          <w:rPr>
            <w:rStyle w:val="Hyperlink"/>
          </w:rPr>
          <w:t>https://www.banquedesterritoires.fr/grand-plan-dinvestissement-10-milliards-deuros-pour-les-collectivites</w:t>
        </w:r>
      </w:hyperlink>
      <w:r w:rsidRPr="00DD3EE3">
        <w:t xml:space="preserve"> </w:t>
      </w:r>
    </w:p>
  </w:footnote>
  <w:footnote w:id="10">
    <w:p w14:paraId="72FC5748" w14:textId="77777777" w:rsidR="00356A54" w:rsidRDefault="00356A54" w:rsidP="00107B5C">
      <w:pPr>
        <w:pStyle w:val="FootnoteText"/>
      </w:pPr>
      <w:r>
        <w:rPr>
          <w:rStyle w:val="FootnoteReference"/>
        </w:rPr>
        <w:footnoteRef/>
      </w:r>
      <w:r>
        <w:t xml:space="preserve"> Banque des Territoires, </w:t>
      </w:r>
      <w:r>
        <w:rPr>
          <w:i/>
        </w:rPr>
        <w:t>Prêt GPI-</w:t>
      </w:r>
      <w:proofErr w:type="spellStart"/>
      <w:r>
        <w:rPr>
          <w:i/>
        </w:rPr>
        <w:t>AmbRE</w:t>
      </w:r>
      <w:proofErr w:type="spellEnd"/>
      <w:r>
        <w:t xml:space="preserve">, </w:t>
      </w:r>
      <w:proofErr w:type="spellStart"/>
      <w:r>
        <w:t>n.d</w:t>
      </w:r>
      <w:proofErr w:type="spellEnd"/>
      <w:r>
        <w:t xml:space="preserve">. URL : </w:t>
      </w:r>
      <w:hyperlink r:id="rId6" w:history="1">
        <w:r>
          <w:rPr>
            <w:rStyle w:val="Hyperlink"/>
          </w:rPr>
          <w:t>https://www.banquedesterritoires.fr/pret-gpi-ambre</w:t>
        </w:r>
      </w:hyperlink>
      <w:r>
        <w:t xml:space="preserve"> </w:t>
      </w:r>
    </w:p>
  </w:footnote>
  <w:footnote w:id="11">
    <w:p w14:paraId="55AD6941" w14:textId="77777777" w:rsidR="00356A54" w:rsidRDefault="00356A54" w:rsidP="00107B5C">
      <w:pPr>
        <w:pStyle w:val="FootnoteText"/>
      </w:pPr>
      <w:r>
        <w:rPr>
          <w:rStyle w:val="FootnoteReference"/>
        </w:rPr>
        <w:footnoteRef/>
      </w:r>
      <w:r>
        <w:t xml:space="preserve"> Partenariat Public-Privé ou Délégation de Service Public</w:t>
      </w:r>
    </w:p>
  </w:footnote>
  <w:footnote w:id="12">
    <w:p w14:paraId="70C2704A" w14:textId="77777777" w:rsidR="00356A54" w:rsidRPr="00DD3EE3" w:rsidRDefault="00356A54" w:rsidP="00107B5C">
      <w:pPr>
        <w:pStyle w:val="FootnoteText"/>
      </w:pPr>
      <w:r>
        <w:rPr>
          <w:rStyle w:val="FootnoteReference"/>
        </w:rPr>
        <w:footnoteRef/>
      </w:r>
      <w:r>
        <w:t xml:space="preserve"> </w:t>
      </w:r>
      <w:proofErr w:type="spellStart"/>
      <w:r>
        <w:t>Novethic</w:t>
      </w:r>
      <w:proofErr w:type="spellEnd"/>
      <w:r>
        <w:t xml:space="preserve">, </w:t>
      </w:r>
      <w:r>
        <w:rPr>
          <w:i/>
          <w:iCs/>
        </w:rPr>
        <w:t>Banque du climat : 40 milliards pour transformer l’économie en quatre ans</w:t>
      </w:r>
      <w:r>
        <w:t xml:space="preserve">, Septembre 2020. </w:t>
      </w:r>
      <w:r w:rsidRPr="00DD3EE3">
        <w:t xml:space="preserve">URL : </w:t>
      </w:r>
      <w:hyperlink r:id="rId7" w:history="1">
        <w:r w:rsidRPr="00DD3EE3">
          <w:rPr>
            <w:rStyle w:val="Hyperlink"/>
          </w:rPr>
          <w:t>https://www.novethic.fr/actualite/finance-durable/isr-rse/40-milliards-pour-transformer-l-economie-le-projet-en-quatre-ans-de-la-banque-du-climat-148965.html</w:t>
        </w:r>
      </w:hyperlink>
      <w:r w:rsidRPr="00DD3EE3">
        <w:t xml:space="preserve"> </w:t>
      </w:r>
    </w:p>
  </w:footnote>
  <w:footnote w:id="13">
    <w:p w14:paraId="4D704453" w14:textId="454D3C4F" w:rsidR="00356A54" w:rsidRDefault="00356A54">
      <w:pPr>
        <w:pStyle w:val="FootnoteText"/>
      </w:pPr>
      <w:r>
        <w:rPr>
          <w:rStyle w:val="FootnoteReference"/>
        </w:rPr>
        <w:footnoteRef/>
      </w:r>
      <w:r>
        <w:t xml:space="preserve"> Entretien avec </w:t>
      </w:r>
      <w:proofErr w:type="spellStart"/>
      <w:r>
        <w:t>Vilogia</w:t>
      </w:r>
      <w:proofErr w:type="spellEnd"/>
    </w:p>
  </w:footnote>
  <w:footnote w:id="14">
    <w:p w14:paraId="5555C28A" w14:textId="2BA26DE1" w:rsidR="00356A54" w:rsidRPr="00DD3EE3" w:rsidRDefault="00356A54" w:rsidP="00756360">
      <w:pPr>
        <w:pStyle w:val="FootnoteText"/>
      </w:pPr>
      <w:r>
        <w:rPr>
          <w:rStyle w:val="FootnoteReference"/>
        </w:rPr>
        <w:footnoteRef/>
      </w:r>
      <w:r>
        <w:t xml:space="preserve"> Ministère de l’enseignement supérieur, de la recherche et de l’innovation, </w:t>
      </w:r>
      <w:proofErr w:type="spellStart"/>
      <w:r w:rsidRPr="00756360">
        <w:rPr>
          <w:i/>
          <w:iCs/>
        </w:rPr>
        <w:t>European</w:t>
      </w:r>
      <w:proofErr w:type="spellEnd"/>
      <w:r w:rsidRPr="00756360">
        <w:rPr>
          <w:i/>
          <w:iCs/>
        </w:rPr>
        <w:t xml:space="preserve"> Green deal : un appel d'1 milliard d'euros en juillet</w:t>
      </w:r>
      <w:r>
        <w:t xml:space="preserve">, Mars 2020. </w:t>
      </w:r>
      <w:r w:rsidRPr="00DD3EE3">
        <w:t xml:space="preserve">URL : </w:t>
      </w:r>
      <w:hyperlink r:id="rId8" w:history="1">
        <w:r w:rsidRPr="00DD3EE3">
          <w:rPr>
            <w:rStyle w:val="Hyperlink"/>
          </w:rPr>
          <w:t>https://www.horizon2020.gouv.fr/cid150575/european-green-deal-un-appel-d-1-milliard-d-euros-en-juillet.html</w:t>
        </w:r>
      </w:hyperlink>
      <w:r w:rsidRPr="00DD3EE3">
        <w:t xml:space="preserve"> </w:t>
      </w:r>
    </w:p>
  </w:footnote>
  <w:footnote w:id="15">
    <w:p w14:paraId="697FAAC4" w14:textId="77777777" w:rsidR="00356A54" w:rsidRDefault="00356A54" w:rsidP="0029759B">
      <w:pPr>
        <w:pStyle w:val="FootnoteText"/>
      </w:pPr>
      <w:r>
        <w:rPr>
          <w:rStyle w:val="FootnoteReference"/>
        </w:rPr>
        <w:footnoteRef/>
      </w:r>
      <w:r>
        <w:t xml:space="preserve"> Entretien avec </w:t>
      </w:r>
      <w:proofErr w:type="spellStart"/>
      <w:r>
        <w:t>Vilogia</w:t>
      </w:r>
      <w:proofErr w:type="spellEnd"/>
    </w:p>
  </w:footnote>
  <w:footnote w:id="16">
    <w:p w14:paraId="4A87674F" w14:textId="77777777" w:rsidR="00356A54" w:rsidRPr="00DD3EE3" w:rsidRDefault="00356A54" w:rsidP="002D442F">
      <w:pPr>
        <w:pStyle w:val="FootnoteText"/>
      </w:pPr>
      <w:r>
        <w:rPr>
          <w:rStyle w:val="FootnoteReference"/>
        </w:rPr>
        <w:footnoteRef/>
      </w:r>
      <w:r>
        <w:t xml:space="preserve"> Ministère de la Transition écologique, </w:t>
      </w:r>
      <w:r>
        <w:rPr>
          <w:i/>
          <w:iCs/>
        </w:rPr>
        <w:t>L’éco-prêt logement social (PLS)</w:t>
      </w:r>
      <w:r>
        <w:t xml:space="preserve">, Mars 2020. </w:t>
      </w:r>
      <w:r w:rsidRPr="00DD3EE3">
        <w:t xml:space="preserve">URL : </w:t>
      </w:r>
      <w:hyperlink r:id="rId9" w:history="1">
        <w:r w:rsidRPr="00DD3EE3">
          <w:rPr>
            <w:rStyle w:val="Hyperlink"/>
          </w:rPr>
          <w:t>https://www.ecologie.gouv.fr/leco-pret-logement-social-eco-pls</w:t>
        </w:r>
      </w:hyperlink>
      <w:r w:rsidRPr="00DD3EE3">
        <w:t xml:space="preserve"> </w:t>
      </w:r>
    </w:p>
  </w:footnote>
  <w:footnote w:id="17">
    <w:p w14:paraId="47932128" w14:textId="77777777" w:rsidR="00356A54" w:rsidRPr="00DD3EE3" w:rsidRDefault="00356A54" w:rsidP="002D442F">
      <w:pPr>
        <w:pStyle w:val="FootnoteText"/>
      </w:pPr>
      <w:r>
        <w:rPr>
          <w:rStyle w:val="FootnoteReference"/>
        </w:rPr>
        <w:footnoteRef/>
      </w:r>
      <w:r>
        <w:t xml:space="preserve"> Gouvernement français, France Relance, Septembre 2020. </w:t>
      </w:r>
      <w:r w:rsidRPr="00DD3EE3">
        <w:t xml:space="preserve">URL : </w:t>
      </w:r>
      <w:hyperlink r:id="rId10" w:history="1">
        <w:r w:rsidRPr="00DD3EE3">
          <w:rPr>
            <w:rStyle w:val="Hyperlink"/>
          </w:rPr>
          <w:t>https://www.economie.gouv.fr/files/files/directions_services/plan-de-relance/annexe-fiche-mesures.pdf</w:t>
        </w:r>
      </w:hyperlink>
      <w:r w:rsidRPr="00DD3EE3">
        <w:t xml:space="preserve"> </w:t>
      </w:r>
    </w:p>
  </w:footnote>
  <w:footnote w:id="18">
    <w:p w14:paraId="726BE51A" w14:textId="77777777" w:rsidR="00356A54" w:rsidRPr="00DD3EE3" w:rsidRDefault="00356A54" w:rsidP="002D442F">
      <w:pPr>
        <w:pStyle w:val="FootnoteText"/>
      </w:pPr>
      <w:r>
        <w:rPr>
          <w:rStyle w:val="FootnoteReference"/>
        </w:rPr>
        <w:footnoteRef/>
      </w:r>
      <w:r>
        <w:t xml:space="preserve"> Caisse des dépôts et des consignations, </w:t>
      </w:r>
      <w:r>
        <w:rPr>
          <w:i/>
          <w:iCs/>
        </w:rPr>
        <w:t>La Caisse des Dépôts s'investit dans la relance</w:t>
      </w:r>
      <w:r>
        <w:t xml:space="preserve">, Septembre 2020. </w:t>
      </w:r>
      <w:r w:rsidRPr="00DD3EE3">
        <w:t xml:space="preserve">URL : </w:t>
      </w:r>
      <w:hyperlink r:id="rId11" w:history="1">
        <w:r w:rsidRPr="00DD3EE3">
          <w:rPr>
            <w:rStyle w:val="Hyperlink"/>
          </w:rPr>
          <w:t>https://www.banquedesterritoires.fr/la-caisse-des-depots-sinvestit-dans-la-relance</w:t>
        </w:r>
      </w:hyperlink>
      <w:r w:rsidRPr="00DD3EE3">
        <w:t xml:space="preserve"> </w:t>
      </w:r>
    </w:p>
  </w:footnote>
  <w:footnote w:id="19">
    <w:p w14:paraId="7ED8F981" w14:textId="58D4A90D" w:rsidR="00356A54" w:rsidRPr="00DD3EE3" w:rsidRDefault="00356A54">
      <w:pPr>
        <w:pStyle w:val="FootnoteText"/>
      </w:pPr>
      <w:r>
        <w:rPr>
          <w:rStyle w:val="FootnoteReference"/>
        </w:rPr>
        <w:footnoteRef/>
      </w:r>
      <w:r>
        <w:t xml:space="preserve"> </w:t>
      </w:r>
      <w:proofErr w:type="spellStart"/>
      <w:r>
        <w:t>Arkea</w:t>
      </w:r>
      <w:proofErr w:type="spellEnd"/>
      <w:r>
        <w:t xml:space="preserve">, </w:t>
      </w:r>
      <w:r w:rsidRPr="00586133">
        <w:rPr>
          <w:i/>
          <w:iCs/>
        </w:rPr>
        <w:t>Notre expertise pour les institutionnels et les collectivités</w:t>
      </w:r>
      <w:r>
        <w:t xml:space="preserve">. </w:t>
      </w:r>
      <w:r w:rsidRPr="00DD3EE3">
        <w:t xml:space="preserve">URL : </w:t>
      </w:r>
      <w:hyperlink r:id="rId12" w:history="1">
        <w:r w:rsidRPr="00DD3EE3">
          <w:rPr>
            <w:rStyle w:val="Hyperlink"/>
          </w:rPr>
          <w:t>https://site.arkea-banque-ei.com/nos-expertises/institutionnels-et-collectivites/nos-services/</w:t>
        </w:r>
      </w:hyperlink>
      <w:r w:rsidRPr="00DD3EE3">
        <w:t xml:space="preserve"> </w:t>
      </w:r>
    </w:p>
  </w:footnote>
  <w:footnote w:id="20">
    <w:p w14:paraId="3A5B98BD" w14:textId="52A0BAE1" w:rsidR="00356A54" w:rsidRDefault="00356A54">
      <w:pPr>
        <w:pStyle w:val="FootnoteText"/>
      </w:pPr>
      <w:r>
        <w:rPr>
          <w:rStyle w:val="FootnoteReference"/>
        </w:rPr>
        <w:footnoteRef/>
      </w:r>
      <w:r>
        <w:t xml:space="preserve"> Entretien avec Oise Habitat</w:t>
      </w:r>
    </w:p>
  </w:footnote>
  <w:footnote w:id="21">
    <w:p w14:paraId="57B7F332" w14:textId="5BB3CD47" w:rsidR="00356A54" w:rsidRPr="003667DD" w:rsidRDefault="00356A54">
      <w:pPr>
        <w:pStyle w:val="FootnoteText"/>
        <w:rPr>
          <w:lang w:val="nl-NL"/>
        </w:rPr>
      </w:pPr>
      <w:r>
        <w:rPr>
          <w:rStyle w:val="FootnoteReference"/>
        </w:rPr>
        <w:footnoteRef/>
      </w:r>
      <w:r>
        <w:t xml:space="preserve"> La Voix du Nord, </w:t>
      </w:r>
      <w:r w:rsidRPr="006217D9">
        <w:rPr>
          <w:i/>
          <w:iCs/>
        </w:rPr>
        <w:t>Rouvroy La municipalité accorde des garanties d’emprunt aux bailleurs sociaux</w:t>
      </w:r>
      <w:r>
        <w:t xml:space="preserve">, Mars 2018. </w:t>
      </w:r>
      <w:r w:rsidRPr="003667DD">
        <w:rPr>
          <w:lang w:val="nl-NL"/>
        </w:rPr>
        <w:t xml:space="preserve">URL : </w:t>
      </w:r>
      <w:hyperlink r:id="rId13" w:history="1">
        <w:r w:rsidRPr="003667DD">
          <w:rPr>
            <w:rStyle w:val="Hyperlink"/>
            <w:lang w:val="nl-NL"/>
          </w:rPr>
          <w:t>https://www.lavoixdunord.fr/327587/article/2018-03-02/la-municipalite-accorde-des-garanties-d-emprunt-aux-bailleurs-sociaux</w:t>
        </w:r>
      </w:hyperlink>
      <w:r w:rsidRPr="003667DD">
        <w:rPr>
          <w:lang w:val="nl-NL"/>
        </w:rPr>
        <w:t xml:space="preserve"> </w:t>
      </w:r>
    </w:p>
  </w:footnote>
  <w:footnote w:id="22">
    <w:p w14:paraId="79ED9383" w14:textId="77777777" w:rsidR="00356A54" w:rsidRPr="00DE1DBA" w:rsidRDefault="00356A54" w:rsidP="008609E3">
      <w:pPr>
        <w:pStyle w:val="FootnoteText"/>
        <w:rPr>
          <w:lang w:val="nl-NL"/>
        </w:rPr>
      </w:pPr>
      <w:r>
        <w:rPr>
          <w:rStyle w:val="FootnoteReference"/>
        </w:rPr>
        <w:footnoteRef/>
      </w:r>
      <w:r w:rsidRPr="00DE1DBA">
        <w:rPr>
          <w:lang w:val="nl-NL"/>
        </w:rPr>
        <w:t xml:space="preserve"> Site </w:t>
      </w:r>
      <w:proofErr w:type="spellStart"/>
      <w:r w:rsidRPr="00DE1DBA">
        <w:rPr>
          <w:lang w:val="nl-NL"/>
        </w:rPr>
        <w:t>d’EnergieSprong</w:t>
      </w:r>
      <w:proofErr w:type="spellEnd"/>
      <w:r w:rsidRPr="00DE1DBA">
        <w:rPr>
          <w:lang w:val="nl-NL"/>
        </w:rPr>
        <w:t xml:space="preserve"> : </w:t>
      </w:r>
      <w:hyperlink r:id="rId14" w:history="1">
        <w:r w:rsidRPr="00DE1DBA">
          <w:rPr>
            <w:rStyle w:val="Hyperlink"/>
            <w:lang w:val="nl-NL"/>
          </w:rPr>
          <w:t>http://www.energiesprong.fr/</w:t>
        </w:r>
      </w:hyperlink>
    </w:p>
  </w:footnote>
  <w:footnote w:id="23">
    <w:p w14:paraId="0CD590ED" w14:textId="77777777" w:rsidR="00356A54" w:rsidRDefault="00356A54" w:rsidP="00DA0F14">
      <w:pPr>
        <w:pStyle w:val="FootnoteText"/>
      </w:pPr>
      <w:r>
        <w:rPr>
          <w:rStyle w:val="FootnoteReference"/>
        </w:rPr>
        <w:footnoteRef/>
      </w:r>
      <w:r>
        <w:t xml:space="preserve"> Entretien avec le Service innovations énergétiques de la Région Hauts-de-France</w:t>
      </w:r>
    </w:p>
  </w:footnote>
  <w:footnote w:id="24">
    <w:p w14:paraId="2A40F071" w14:textId="77777777" w:rsidR="00356A54" w:rsidRPr="00DD3EE3" w:rsidRDefault="00356A54" w:rsidP="008609E3">
      <w:pPr>
        <w:pStyle w:val="FootnoteText"/>
      </w:pPr>
      <w:r>
        <w:rPr>
          <w:rStyle w:val="FootnoteReference"/>
        </w:rPr>
        <w:footnoteRef/>
      </w:r>
      <w:r>
        <w:t xml:space="preserve"> Ministère de la Cohésion des Territoires et des Relations avec les Collectivités Territoriales, </w:t>
      </w:r>
      <w:r>
        <w:rPr>
          <w:i/>
        </w:rPr>
        <w:t>Boîte à outils financiers – rénovation de l’habitat dégradé</w:t>
      </w:r>
      <w:r>
        <w:t xml:space="preserve">, Juin 2019. </w:t>
      </w:r>
      <w:r w:rsidRPr="00DD3EE3">
        <w:t xml:space="preserve">URL : </w:t>
      </w:r>
      <w:hyperlink r:id="rId15" w:history="1">
        <w:r w:rsidRPr="00DD3EE3">
          <w:rPr>
            <w:rStyle w:val="Hyperlink"/>
          </w:rPr>
          <w:t>https://www.cohesion-territoires.gouv.fr/sites/default/files/2019-07/Rénovation_Boite%20à%20outils%20des%20aides.pdf</w:t>
        </w:r>
      </w:hyperlink>
      <w:r w:rsidRPr="00DD3EE3">
        <w:t xml:space="preserve"> </w:t>
      </w:r>
    </w:p>
  </w:footnote>
  <w:footnote w:id="25">
    <w:p w14:paraId="378E8448" w14:textId="77777777" w:rsidR="00356A54" w:rsidRPr="00DD3EE3" w:rsidRDefault="00356A54" w:rsidP="007915EA">
      <w:pPr>
        <w:pStyle w:val="FootnoteText"/>
      </w:pPr>
      <w:r>
        <w:rPr>
          <w:rStyle w:val="FootnoteReference"/>
        </w:rPr>
        <w:footnoteRef/>
      </w:r>
      <w:r>
        <w:t xml:space="preserve"> ADEME, </w:t>
      </w:r>
      <w:r>
        <w:rPr>
          <w:i/>
        </w:rPr>
        <w:t>Aides financières pour des travaux de rénovation énergétique dans les logements existants</w:t>
      </w:r>
      <w:r>
        <w:t xml:space="preserve">, Mars 2020. </w:t>
      </w:r>
      <w:r w:rsidRPr="00DD3EE3">
        <w:t xml:space="preserve">URL : </w:t>
      </w:r>
      <w:hyperlink r:id="rId16" w:history="1">
        <w:r w:rsidRPr="00DD3EE3">
          <w:rPr>
            <w:rStyle w:val="Hyperlink"/>
          </w:rPr>
          <w:t>https://api.faire.gouv.fr/sites/default/files/2020-03/ADEME-AidesFinancieres_Web14.pdf</w:t>
        </w:r>
      </w:hyperlink>
      <w:r w:rsidRPr="00DD3EE3">
        <w:t xml:space="preserve"> </w:t>
      </w:r>
    </w:p>
  </w:footnote>
  <w:footnote w:id="26">
    <w:p w14:paraId="0102FB24" w14:textId="6F758E7C" w:rsidR="00356A54" w:rsidRDefault="00356A54">
      <w:pPr>
        <w:pStyle w:val="FootnoteText"/>
      </w:pPr>
      <w:r>
        <w:rPr>
          <w:rStyle w:val="FootnoteReference"/>
        </w:rPr>
        <w:footnoteRef/>
      </w:r>
      <w:r>
        <w:t xml:space="preserve"> Entretien avec le Conseil départemental de l’Oise</w:t>
      </w:r>
    </w:p>
  </w:footnote>
  <w:footnote w:id="27">
    <w:p w14:paraId="31C180B7" w14:textId="3917EE03" w:rsidR="00C32BD7" w:rsidRDefault="00C32BD7">
      <w:pPr>
        <w:pStyle w:val="FootnoteText"/>
      </w:pPr>
      <w:r>
        <w:rPr>
          <w:rStyle w:val="FootnoteReference"/>
        </w:rPr>
        <w:footnoteRef/>
      </w:r>
      <w:r>
        <w:t xml:space="preserve"> </w:t>
      </w:r>
      <w:r w:rsidR="004A130A">
        <w:t>Communauté de communes de la Picardie Verte (</w:t>
      </w:r>
      <w:proofErr w:type="spellStart"/>
      <w:r w:rsidR="004A130A">
        <w:t>n.d</w:t>
      </w:r>
      <w:proofErr w:type="spellEnd"/>
      <w:r w:rsidR="004A130A">
        <w:t xml:space="preserve">.), </w:t>
      </w:r>
      <w:r w:rsidR="004A130A" w:rsidRPr="00DD3EE3">
        <w:rPr>
          <w:i/>
        </w:rPr>
        <w:t xml:space="preserve">Plateforme de la rénovation énergétique de l’habitat </w:t>
      </w:r>
      <w:r w:rsidR="00342081" w:rsidRPr="00DD3EE3">
        <w:rPr>
          <w:i/>
          <w:iCs/>
        </w:rPr>
        <w:t>–</w:t>
      </w:r>
      <w:r w:rsidR="004A130A" w:rsidRPr="00DD3EE3">
        <w:rPr>
          <w:i/>
          <w:iCs/>
        </w:rPr>
        <w:t xml:space="preserve"> </w:t>
      </w:r>
      <w:r w:rsidR="00342081" w:rsidRPr="00DD3EE3">
        <w:rPr>
          <w:i/>
          <w:iCs/>
        </w:rPr>
        <w:t>« Le partenaire de l’amélioration de votre logement »</w:t>
      </w:r>
    </w:p>
  </w:footnote>
  <w:footnote w:id="28">
    <w:p w14:paraId="701EA657" w14:textId="77777777" w:rsidR="00356A54" w:rsidRDefault="00356A54" w:rsidP="00E124CD">
      <w:pPr>
        <w:pStyle w:val="FootnoteText"/>
      </w:pPr>
      <w:r>
        <w:rPr>
          <w:rStyle w:val="FootnoteReference"/>
        </w:rPr>
        <w:footnoteRef/>
      </w:r>
      <w:r>
        <w:t xml:space="preserve"> Entretien avec le SPEE</w:t>
      </w:r>
    </w:p>
  </w:footnote>
  <w:footnote w:id="29">
    <w:p w14:paraId="6F03BF19" w14:textId="77777777" w:rsidR="00356A54" w:rsidRDefault="00356A54" w:rsidP="00012ECA">
      <w:pPr>
        <w:pStyle w:val="FootnoteText"/>
      </w:pPr>
      <w:r>
        <w:rPr>
          <w:rStyle w:val="FootnoteReference"/>
        </w:rPr>
        <w:footnoteRef/>
      </w:r>
      <w:r>
        <w:t xml:space="preserve"> Entretien avec le SPEE</w:t>
      </w:r>
    </w:p>
  </w:footnote>
  <w:footnote w:id="30">
    <w:p w14:paraId="39E464E3" w14:textId="77777777" w:rsidR="00356A54" w:rsidRDefault="00356A54" w:rsidP="00012ECA">
      <w:pPr>
        <w:pStyle w:val="FootnoteText"/>
      </w:pPr>
      <w:r>
        <w:rPr>
          <w:rStyle w:val="FootnoteReference"/>
        </w:rPr>
        <w:footnoteRef/>
      </w:r>
      <w:r>
        <w:t xml:space="preserve"> Site du </w:t>
      </w:r>
      <w:proofErr w:type="spellStart"/>
      <w:r>
        <w:t>Pass</w:t>
      </w:r>
      <w:proofErr w:type="spellEnd"/>
      <w:r>
        <w:t xml:space="preserve"> Rénovation :</w:t>
      </w:r>
      <w:r w:rsidRPr="00CF67DC">
        <w:t xml:space="preserve"> </w:t>
      </w:r>
      <w:hyperlink r:id="rId17" w:history="1">
        <w:r w:rsidRPr="00982690">
          <w:rPr>
            <w:rStyle w:val="Hyperlink"/>
          </w:rPr>
          <w:t>https://www.pass-renovation.hautsdefrance.fr</w:t>
        </w:r>
      </w:hyperlink>
      <w:r>
        <w:t xml:space="preserve"> </w:t>
      </w:r>
    </w:p>
  </w:footnote>
  <w:footnote w:id="31">
    <w:p w14:paraId="683E70C5" w14:textId="77777777" w:rsidR="00356A54" w:rsidRDefault="00356A54" w:rsidP="00BB5ACC">
      <w:pPr>
        <w:pStyle w:val="FootnoteText"/>
      </w:pPr>
      <w:r>
        <w:rPr>
          <w:rStyle w:val="FootnoteReference"/>
        </w:rPr>
        <w:footnoteRef/>
      </w:r>
      <w:r>
        <w:t xml:space="preserve"> Entretien avec le SPEE</w:t>
      </w:r>
    </w:p>
  </w:footnote>
  <w:footnote w:id="32">
    <w:p w14:paraId="3EFCDB34" w14:textId="77777777" w:rsidR="00356A54" w:rsidRDefault="00356A54" w:rsidP="00C91E9B">
      <w:pPr>
        <w:pStyle w:val="FootnoteText"/>
      </w:pPr>
      <w:r>
        <w:rPr>
          <w:rStyle w:val="FootnoteReference"/>
        </w:rPr>
        <w:footnoteRef/>
      </w:r>
      <w:r>
        <w:t xml:space="preserve"> </w:t>
      </w:r>
      <w:proofErr w:type="spellStart"/>
      <w:r>
        <w:t>Calculeo</w:t>
      </w:r>
      <w:proofErr w:type="spellEnd"/>
      <w:r>
        <w:t xml:space="preserve">, </w:t>
      </w:r>
      <w:r>
        <w:rPr>
          <w:i/>
        </w:rPr>
        <w:t>La TVA Réduite</w:t>
      </w:r>
      <w:r>
        <w:t xml:space="preserve">, </w:t>
      </w:r>
      <w:proofErr w:type="spellStart"/>
      <w:r>
        <w:t>n.d</w:t>
      </w:r>
      <w:proofErr w:type="spellEnd"/>
      <w:r>
        <w:t xml:space="preserve">. URL : </w:t>
      </w:r>
      <w:hyperlink r:id="rId18" w:history="1">
        <w:r>
          <w:rPr>
            <w:rStyle w:val="Hyperlink"/>
          </w:rPr>
          <w:t>https://www.calculeo.fr/Subventions/La-TVA-reduite</w:t>
        </w:r>
      </w:hyperlink>
      <w:r>
        <w:t xml:space="preserve"> </w:t>
      </w:r>
    </w:p>
  </w:footnote>
  <w:footnote w:id="33">
    <w:p w14:paraId="08C172A7" w14:textId="77777777" w:rsidR="00356A54" w:rsidRDefault="00356A54" w:rsidP="00D44DC4">
      <w:pPr>
        <w:pStyle w:val="FootnoteText"/>
      </w:pPr>
      <w:r>
        <w:rPr>
          <w:rStyle w:val="FootnoteReference"/>
        </w:rPr>
        <w:footnoteRef/>
      </w:r>
      <w:r>
        <w:t xml:space="preserve"> </w:t>
      </w:r>
      <w:proofErr w:type="spellStart"/>
      <w:r>
        <w:t>Calculeo</w:t>
      </w:r>
      <w:proofErr w:type="spellEnd"/>
      <w:r>
        <w:t xml:space="preserve">, </w:t>
      </w:r>
      <w:r>
        <w:rPr>
          <w:i/>
        </w:rPr>
        <w:t>Pacte Energie Solidarité : Isolez vos combles perdus à partir de 1€</w:t>
      </w:r>
      <w:r>
        <w:t xml:space="preserve">, </w:t>
      </w:r>
      <w:proofErr w:type="spellStart"/>
      <w:r>
        <w:t>n.d</w:t>
      </w:r>
      <w:proofErr w:type="spellEnd"/>
      <w:r>
        <w:t xml:space="preserve">. URL : </w:t>
      </w:r>
      <w:hyperlink r:id="rId19" w:history="1">
        <w:r>
          <w:rPr>
            <w:rStyle w:val="Hyperlink"/>
          </w:rPr>
          <w:t>https://www.calculeo.fr/Subventions/Pacte-Energie-Solidarite</w:t>
        </w:r>
      </w:hyperlink>
      <w:r>
        <w:t xml:space="preserve"> </w:t>
      </w:r>
    </w:p>
  </w:footnote>
  <w:footnote w:id="34">
    <w:p w14:paraId="34D99A66" w14:textId="77777777" w:rsidR="00356A54" w:rsidRDefault="00356A54" w:rsidP="008A7219">
      <w:pPr>
        <w:pStyle w:val="FootnoteText"/>
      </w:pPr>
      <w:r>
        <w:rPr>
          <w:rStyle w:val="FootnoteReference"/>
        </w:rPr>
        <w:footnoteRef/>
      </w:r>
      <w:r>
        <w:t xml:space="preserve"> Ministère de l’Économie, des Finances et de la Relance, </w:t>
      </w:r>
      <w:proofErr w:type="spellStart"/>
      <w:r>
        <w:rPr>
          <w:i/>
        </w:rPr>
        <w:t>MaPrimeRénov</w:t>
      </w:r>
      <w:proofErr w:type="spellEnd"/>
      <w:r>
        <w:rPr>
          <w:i/>
        </w:rPr>
        <w:t xml:space="preserve"> : La nouvelle prime pour la rénovation énergétique</w:t>
      </w:r>
      <w:r>
        <w:t xml:space="preserve">, Janvier 2020. URL : </w:t>
      </w:r>
      <w:hyperlink r:id="rId20" w:history="1">
        <w:r>
          <w:rPr>
            <w:rStyle w:val="Hyperlink"/>
          </w:rPr>
          <w:t>https://www.economie.gouv.fr/particuliers/prime-renovation-energetique</w:t>
        </w:r>
      </w:hyperlink>
      <w:r>
        <w:t xml:space="preserve"> </w:t>
      </w:r>
    </w:p>
  </w:footnote>
  <w:footnote w:id="35">
    <w:p w14:paraId="1B051280" w14:textId="77777777" w:rsidR="00356A54" w:rsidRPr="00DD3EE3" w:rsidRDefault="00356A54" w:rsidP="008A7219">
      <w:pPr>
        <w:pStyle w:val="FootnoteText"/>
      </w:pPr>
      <w:r>
        <w:rPr>
          <w:rStyle w:val="FootnoteReference"/>
        </w:rPr>
        <w:footnoteRef/>
      </w:r>
      <w:r>
        <w:t xml:space="preserve"> Environnement Magazine, </w:t>
      </w:r>
      <w:proofErr w:type="spellStart"/>
      <w:r>
        <w:rPr>
          <w:i/>
        </w:rPr>
        <w:t>MaPrimeRénov</w:t>
      </w:r>
      <w:proofErr w:type="spellEnd"/>
      <w:r>
        <w:rPr>
          <w:i/>
        </w:rPr>
        <w:t>’ : peut mieux faire</w:t>
      </w:r>
      <w:r>
        <w:t xml:space="preserve">, Février 2020. </w:t>
      </w:r>
      <w:r w:rsidRPr="00DD3EE3">
        <w:t xml:space="preserve">URL : </w:t>
      </w:r>
      <w:hyperlink r:id="rId21" w:history="1">
        <w:r w:rsidRPr="00DD3EE3">
          <w:rPr>
            <w:rStyle w:val="Hyperlink"/>
          </w:rPr>
          <w:t>https://www.environnement-magazine.fr/energie/article/2020/02/20/127966/maprimerenov-peut-mieux-faire</w:t>
        </w:r>
      </w:hyperlink>
      <w:r w:rsidRPr="00DD3EE3">
        <w:t xml:space="preserve"> </w:t>
      </w:r>
    </w:p>
  </w:footnote>
  <w:footnote w:id="36">
    <w:p w14:paraId="2CA36B01" w14:textId="77777777" w:rsidR="00356A54" w:rsidRPr="00DD3EE3" w:rsidRDefault="00356A54" w:rsidP="008A7219">
      <w:pPr>
        <w:pStyle w:val="FootnoteText"/>
      </w:pPr>
      <w:r>
        <w:rPr>
          <w:rStyle w:val="FootnoteReference"/>
        </w:rPr>
        <w:footnoteRef/>
      </w:r>
      <w:r>
        <w:t xml:space="preserve"> Les Échos, </w:t>
      </w:r>
      <w:r>
        <w:rPr>
          <w:i/>
        </w:rPr>
        <w:t>Emmanuel Macron promet une « écologie du mieux » sans entrer dans le détail</w:t>
      </w:r>
      <w:r>
        <w:t xml:space="preserve">, Juillet 2020. </w:t>
      </w:r>
      <w:r w:rsidRPr="00DD3EE3">
        <w:t xml:space="preserve">URL : </w:t>
      </w:r>
      <w:hyperlink r:id="rId22" w:history="1">
        <w:r w:rsidRPr="00DD3EE3">
          <w:rPr>
            <w:rStyle w:val="Hyperlink"/>
          </w:rPr>
          <w:t>https://www.lesechos.fr/politique-societe/societe/emmanuel-macron-promet-une-ecologie-du-mieux-sans-entrer-dans-le-detail-1223569</w:t>
        </w:r>
      </w:hyperlink>
      <w:r w:rsidRPr="00DD3EE3">
        <w:t xml:space="preserve"> </w:t>
      </w:r>
    </w:p>
    <w:p w14:paraId="144CC92D" w14:textId="3987434A" w:rsidR="00356A54" w:rsidRDefault="00356A54" w:rsidP="008A7219">
      <w:pPr>
        <w:pStyle w:val="FootnoteText"/>
      </w:pPr>
      <w:r>
        <w:t xml:space="preserve">Ministère de l’Économie, des Finances et de la Relance, </w:t>
      </w:r>
      <w:r>
        <w:rPr>
          <w:i/>
          <w:iCs/>
        </w:rPr>
        <w:t>Rénovation énergétique</w:t>
      </w:r>
      <w:r>
        <w:t xml:space="preserve">, </w:t>
      </w:r>
      <w:proofErr w:type="spellStart"/>
      <w:r>
        <w:t>n.d</w:t>
      </w:r>
      <w:proofErr w:type="spellEnd"/>
      <w:r>
        <w:t xml:space="preserve">. URL : </w:t>
      </w:r>
      <w:hyperlink r:id="rId23" w:history="1">
        <w:r>
          <w:rPr>
            <w:rStyle w:val="Hyperlink"/>
          </w:rPr>
          <w:t>https://www.economie.gouv.fr/plan-de-relance/renovation-energetique</w:t>
        </w:r>
      </w:hyperlink>
      <w:r>
        <w:t xml:space="preserve"> </w:t>
      </w:r>
    </w:p>
  </w:footnote>
  <w:footnote w:id="37">
    <w:p w14:paraId="5FD9622B" w14:textId="2E2C7762" w:rsidR="00356A54" w:rsidRDefault="00356A54">
      <w:pPr>
        <w:pStyle w:val="FootnoteText"/>
      </w:pPr>
      <w:r>
        <w:rPr>
          <w:rStyle w:val="FootnoteReference"/>
        </w:rPr>
        <w:footnoteRef/>
      </w:r>
      <w:r>
        <w:t xml:space="preserve"> Ministère de l’Économie, des Finances et de la Relance, </w:t>
      </w:r>
      <w:proofErr w:type="spellStart"/>
      <w:r w:rsidRPr="00DD0B14">
        <w:rPr>
          <w:i/>
          <w:iCs/>
        </w:rPr>
        <w:t>MaPrimeRénov</w:t>
      </w:r>
      <w:proofErr w:type="spellEnd"/>
      <w:r w:rsidRPr="00DD0B14">
        <w:rPr>
          <w:i/>
          <w:iCs/>
        </w:rPr>
        <w:t>' : la prime de transition énergétique</w:t>
      </w:r>
      <w:r>
        <w:t xml:space="preserve">, </w:t>
      </w:r>
      <w:proofErr w:type="spellStart"/>
      <w:r>
        <w:t>n.d</w:t>
      </w:r>
      <w:proofErr w:type="spellEnd"/>
      <w:r>
        <w:t xml:space="preserve">. URL : </w:t>
      </w:r>
      <w:hyperlink r:id="rId24" w:history="1">
        <w:r w:rsidRPr="00672EE7">
          <w:rPr>
            <w:rStyle w:val="Hyperlink"/>
          </w:rPr>
          <w:t>https://www.economie.gouv.fr/cedef/ma-prime-renov</w:t>
        </w:r>
      </w:hyperlink>
      <w:r>
        <w:t xml:space="preserve"> </w:t>
      </w:r>
    </w:p>
  </w:footnote>
  <w:footnote w:id="38">
    <w:p w14:paraId="7F6F10B9" w14:textId="77777777" w:rsidR="00356A54" w:rsidRDefault="00356A54" w:rsidP="00777CB5">
      <w:pPr>
        <w:pStyle w:val="FootnoteText"/>
      </w:pPr>
      <w:r>
        <w:rPr>
          <w:rStyle w:val="FootnoteReference"/>
        </w:rPr>
        <w:footnoteRef/>
      </w:r>
      <w:r>
        <w:t xml:space="preserve"> Action Logement, </w:t>
      </w:r>
      <w:r>
        <w:rPr>
          <w:i/>
        </w:rPr>
        <w:t>Aides à la Rénovation énergétique - Jusqu’à 20 000 € pour vos travaux de rénovation énergétique</w:t>
      </w:r>
      <w:r>
        <w:t xml:space="preserve">, Septembre 2019. URL : </w:t>
      </w:r>
      <w:hyperlink r:id="rId25" w:history="1">
        <w:r>
          <w:rPr>
            <w:rStyle w:val="Hyperlink"/>
          </w:rPr>
          <w:t>https://www.actionlogement.fr/aide-renovation-energetique</w:t>
        </w:r>
      </w:hyperlink>
      <w:r>
        <w:t xml:space="preserve"> </w:t>
      </w:r>
    </w:p>
  </w:footnote>
  <w:footnote w:id="39">
    <w:p w14:paraId="62E17554" w14:textId="77777777" w:rsidR="00356A54" w:rsidRPr="00DD3EE3" w:rsidRDefault="00356A54" w:rsidP="00777CB5">
      <w:pPr>
        <w:pStyle w:val="FootnoteText"/>
      </w:pPr>
      <w:r>
        <w:rPr>
          <w:rStyle w:val="FootnoteReference"/>
        </w:rPr>
        <w:footnoteRef/>
      </w:r>
      <w:r>
        <w:t xml:space="preserve"> Groupe Action Logement, </w:t>
      </w:r>
      <w:r>
        <w:rPr>
          <w:i/>
        </w:rPr>
        <w:t>Lancement des 3 premières mesures du Plan d'Investissement Volontaire</w:t>
      </w:r>
      <w:r>
        <w:t xml:space="preserve">, Septembre 2019. </w:t>
      </w:r>
      <w:r w:rsidRPr="00DD3EE3">
        <w:t xml:space="preserve">URL : </w:t>
      </w:r>
      <w:hyperlink r:id="rId26" w:history="1">
        <w:r w:rsidRPr="00DD3EE3">
          <w:rPr>
            <w:rStyle w:val="Hyperlink"/>
          </w:rPr>
          <w:t>https://groupe.actionlogement.fr/lancement-des-3-premieres-mesures-du-plan-d-investissement-volontaire</w:t>
        </w:r>
      </w:hyperlink>
      <w:r w:rsidRPr="00DD3EE3">
        <w:t xml:space="preserve"> </w:t>
      </w:r>
    </w:p>
  </w:footnote>
  <w:footnote w:id="40">
    <w:p w14:paraId="71F2B71E" w14:textId="77777777" w:rsidR="00356A54" w:rsidRDefault="00356A54" w:rsidP="006D59FD">
      <w:pPr>
        <w:pStyle w:val="FootnoteText"/>
      </w:pPr>
      <w:r>
        <w:rPr>
          <w:rStyle w:val="FootnoteReference"/>
        </w:rPr>
        <w:footnoteRef/>
      </w:r>
      <w:r>
        <w:t xml:space="preserve"> Info-Énergie en région Centre, </w:t>
      </w:r>
      <w:r>
        <w:rPr>
          <w:i/>
        </w:rPr>
        <w:t>L’éco-prêt à taux zéro</w:t>
      </w:r>
      <w:r>
        <w:t xml:space="preserve">, </w:t>
      </w:r>
      <w:proofErr w:type="spellStart"/>
      <w:r>
        <w:t>n.d</w:t>
      </w:r>
      <w:proofErr w:type="spellEnd"/>
      <w:r>
        <w:t xml:space="preserve">. URL : </w:t>
      </w:r>
      <w:hyperlink r:id="rId27" w:history="1">
        <w:r>
          <w:rPr>
            <w:rStyle w:val="Hyperlink"/>
          </w:rPr>
          <w:t>https://www.infoenergie-centre.org/eco-pret-a-taux-zero.html</w:t>
        </w:r>
      </w:hyperlink>
      <w:r>
        <w:t xml:space="preserve"> </w:t>
      </w:r>
    </w:p>
  </w:footnote>
  <w:footnote w:id="41">
    <w:p w14:paraId="7184B290" w14:textId="09D50320" w:rsidR="00356A54" w:rsidRPr="00DD3EE3" w:rsidRDefault="00356A54">
      <w:pPr>
        <w:pStyle w:val="FootnoteText"/>
      </w:pPr>
      <w:r>
        <w:rPr>
          <w:rStyle w:val="FootnoteReference"/>
        </w:rPr>
        <w:footnoteRef/>
      </w:r>
      <w:r>
        <w:t xml:space="preserve"> </w:t>
      </w:r>
      <w:proofErr w:type="spellStart"/>
      <w:r>
        <w:t>Effy</w:t>
      </w:r>
      <w:proofErr w:type="spellEnd"/>
      <w:r>
        <w:t xml:space="preserve">, </w:t>
      </w:r>
      <w:r w:rsidRPr="00CC77BC">
        <w:rPr>
          <w:i/>
          <w:iCs/>
        </w:rPr>
        <w:t>L’éco-PTZ : une aide à réformer ?</w:t>
      </w:r>
      <w:r>
        <w:t xml:space="preserve"> </w:t>
      </w:r>
      <w:r w:rsidRPr="00DD3EE3">
        <w:t xml:space="preserve">URL : </w:t>
      </w:r>
      <w:hyperlink r:id="rId28" w:history="1">
        <w:r w:rsidRPr="00DD3EE3">
          <w:rPr>
            <w:rStyle w:val="Hyperlink"/>
          </w:rPr>
          <w:t>https://www.effy.fr/flash-info/eco-ptz-une-aide-a-reformer</w:t>
        </w:r>
      </w:hyperlink>
      <w:r w:rsidRPr="00DD3EE3">
        <w:t xml:space="preserve"> </w:t>
      </w:r>
    </w:p>
  </w:footnote>
  <w:footnote w:id="42">
    <w:p w14:paraId="12AD8676" w14:textId="77777777" w:rsidR="001C130F" w:rsidRDefault="001C130F" w:rsidP="001C130F">
      <w:pPr>
        <w:pStyle w:val="FootnoteText"/>
      </w:pPr>
      <w:r>
        <w:rPr>
          <w:rStyle w:val="FootnoteReference"/>
        </w:rPr>
        <w:footnoteRef/>
      </w:r>
      <w:r>
        <w:t xml:space="preserve"> Rapport d’information n°3811 sur la revalorisation des friches industrielles, commerciales et administratives. Janvier 2021</w:t>
      </w:r>
    </w:p>
  </w:footnote>
  <w:footnote w:id="43">
    <w:p w14:paraId="260C1AC3" w14:textId="77777777" w:rsidR="001C130F" w:rsidRDefault="001C130F" w:rsidP="001C130F">
      <w:pPr>
        <w:pStyle w:val="FootnoteText"/>
      </w:pPr>
      <w:r>
        <w:rPr>
          <w:rStyle w:val="FootnoteReference"/>
        </w:rPr>
        <w:footnoteRef/>
      </w:r>
      <w:r>
        <w:t xml:space="preserve"> Rapport d’information n°3811 sur la revalorisation des friches industrielles, commerciales et administratives. Janvier 2021</w:t>
      </w:r>
    </w:p>
  </w:footnote>
  <w:footnote w:id="44">
    <w:p w14:paraId="76B6C414" w14:textId="77777777" w:rsidR="00356A54" w:rsidRDefault="00356A54">
      <w:pPr>
        <w:pStyle w:val="FootnoteText"/>
      </w:pPr>
      <w:r>
        <w:rPr>
          <w:rStyle w:val="FootnoteReference"/>
        </w:rPr>
        <w:footnoteRef/>
      </w:r>
      <w:r>
        <w:t xml:space="preserve"> </w:t>
      </w:r>
      <w:proofErr w:type="spellStart"/>
      <w:r w:rsidRPr="00726C29">
        <w:t>AdCF</w:t>
      </w:r>
      <w:proofErr w:type="spellEnd"/>
      <w:r w:rsidRPr="00726C29">
        <w:t>, La revitalisation des friches in</w:t>
      </w:r>
      <w:r>
        <w:t>dustrielles. Mai 2020</w:t>
      </w:r>
    </w:p>
  </w:footnote>
  <w:footnote w:id="45">
    <w:p w14:paraId="50603998" w14:textId="77777777" w:rsidR="00421600" w:rsidRPr="008B3DAA" w:rsidRDefault="00421600" w:rsidP="00421600">
      <w:pPr>
        <w:pStyle w:val="FootnoteText"/>
      </w:pPr>
      <w:r>
        <w:rPr>
          <w:rStyle w:val="FootnoteReference"/>
        </w:rPr>
        <w:footnoteRef/>
      </w:r>
      <w:r w:rsidRPr="00726C29">
        <w:t xml:space="preserve"> </w:t>
      </w:r>
      <w:proofErr w:type="spellStart"/>
      <w:r w:rsidRPr="00726C29">
        <w:t>AdCF</w:t>
      </w:r>
      <w:proofErr w:type="spellEnd"/>
      <w:r w:rsidRPr="00726C29">
        <w:t>, La revitalisation des friches in</w:t>
      </w:r>
      <w:r>
        <w:t xml:space="preserve">dustrielles. </w:t>
      </w:r>
      <w:r w:rsidRPr="008B3DAA">
        <w:t>Mai 2020</w:t>
      </w:r>
    </w:p>
  </w:footnote>
  <w:footnote w:id="46">
    <w:p w14:paraId="7603CB3C" w14:textId="487B0718" w:rsidR="00356A54" w:rsidRDefault="00356A54">
      <w:pPr>
        <w:pStyle w:val="FootnoteText"/>
      </w:pPr>
      <w:r>
        <w:rPr>
          <w:rStyle w:val="FootnoteReference"/>
        </w:rPr>
        <w:footnoteRef/>
      </w:r>
      <w:r>
        <w:t xml:space="preserve"> </w:t>
      </w:r>
      <w:r w:rsidRPr="00542762">
        <w:t>Annexe relative aux principes d’action du FRATRI</w:t>
      </w:r>
    </w:p>
  </w:footnote>
  <w:footnote w:id="47">
    <w:p w14:paraId="2E5D6A85" w14:textId="77777777" w:rsidR="00356A54" w:rsidRPr="008B3DAA" w:rsidRDefault="00356A54" w:rsidP="000B213D">
      <w:pPr>
        <w:pStyle w:val="FootnoteText"/>
      </w:pPr>
      <w:r>
        <w:rPr>
          <w:rStyle w:val="FootnoteReference"/>
        </w:rPr>
        <w:footnoteRef/>
      </w:r>
      <w:r w:rsidRPr="008B3DAA">
        <w:t xml:space="preserve"> </w:t>
      </w:r>
      <w:hyperlink r:id="rId29" w:history="1">
        <w:r w:rsidRPr="008B3DAA">
          <w:rPr>
            <w:rStyle w:val="Hyperlink"/>
          </w:rPr>
          <w:t>https://opendata.reseaux-energies.fr</w:t>
        </w:r>
      </w:hyperlink>
      <w:r w:rsidRPr="008B3DAA">
        <w:t xml:space="preserve"> </w:t>
      </w:r>
    </w:p>
  </w:footnote>
  <w:footnote w:id="48">
    <w:p w14:paraId="21789131" w14:textId="77777777" w:rsidR="00356A54" w:rsidRDefault="00356A54" w:rsidP="0059779F">
      <w:pPr>
        <w:pStyle w:val="FootnoteText"/>
      </w:pPr>
      <w:r>
        <w:rPr>
          <w:rStyle w:val="FootnoteReference"/>
        </w:rPr>
        <w:footnoteRef/>
      </w:r>
      <w:r>
        <w:t xml:space="preserve"> Données </w:t>
      </w:r>
      <w:r w:rsidRPr="00676CD4">
        <w:t>eCO2mix_RTE</w:t>
      </w:r>
      <w:r>
        <w:t>, estimation</w:t>
      </w:r>
      <w:r w:rsidRPr="00676CD4">
        <w:t xml:space="preserve"> Technopolis</w:t>
      </w:r>
      <w:r>
        <w:t xml:space="preserve"> </w:t>
      </w:r>
    </w:p>
  </w:footnote>
  <w:footnote w:id="49">
    <w:p w14:paraId="2966D128" w14:textId="77777777" w:rsidR="00356A54" w:rsidRDefault="00356A54" w:rsidP="0059779F">
      <w:pPr>
        <w:pStyle w:val="FootnoteText"/>
      </w:pPr>
      <w:r>
        <w:rPr>
          <w:rStyle w:val="FootnoteReference"/>
        </w:rPr>
        <w:footnoteRef/>
      </w:r>
      <w:r>
        <w:t xml:space="preserve"> En supposant que 85% des capacités réservées soient pour la distribution</w:t>
      </w:r>
    </w:p>
  </w:footnote>
  <w:footnote w:id="50">
    <w:p w14:paraId="6872A287" w14:textId="77777777" w:rsidR="00356A54" w:rsidRDefault="00356A54" w:rsidP="0059779F">
      <w:pPr>
        <w:pStyle w:val="FootnoteText"/>
      </w:pPr>
      <w:r>
        <w:rPr>
          <w:rStyle w:val="FootnoteReference"/>
        </w:rPr>
        <w:footnoteRef/>
      </w:r>
      <w:r>
        <w:t xml:space="preserve"> Selon les informations recueillies auprès de nos interlocuteurs</w:t>
      </w:r>
    </w:p>
  </w:footnote>
  <w:footnote w:id="51">
    <w:p w14:paraId="748FCF53" w14:textId="7389D03A" w:rsidR="00356A54" w:rsidRPr="00DD3EE3" w:rsidRDefault="00356A54" w:rsidP="006656E3">
      <w:pPr>
        <w:pStyle w:val="FootnoteText"/>
        <w:ind w:left="0" w:firstLine="0"/>
      </w:pPr>
      <w:r>
        <w:rPr>
          <w:rStyle w:val="FootnoteReference"/>
        </w:rPr>
        <w:footnoteRef/>
      </w:r>
      <w:r w:rsidRPr="00DD3EE3">
        <w:t xml:space="preserve"> SDES</w:t>
      </w:r>
    </w:p>
  </w:footnote>
  <w:footnote w:id="52">
    <w:p w14:paraId="7540759B" w14:textId="77777777" w:rsidR="00356A54" w:rsidRPr="00DD3EE3" w:rsidRDefault="00356A54" w:rsidP="00F51336">
      <w:pPr>
        <w:pStyle w:val="FootnoteText"/>
      </w:pPr>
      <w:r>
        <w:rPr>
          <w:rStyle w:val="FootnoteReference"/>
        </w:rPr>
        <w:footnoteRef/>
      </w:r>
      <w:r w:rsidRPr="00DD3EE3">
        <w:t xml:space="preserve"> IGN </w:t>
      </w:r>
      <w:proofErr w:type="spellStart"/>
      <w:r w:rsidRPr="00DD3EE3">
        <w:t>bd_forêt</w:t>
      </w:r>
      <w:proofErr w:type="spellEnd"/>
    </w:p>
  </w:footnote>
  <w:footnote w:id="53">
    <w:p w14:paraId="44ECC387" w14:textId="77777777" w:rsidR="00356A54" w:rsidRPr="00DD3EE3" w:rsidRDefault="00356A54" w:rsidP="00F51336">
      <w:pPr>
        <w:pStyle w:val="FootnoteText"/>
      </w:pPr>
      <w:r>
        <w:rPr>
          <w:rStyle w:val="FootnoteReference"/>
        </w:rPr>
        <w:footnoteRef/>
      </w:r>
      <w:r w:rsidRPr="00DD3EE3">
        <w:t xml:space="preserve"> DRAAF, EAB, 2019</w:t>
      </w:r>
    </w:p>
  </w:footnote>
  <w:footnote w:id="54">
    <w:p w14:paraId="7332131D" w14:textId="77777777" w:rsidR="00356A54" w:rsidRDefault="00356A54" w:rsidP="00DD2255">
      <w:pPr>
        <w:pStyle w:val="FootnoteText"/>
      </w:pPr>
      <w:r>
        <w:rPr>
          <w:rStyle w:val="FootnoteReference"/>
        </w:rPr>
        <w:footnoteRef/>
      </w:r>
      <w:r>
        <w:t xml:space="preserve"> </w:t>
      </w:r>
      <w:r w:rsidRPr="000D1800">
        <w:t>Les textes réglementaires et les outils d’aides publiques considèrent comme « vertueux » un réseau de chaleur (ou une extension de réseau) valorisant au moins 50 % d’énergie renouvelable et de récupération</w:t>
      </w:r>
    </w:p>
  </w:footnote>
  <w:footnote w:id="55">
    <w:p w14:paraId="631436E5" w14:textId="77777777" w:rsidR="00356A54" w:rsidRDefault="00356A54" w:rsidP="00DD2255">
      <w:pPr>
        <w:pStyle w:val="FootnoteText"/>
      </w:pPr>
      <w:r>
        <w:rPr>
          <w:rStyle w:val="FootnoteReference"/>
        </w:rPr>
        <w:footnoteRef/>
      </w:r>
      <w:r>
        <w:t xml:space="preserve"> </w:t>
      </w:r>
      <w:r w:rsidRPr="004B7166">
        <w:t>SNCU, 2017</w:t>
      </w:r>
    </w:p>
  </w:footnote>
  <w:footnote w:id="56">
    <w:p w14:paraId="198AD6AC" w14:textId="77777777" w:rsidR="00356A54" w:rsidRDefault="00356A54" w:rsidP="00DD2255">
      <w:pPr>
        <w:pStyle w:val="FootnoteText"/>
      </w:pPr>
      <w:r>
        <w:rPr>
          <w:rStyle w:val="FootnoteReference"/>
        </w:rPr>
        <w:footnoteRef/>
      </w:r>
      <w:r>
        <w:t xml:space="preserve"> </w:t>
      </w:r>
      <w:r w:rsidRPr="006860D4">
        <w:t>le marché mondial de l’exploitation de ces réseaux est dominé par 5 opérateurs qui détiennent 90% du marché dont 2 groupes français pesant 80% du marché</w:t>
      </w:r>
    </w:p>
  </w:footnote>
  <w:footnote w:id="57">
    <w:p w14:paraId="7E5A320A" w14:textId="77777777" w:rsidR="00356A54" w:rsidRDefault="00356A54" w:rsidP="00DD2255">
      <w:pPr>
        <w:pStyle w:val="FootnoteText"/>
      </w:pPr>
      <w:r>
        <w:rPr>
          <w:rStyle w:val="FootnoteReference"/>
        </w:rPr>
        <w:footnoteRef/>
      </w:r>
      <w:r>
        <w:t xml:space="preserve"> </w:t>
      </w:r>
      <w:r w:rsidRPr="00052C56">
        <w:t>Les réseaux de chaleur et de froid : état des lieux de la filière en 2017</w:t>
      </w:r>
    </w:p>
  </w:footnote>
  <w:footnote w:id="58">
    <w:p w14:paraId="653E9441" w14:textId="77777777" w:rsidR="00356A54" w:rsidRDefault="00356A54" w:rsidP="00DD2255">
      <w:pPr>
        <w:pStyle w:val="FootnoteText"/>
      </w:pPr>
      <w:r>
        <w:rPr>
          <w:rStyle w:val="FootnoteReference"/>
        </w:rPr>
        <w:footnoteRef/>
      </w:r>
      <w:r>
        <w:t xml:space="preserve"> ADEME </w:t>
      </w:r>
      <w:r w:rsidRPr="00973338">
        <w:t>Les réseaux de chaleur et de froid : état des lieux de la filière en 2017</w:t>
      </w:r>
    </w:p>
  </w:footnote>
  <w:footnote w:id="59">
    <w:p w14:paraId="1F2EC8B6" w14:textId="77777777" w:rsidR="00356A54" w:rsidRDefault="00356A54" w:rsidP="00FB0CA4">
      <w:pPr>
        <w:pStyle w:val="FootnoteText"/>
      </w:pPr>
      <w:r>
        <w:rPr>
          <w:rStyle w:val="FootnoteReference"/>
        </w:rPr>
        <w:footnoteRef/>
      </w:r>
      <w:r>
        <w:t xml:space="preserve"> </w:t>
      </w:r>
      <w:hyperlink r:id="rId30" w:history="1">
        <w:r w:rsidRPr="00857363">
          <w:rPr>
            <w:rStyle w:val="Hyperlink"/>
          </w:rPr>
          <w:t>https://www.geothermies.fr/outils/guides/cartes-des-installations-de-geothermie-en-hauts-de-france-2019</w:t>
        </w:r>
      </w:hyperlink>
      <w:r>
        <w:t xml:space="preserve"> </w:t>
      </w:r>
    </w:p>
  </w:footnote>
  <w:footnote w:id="60">
    <w:p w14:paraId="60D6A2F1" w14:textId="77777777" w:rsidR="00356A54" w:rsidRDefault="00356A54" w:rsidP="00FB0CA4">
      <w:pPr>
        <w:pStyle w:val="FootnoteText"/>
      </w:pPr>
      <w:r>
        <w:rPr>
          <w:rStyle w:val="FootnoteReference"/>
        </w:rPr>
        <w:footnoteRef/>
      </w:r>
      <w:r>
        <w:t xml:space="preserve"> Estimations Technopolis</w:t>
      </w:r>
    </w:p>
  </w:footnote>
  <w:footnote w:id="61">
    <w:p w14:paraId="2535D391" w14:textId="77777777" w:rsidR="00356A54" w:rsidRDefault="00356A54" w:rsidP="00FB0CA4">
      <w:pPr>
        <w:pStyle w:val="FootnoteText"/>
      </w:pPr>
      <w:r>
        <w:rPr>
          <w:rStyle w:val="FootnoteReference"/>
        </w:rPr>
        <w:footnoteRef/>
      </w:r>
      <w:r>
        <w:t xml:space="preserve"> ADEME fiche </w:t>
      </w:r>
      <w:r w:rsidRPr="00E13C73">
        <w:t>Géothermie</w:t>
      </w:r>
    </w:p>
  </w:footnote>
  <w:footnote w:id="62">
    <w:p w14:paraId="4A77F05D" w14:textId="77777777" w:rsidR="00356A54" w:rsidRDefault="00356A54" w:rsidP="00430A22">
      <w:pPr>
        <w:pStyle w:val="FootnoteText"/>
      </w:pPr>
      <w:r>
        <w:rPr>
          <w:rStyle w:val="FootnoteReference"/>
        </w:rPr>
        <w:footnoteRef/>
      </w:r>
      <w:r>
        <w:t xml:space="preserve"> En formulant l’hypothèse que </w:t>
      </w:r>
      <w:r w:rsidRPr="000C7FCD">
        <w:t>4,2</w:t>
      </w:r>
      <w:r>
        <w:t xml:space="preserve"> GW de puissance installée pour un STEP a une production moyenne de </w:t>
      </w:r>
      <w:r w:rsidRPr="000C7FCD">
        <w:t>1,2</w:t>
      </w:r>
      <w:r>
        <w:t xml:space="preserve"> TWh</w:t>
      </w:r>
    </w:p>
  </w:footnote>
  <w:footnote w:id="63">
    <w:p w14:paraId="1F989ECC" w14:textId="77777777" w:rsidR="00356A54" w:rsidRDefault="00356A54" w:rsidP="006D6760">
      <w:pPr>
        <w:pStyle w:val="FootnoteText"/>
      </w:pPr>
      <w:r>
        <w:rPr>
          <w:rStyle w:val="FootnoteReference"/>
        </w:rPr>
        <w:footnoteRef/>
      </w:r>
      <w:r>
        <w:t xml:space="preserve"> </w:t>
      </w:r>
      <w:r w:rsidRPr="000C7FCD">
        <w:t>production de l'hydrogène à partir du gaz naturel</w:t>
      </w:r>
    </w:p>
  </w:footnote>
  <w:footnote w:id="64">
    <w:p w14:paraId="3D10CC8E" w14:textId="77777777" w:rsidR="00356A54" w:rsidRDefault="00356A54" w:rsidP="006D6760">
      <w:pPr>
        <w:pStyle w:val="FootnoteText"/>
      </w:pPr>
      <w:r>
        <w:rPr>
          <w:rStyle w:val="FootnoteReference"/>
        </w:rPr>
        <w:footnoteRef/>
      </w:r>
      <w:r>
        <w:t xml:space="preserve"> Les é</w:t>
      </w:r>
      <w:r w:rsidRPr="004F231D">
        <w:t xml:space="preserve">lectrolyseurs </w:t>
      </w:r>
      <w:proofErr w:type="spellStart"/>
      <w:r w:rsidRPr="004F231D">
        <w:t>McPhy</w:t>
      </w:r>
      <w:proofErr w:type="spellEnd"/>
      <w:r>
        <w:t xml:space="preserve"> sont des électrolyseurs alcalins</w:t>
      </w:r>
    </w:p>
  </w:footnote>
  <w:footnote w:id="65">
    <w:p w14:paraId="48843243" w14:textId="77777777" w:rsidR="00356A54" w:rsidRDefault="00356A54" w:rsidP="006D6760">
      <w:pPr>
        <w:pStyle w:val="FootnoteText"/>
      </w:pPr>
      <w:r>
        <w:rPr>
          <w:rStyle w:val="FootnoteReference"/>
        </w:rPr>
        <w:footnoteRef/>
      </w:r>
      <w:r>
        <w:t xml:space="preserve"> </w:t>
      </w:r>
      <w:r w:rsidRPr="000C7FCD">
        <w:t xml:space="preserve">Carbon Capture, </w:t>
      </w:r>
      <w:proofErr w:type="spellStart"/>
      <w:r w:rsidRPr="000C7FCD">
        <w:t>Utilization</w:t>
      </w:r>
      <w:proofErr w:type="spellEnd"/>
      <w:r w:rsidRPr="000C7FCD">
        <w:t>, and Storage</w:t>
      </w:r>
    </w:p>
  </w:footnote>
  <w:footnote w:id="66">
    <w:p w14:paraId="1289038B" w14:textId="77777777" w:rsidR="00356A54" w:rsidRDefault="00356A54" w:rsidP="006D6760">
      <w:pPr>
        <w:pStyle w:val="FootnoteText"/>
      </w:pPr>
      <w:r>
        <w:rPr>
          <w:rStyle w:val="FootnoteReference"/>
        </w:rPr>
        <w:footnoteRef/>
      </w:r>
      <w:r>
        <w:t xml:space="preserve"> Ce volume d’investissement devra être affiné/précisé</w:t>
      </w:r>
    </w:p>
  </w:footnote>
  <w:footnote w:id="67">
    <w:p w14:paraId="013619CA" w14:textId="77777777" w:rsidR="00356A54" w:rsidRDefault="00356A54" w:rsidP="00B13DC9">
      <w:pPr>
        <w:pStyle w:val="FootnoteText"/>
      </w:pPr>
      <w:r>
        <w:rPr>
          <w:rStyle w:val="FootnoteReference"/>
        </w:rPr>
        <w:footnoteRef/>
      </w:r>
      <w:r>
        <w:t xml:space="preserve"> Région Hauts de </w:t>
      </w:r>
      <w:r w:rsidRPr="001556D4">
        <w:t>France, SRADDET, Juin 2020</w:t>
      </w:r>
    </w:p>
  </w:footnote>
  <w:footnote w:id="68">
    <w:p w14:paraId="7D4C8F44" w14:textId="77777777" w:rsidR="00356A54" w:rsidRDefault="00356A54" w:rsidP="00602C0D">
      <w:pPr>
        <w:pStyle w:val="FootnoteText"/>
      </w:pPr>
      <w:r>
        <w:rPr>
          <w:rStyle w:val="FootnoteReference"/>
        </w:rPr>
        <w:footnoteRef/>
      </w:r>
      <w:r>
        <w:t xml:space="preserve"> Engie Cofely, </w:t>
      </w:r>
      <w:r>
        <w:rPr>
          <w:i/>
          <w:iCs/>
        </w:rPr>
        <w:t>Le nouveau décret tertiaire, un décryptage pour tout comprendre!</w:t>
      </w:r>
      <w:r>
        <w:t xml:space="preserve">, Août 2019. URL : </w:t>
      </w:r>
      <w:hyperlink r:id="rId31" w:history="1">
        <w:r>
          <w:rPr>
            <w:rStyle w:val="Hyperlink"/>
          </w:rPr>
          <w:t>https://www.engie-cofely.fr/actualites/decret-tertiaire/</w:t>
        </w:r>
      </w:hyperlink>
      <w:r>
        <w:t xml:space="preserve"> </w:t>
      </w:r>
    </w:p>
  </w:footnote>
  <w:footnote w:id="69">
    <w:p w14:paraId="4B59872F" w14:textId="77777777" w:rsidR="00356A54" w:rsidRDefault="00356A54" w:rsidP="005C498B">
      <w:pPr>
        <w:pStyle w:val="FootnoteText"/>
      </w:pPr>
      <w:r>
        <w:rPr>
          <w:rStyle w:val="FootnoteReference"/>
        </w:rPr>
        <w:footnoteRef/>
      </w:r>
      <w:r>
        <w:t xml:space="preserve"> Plan lancé en 2009 pour fédérer les acteurs du bâtiment et de l’immobilier autour d’objectifs ambitieux d’efficacité énergétique et environnementale du bâtiment</w:t>
      </w:r>
    </w:p>
  </w:footnote>
  <w:footnote w:id="70">
    <w:p w14:paraId="44A404D1" w14:textId="77777777" w:rsidR="00356A54" w:rsidRDefault="00356A54" w:rsidP="005C498B">
      <w:pPr>
        <w:pStyle w:val="FootnoteText"/>
      </w:pPr>
      <w:r>
        <w:rPr>
          <w:rStyle w:val="FootnoteReference"/>
        </w:rPr>
        <w:footnoteRef/>
      </w:r>
      <w:r>
        <w:t xml:space="preserve"> Plan Bâtiment Durable &amp; IFPEB, </w:t>
      </w:r>
      <w:r>
        <w:rPr>
          <w:i/>
          <w:iCs/>
        </w:rPr>
        <w:t>Charte pour l’efficacité énergétique des bâtiments tertiaires publics et privés – Troisième rapport de suivi</w:t>
      </w:r>
      <w:r>
        <w:t>, 2016</w:t>
      </w:r>
    </w:p>
    <w:p w14:paraId="6359B199" w14:textId="77777777" w:rsidR="00356A54" w:rsidRDefault="00356A54" w:rsidP="005C498B">
      <w:pPr>
        <w:pStyle w:val="FootnoteText"/>
      </w:pPr>
      <w:r>
        <w:t xml:space="preserve">Plan Bâtiment Durable, IFPEB &amp; OID, </w:t>
      </w:r>
      <w:r>
        <w:rPr>
          <w:i/>
          <w:iCs/>
        </w:rPr>
        <w:t>Charte pour l’efficacité énergétique des bâtiments tertiaires publics et privés – Quatrième rapport de suivi</w:t>
      </w:r>
      <w:r>
        <w:t>, 2018</w:t>
      </w:r>
    </w:p>
  </w:footnote>
  <w:footnote w:id="71">
    <w:p w14:paraId="09FA5504" w14:textId="2FFC1E5F" w:rsidR="00356A54" w:rsidRDefault="00356A54">
      <w:pPr>
        <w:pStyle w:val="FootnoteText"/>
      </w:pPr>
      <w:r>
        <w:rPr>
          <w:rStyle w:val="FootnoteReference"/>
        </w:rPr>
        <w:footnoteRef/>
      </w:r>
      <w:r>
        <w:t xml:space="preserve"> Entretien avec Amiens Métropole, le Conseil Départemental de l’Aisne et la Ville de Lille</w:t>
      </w:r>
    </w:p>
  </w:footnote>
  <w:footnote w:id="72">
    <w:p w14:paraId="4351D7C9" w14:textId="77777777" w:rsidR="00356A54" w:rsidRPr="00DD3EE3" w:rsidRDefault="00356A54" w:rsidP="00602C0D">
      <w:pPr>
        <w:pStyle w:val="FootnoteText"/>
      </w:pPr>
      <w:r>
        <w:rPr>
          <w:rStyle w:val="FootnoteReference"/>
        </w:rPr>
        <w:footnoteRef/>
      </w:r>
      <w:r>
        <w:t xml:space="preserve"> CD2E, </w:t>
      </w:r>
      <w:r w:rsidRPr="00B96300">
        <w:rPr>
          <w:i/>
          <w:iCs/>
        </w:rPr>
        <w:t>Bâtiment Durable – vers un changement d’échelle en région Hauts-de-France</w:t>
      </w:r>
      <w:r>
        <w:t xml:space="preserve">, 2021. </w:t>
      </w:r>
      <w:r w:rsidRPr="00DD3EE3">
        <w:t xml:space="preserve">URL : </w:t>
      </w:r>
      <w:hyperlink r:id="rId32" w:history="1">
        <w:r w:rsidRPr="00DD3EE3">
          <w:rPr>
            <w:rStyle w:val="Hyperlink"/>
          </w:rPr>
          <w:t>https://cd2e.com/wp-content/uploads/2021/02/Rapport-BATIMENT-DURABLE-2020.pdf</w:t>
        </w:r>
      </w:hyperlink>
      <w:r w:rsidRPr="00DD3EE3">
        <w:t xml:space="preserve"> </w:t>
      </w:r>
    </w:p>
  </w:footnote>
  <w:footnote w:id="73">
    <w:p w14:paraId="0D0324F3" w14:textId="77777777" w:rsidR="00356A54" w:rsidRDefault="00356A54" w:rsidP="00660751">
      <w:pPr>
        <w:pStyle w:val="FootnoteText"/>
      </w:pPr>
      <w:r>
        <w:rPr>
          <w:rStyle w:val="FootnoteReference"/>
        </w:rPr>
        <w:footnoteRef/>
      </w:r>
      <w:r>
        <w:t xml:space="preserve"> Entretien avec la Communauté urbaine de Dunkerque, le Conseil Départemental de l’Aisne, le Conseil Départemental du Nord et Ville de Lille</w:t>
      </w:r>
    </w:p>
  </w:footnote>
  <w:footnote w:id="74">
    <w:p w14:paraId="7FE4FF48" w14:textId="77777777" w:rsidR="00356A54" w:rsidRPr="00DD3EE3" w:rsidRDefault="00356A54" w:rsidP="00D35460">
      <w:pPr>
        <w:pStyle w:val="FootnoteText"/>
      </w:pPr>
      <w:r>
        <w:rPr>
          <w:rStyle w:val="FootnoteReference"/>
        </w:rPr>
        <w:footnoteRef/>
      </w:r>
      <w:r>
        <w:t xml:space="preserve"> CD2E, </w:t>
      </w:r>
      <w:r w:rsidRPr="00B96300">
        <w:rPr>
          <w:i/>
          <w:iCs/>
        </w:rPr>
        <w:t>Bâtiment Durable – vers un changement d’échelle en région Hauts-de-France</w:t>
      </w:r>
      <w:r>
        <w:t xml:space="preserve">, 2021. </w:t>
      </w:r>
      <w:r w:rsidRPr="00DD3EE3">
        <w:t xml:space="preserve">URL : </w:t>
      </w:r>
      <w:hyperlink r:id="rId33" w:history="1">
        <w:r w:rsidRPr="00DD3EE3">
          <w:rPr>
            <w:rStyle w:val="Hyperlink"/>
          </w:rPr>
          <w:t>https://cd2e.com/wp-content/uploads/2021/02/Rapport-BATIMENT-DURABLE-2020.pdf</w:t>
        </w:r>
      </w:hyperlink>
      <w:r w:rsidRPr="00DD3EE3">
        <w:t xml:space="preserve"> </w:t>
      </w:r>
    </w:p>
  </w:footnote>
  <w:footnote w:id="75">
    <w:p w14:paraId="337DBD19" w14:textId="60762692" w:rsidR="00356A54" w:rsidRDefault="00356A54">
      <w:pPr>
        <w:pStyle w:val="FootnoteText"/>
      </w:pPr>
      <w:r>
        <w:rPr>
          <w:rStyle w:val="FootnoteReference"/>
        </w:rPr>
        <w:footnoteRef/>
      </w:r>
      <w:r>
        <w:t xml:space="preserve"> Entretien avec Amiens Métropole</w:t>
      </w:r>
    </w:p>
  </w:footnote>
  <w:footnote w:id="76">
    <w:p w14:paraId="74A7DB47" w14:textId="13D2131D" w:rsidR="00356A54" w:rsidRDefault="00356A54">
      <w:pPr>
        <w:pStyle w:val="FootnoteText"/>
      </w:pPr>
      <w:r>
        <w:rPr>
          <w:rStyle w:val="FootnoteReference"/>
        </w:rPr>
        <w:footnoteRef/>
      </w:r>
      <w:r>
        <w:t xml:space="preserve"> Entretien avec Amiens Métropole</w:t>
      </w:r>
    </w:p>
  </w:footnote>
  <w:footnote w:id="77">
    <w:p w14:paraId="2AECFCDF" w14:textId="17AD5C76" w:rsidR="00356A54" w:rsidRDefault="00356A54">
      <w:pPr>
        <w:pStyle w:val="FootnoteText"/>
      </w:pPr>
      <w:r>
        <w:rPr>
          <w:rStyle w:val="FootnoteReference"/>
        </w:rPr>
        <w:footnoteRef/>
      </w:r>
      <w:r>
        <w:t xml:space="preserve"> Entretien avec Amiens Métropole et la Ville de Lille</w:t>
      </w:r>
    </w:p>
  </w:footnote>
  <w:footnote w:id="78">
    <w:p w14:paraId="067672D4" w14:textId="7236F931" w:rsidR="00356A54" w:rsidRDefault="00356A54">
      <w:pPr>
        <w:pStyle w:val="FootnoteText"/>
      </w:pPr>
      <w:r>
        <w:rPr>
          <w:rStyle w:val="FootnoteReference"/>
        </w:rPr>
        <w:footnoteRef/>
      </w:r>
      <w:r>
        <w:t xml:space="preserve"> Entretien avec le Conseil Départemental de l’Oise</w:t>
      </w:r>
    </w:p>
  </w:footnote>
  <w:footnote w:id="79">
    <w:p w14:paraId="15DB2FAD" w14:textId="090A36E8" w:rsidR="00356A54" w:rsidRDefault="00356A54">
      <w:pPr>
        <w:pStyle w:val="FootnoteText"/>
      </w:pPr>
      <w:r>
        <w:rPr>
          <w:rStyle w:val="FootnoteReference"/>
        </w:rPr>
        <w:footnoteRef/>
      </w:r>
      <w:r>
        <w:t xml:space="preserve"> Entretien avec la Communauté urbaine de Dunkerque, le Conseil Départemental de l’Aisne, le Conseil Départemental de l’Oise et la Ville de Lille</w:t>
      </w:r>
    </w:p>
  </w:footnote>
  <w:footnote w:id="80">
    <w:p w14:paraId="564B65D6" w14:textId="7B361C07" w:rsidR="00356A54" w:rsidRDefault="00356A54">
      <w:pPr>
        <w:pStyle w:val="FootnoteText"/>
      </w:pPr>
      <w:r>
        <w:rPr>
          <w:rStyle w:val="FootnoteReference"/>
        </w:rPr>
        <w:footnoteRef/>
      </w:r>
      <w:r>
        <w:t xml:space="preserve"> Entretien avec la Ville de Lille</w:t>
      </w:r>
    </w:p>
  </w:footnote>
  <w:footnote w:id="81">
    <w:p w14:paraId="43B58C25" w14:textId="688FE1A8" w:rsidR="00356A54" w:rsidRDefault="00356A54">
      <w:pPr>
        <w:pStyle w:val="FootnoteText"/>
      </w:pPr>
      <w:r>
        <w:rPr>
          <w:rStyle w:val="FootnoteReference"/>
        </w:rPr>
        <w:footnoteRef/>
      </w:r>
      <w:r>
        <w:t xml:space="preserve"> Entretien avec Amiens Métropole et le Conseil Départemental de l’Aisne</w:t>
      </w:r>
    </w:p>
  </w:footnote>
  <w:footnote w:id="82">
    <w:p w14:paraId="1DBFEC3A" w14:textId="2CAD620C" w:rsidR="00356A54" w:rsidRDefault="00356A54">
      <w:pPr>
        <w:pStyle w:val="FootnoteText"/>
      </w:pPr>
      <w:r>
        <w:rPr>
          <w:rStyle w:val="FootnoteReference"/>
        </w:rPr>
        <w:footnoteRef/>
      </w:r>
      <w:r>
        <w:t xml:space="preserve"> Entretien avec la Communauté urbaine de Dunkerque</w:t>
      </w:r>
    </w:p>
  </w:footnote>
  <w:footnote w:id="83">
    <w:p w14:paraId="31DF717D" w14:textId="351C2E07" w:rsidR="00356A54" w:rsidRDefault="00356A54">
      <w:pPr>
        <w:pStyle w:val="FootnoteText"/>
      </w:pPr>
      <w:r>
        <w:rPr>
          <w:rStyle w:val="FootnoteReference"/>
        </w:rPr>
        <w:footnoteRef/>
      </w:r>
      <w:r>
        <w:t xml:space="preserve"> Entretien avec le Conseil Départemental du Nord </w:t>
      </w:r>
    </w:p>
  </w:footnote>
  <w:footnote w:id="84">
    <w:p w14:paraId="0266C52B" w14:textId="2E0A786A" w:rsidR="00356A54" w:rsidRPr="00DD3EE3" w:rsidRDefault="00356A54">
      <w:pPr>
        <w:pStyle w:val="FootnoteText"/>
      </w:pPr>
      <w:r>
        <w:rPr>
          <w:rStyle w:val="FootnoteReference"/>
        </w:rPr>
        <w:footnoteRef/>
      </w:r>
      <w:r>
        <w:t xml:space="preserve"> CERC Hauts-de-France, </w:t>
      </w:r>
      <w:r w:rsidRPr="00427AF3">
        <w:rPr>
          <w:i/>
          <w:iCs/>
        </w:rPr>
        <w:t>Transition énergétique et bâtiment durable : Bilan 2019</w:t>
      </w:r>
      <w:r>
        <w:t xml:space="preserve">, Octobre 2020. </w:t>
      </w:r>
      <w:r w:rsidRPr="00DD3EE3">
        <w:t xml:space="preserve">URL : </w:t>
      </w:r>
      <w:hyperlink r:id="rId34" w:history="1">
        <w:r w:rsidRPr="00DD3EE3">
          <w:rPr>
            <w:rStyle w:val="Hyperlink"/>
          </w:rPr>
          <w:t>http://www.cerc-hautsdefrance.fr/wp-content/uploads/2020/10/BD-Annuel-HDF_2019_VF.pdf</w:t>
        </w:r>
      </w:hyperlink>
      <w:r w:rsidRPr="00DD3EE3">
        <w:t xml:space="preserve"> </w:t>
      </w:r>
    </w:p>
  </w:footnote>
  <w:footnote w:id="85">
    <w:p w14:paraId="71C39ED6" w14:textId="3AFE64B6" w:rsidR="00356A54" w:rsidRPr="00DD3EE3" w:rsidRDefault="00356A54">
      <w:pPr>
        <w:pStyle w:val="FootnoteText"/>
      </w:pPr>
      <w:r>
        <w:rPr>
          <w:rStyle w:val="FootnoteReference"/>
        </w:rPr>
        <w:footnoteRef/>
      </w:r>
      <w:r>
        <w:t xml:space="preserve"> CERC Hauts-de-France, </w:t>
      </w:r>
      <w:r w:rsidRPr="00427AF3">
        <w:rPr>
          <w:i/>
          <w:iCs/>
        </w:rPr>
        <w:t>Transition énergétique et bâtiment durable : Bilan 2019</w:t>
      </w:r>
      <w:r>
        <w:t xml:space="preserve">, Octobre 2020. </w:t>
      </w:r>
      <w:r w:rsidRPr="00DD3EE3">
        <w:t xml:space="preserve">URL : </w:t>
      </w:r>
      <w:hyperlink r:id="rId35" w:history="1">
        <w:r w:rsidRPr="00DD3EE3">
          <w:rPr>
            <w:rStyle w:val="Hyperlink"/>
          </w:rPr>
          <w:t>http://www.cerc-hautsdefrance.fr/wp-content/uploads/2020/10/BD-Annuel-HDF_2019_VF.pdf</w:t>
        </w:r>
      </w:hyperlink>
    </w:p>
  </w:footnote>
  <w:footnote w:id="86">
    <w:p w14:paraId="15FB9FCD" w14:textId="20124824" w:rsidR="00356A54" w:rsidRDefault="00356A54">
      <w:pPr>
        <w:pStyle w:val="FootnoteText"/>
      </w:pPr>
      <w:r>
        <w:rPr>
          <w:rStyle w:val="FootnoteReference"/>
        </w:rPr>
        <w:footnoteRef/>
      </w:r>
      <w:r>
        <w:t xml:space="preserve"> Préfecture des Hauts-de-France, </w:t>
      </w:r>
      <w:r w:rsidRPr="004A0981">
        <w:rPr>
          <w:i/>
          <w:iCs/>
        </w:rPr>
        <w:t>Le parc social en 2020</w:t>
      </w:r>
      <w:r>
        <w:t xml:space="preserve">, </w:t>
      </w:r>
      <w:proofErr w:type="spellStart"/>
      <w:r>
        <w:t>n.d</w:t>
      </w:r>
      <w:proofErr w:type="spellEnd"/>
      <w:r>
        <w:t xml:space="preserve">. URL : </w:t>
      </w:r>
      <w:hyperlink r:id="rId36" w:history="1">
        <w:r w:rsidRPr="00982690">
          <w:rPr>
            <w:rStyle w:val="Hyperlink"/>
          </w:rPr>
          <w:t>https://dreal.statistiques.developpement-durable.gouv.fr/parc_social/2020/hauts_de_france/</w:t>
        </w:r>
      </w:hyperlink>
      <w:r>
        <w:t xml:space="preserve"> </w:t>
      </w:r>
    </w:p>
  </w:footnote>
  <w:footnote w:id="87">
    <w:p w14:paraId="6BB5CA93" w14:textId="77777777" w:rsidR="00356A54" w:rsidRPr="00DD3EE3" w:rsidRDefault="00356A54" w:rsidP="00A3772C">
      <w:pPr>
        <w:pStyle w:val="FootnoteText"/>
      </w:pPr>
      <w:r>
        <w:rPr>
          <w:rStyle w:val="FootnoteReference"/>
        </w:rPr>
        <w:footnoteRef/>
      </w:r>
      <w:r>
        <w:t xml:space="preserve"> CD2E, </w:t>
      </w:r>
      <w:r w:rsidRPr="00B96300">
        <w:rPr>
          <w:i/>
          <w:iCs/>
        </w:rPr>
        <w:t>Bâtiment Durable – vers un changement d’échelle en région Hauts-de-France</w:t>
      </w:r>
      <w:r>
        <w:t xml:space="preserve">, 2021. </w:t>
      </w:r>
      <w:r w:rsidRPr="00DD3EE3">
        <w:t xml:space="preserve">URL : </w:t>
      </w:r>
      <w:hyperlink r:id="rId37" w:history="1">
        <w:r w:rsidRPr="00DD3EE3">
          <w:rPr>
            <w:rStyle w:val="Hyperlink"/>
          </w:rPr>
          <w:t>https://cd2e.com/wp-content/uploads/2021/02/Rapport-BATIMENT-DURABLE-2020.pdf</w:t>
        </w:r>
      </w:hyperlink>
      <w:r w:rsidRPr="00DD3EE3">
        <w:t xml:space="preserve"> </w:t>
      </w:r>
    </w:p>
  </w:footnote>
  <w:footnote w:id="88">
    <w:p w14:paraId="2D489634" w14:textId="77777777" w:rsidR="00356A54" w:rsidRPr="00DD3EE3" w:rsidRDefault="00356A54" w:rsidP="003342C8">
      <w:pPr>
        <w:pStyle w:val="FootnoteText"/>
      </w:pPr>
      <w:r>
        <w:rPr>
          <w:rStyle w:val="FootnoteReference"/>
        </w:rPr>
        <w:footnoteRef/>
      </w:r>
      <w:r>
        <w:t xml:space="preserve"> CD2E, </w:t>
      </w:r>
      <w:r w:rsidRPr="00B96300">
        <w:rPr>
          <w:i/>
          <w:iCs/>
        </w:rPr>
        <w:t>Bâtiment Durable – vers un changement d’échelle en région Hauts-de-France</w:t>
      </w:r>
      <w:r>
        <w:t xml:space="preserve">, 2021. </w:t>
      </w:r>
      <w:r w:rsidRPr="00DD3EE3">
        <w:t xml:space="preserve">URL : </w:t>
      </w:r>
      <w:hyperlink r:id="rId38" w:history="1">
        <w:r w:rsidRPr="00DD3EE3">
          <w:rPr>
            <w:rStyle w:val="Hyperlink"/>
          </w:rPr>
          <w:t>https://cd2e.com/wp-content/uploads/2021/02/Rapport-BATIMENT-DURABLE-2020.pdf</w:t>
        </w:r>
      </w:hyperlink>
      <w:r w:rsidRPr="00DD3EE3">
        <w:t xml:space="preserve"> </w:t>
      </w:r>
    </w:p>
  </w:footnote>
  <w:footnote w:id="89">
    <w:p w14:paraId="21B0C1FD" w14:textId="77777777" w:rsidR="00356A54" w:rsidRDefault="00356A54" w:rsidP="00686C7C">
      <w:pPr>
        <w:pStyle w:val="FootnoteText"/>
      </w:pPr>
      <w:r>
        <w:rPr>
          <w:rStyle w:val="FootnoteReference"/>
        </w:rPr>
        <w:footnoteRef/>
      </w:r>
      <w:r>
        <w:t xml:space="preserve"> Préfecture des Hauts-de-France, </w:t>
      </w:r>
      <w:r w:rsidRPr="004A0981">
        <w:rPr>
          <w:i/>
          <w:iCs/>
        </w:rPr>
        <w:t>Le parc social en 2020</w:t>
      </w:r>
      <w:r>
        <w:t xml:space="preserve">, </w:t>
      </w:r>
      <w:proofErr w:type="spellStart"/>
      <w:r>
        <w:t>n.d</w:t>
      </w:r>
      <w:proofErr w:type="spellEnd"/>
      <w:r>
        <w:t xml:space="preserve">. URL : </w:t>
      </w:r>
      <w:hyperlink r:id="rId39" w:history="1">
        <w:r w:rsidRPr="00982690">
          <w:rPr>
            <w:rStyle w:val="Hyperlink"/>
          </w:rPr>
          <w:t>https://dreal.statistiques.developpement-durable.gouv.fr/parc_social/2020/hauts_de_france/</w:t>
        </w:r>
      </w:hyperlink>
      <w:r>
        <w:t xml:space="preserve"> </w:t>
      </w:r>
    </w:p>
  </w:footnote>
  <w:footnote w:id="90">
    <w:p w14:paraId="2E504F55" w14:textId="77777777" w:rsidR="00356A54" w:rsidRPr="00DD3EE3" w:rsidRDefault="00356A54" w:rsidP="008E09D0">
      <w:pPr>
        <w:pStyle w:val="FootnoteText"/>
      </w:pPr>
      <w:r>
        <w:rPr>
          <w:rStyle w:val="FootnoteReference"/>
        </w:rPr>
        <w:footnoteRef/>
      </w:r>
      <w:r>
        <w:t xml:space="preserve"> CERC Hauts-de-France, </w:t>
      </w:r>
      <w:r w:rsidRPr="00427AF3">
        <w:rPr>
          <w:i/>
          <w:iCs/>
        </w:rPr>
        <w:t>Transition énergétique et bâtiment durable : Bilan 2019</w:t>
      </w:r>
      <w:r>
        <w:t xml:space="preserve">, Octobre 2020. </w:t>
      </w:r>
      <w:r w:rsidRPr="00DD3EE3">
        <w:t xml:space="preserve">URL : </w:t>
      </w:r>
      <w:hyperlink r:id="rId40" w:history="1">
        <w:r w:rsidRPr="00DD3EE3">
          <w:rPr>
            <w:rStyle w:val="Hyperlink"/>
          </w:rPr>
          <w:t>http://www.cerc-hautsdefrance.fr/wp-content/uploads/2020/10/BD-Annuel-HDF_2019_VF.pdf</w:t>
        </w:r>
      </w:hyperlink>
    </w:p>
  </w:footnote>
  <w:footnote w:id="91">
    <w:p w14:paraId="0F59B43D" w14:textId="77777777" w:rsidR="00356A54" w:rsidRDefault="00356A54" w:rsidP="00AF0FCE">
      <w:pPr>
        <w:pStyle w:val="FootnoteText"/>
      </w:pPr>
      <w:r>
        <w:rPr>
          <w:rStyle w:val="FootnoteReference"/>
        </w:rPr>
        <w:footnoteRef/>
      </w:r>
      <w:r>
        <w:t xml:space="preserve"> Entretien avec Oise Habitat</w:t>
      </w:r>
    </w:p>
  </w:footnote>
  <w:footnote w:id="92">
    <w:p w14:paraId="46E88481" w14:textId="77777777" w:rsidR="00356A54" w:rsidRDefault="00356A54" w:rsidP="00AF0FCE">
      <w:pPr>
        <w:pStyle w:val="FootnoteText"/>
      </w:pPr>
      <w:r>
        <w:rPr>
          <w:rStyle w:val="FootnoteReference"/>
        </w:rPr>
        <w:footnoteRef/>
      </w:r>
      <w:r>
        <w:t xml:space="preserve"> Entretien avec Oise Habitat</w:t>
      </w:r>
    </w:p>
  </w:footnote>
  <w:footnote w:id="93">
    <w:p w14:paraId="313FAF9F" w14:textId="7D48FEDD" w:rsidR="00356A54" w:rsidRDefault="00356A54">
      <w:pPr>
        <w:pStyle w:val="FootnoteText"/>
      </w:pPr>
      <w:r>
        <w:rPr>
          <w:rStyle w:val="FootnoteReference"/>
        </w:rPr>
        <w:footnoteRef/>
      </w:r>
      <w:r>
        <w:t xml:space="preserve"> Entretien avec Oise Habitat</w:t>
      </w:r>
    </w:p>
  </w:footnote>
  <w:footnote w:id="94">
    <w:p w14:paraId="1C51F861" w14:textId="083913E3" w:rsidR="00356A54" w:rsidRPr="00DD3EE3" w:rsidRDefault="00356A54">
      <w:pPr>
        <w:pStyle w:val="FootnoteText"/>
      </w:pPr>
      <w:r>
        <w:rPr>
          <w:rStyle w:val="FootnoteReference"/>
        </w:rPr>
        <w:footnoteRef/>
      </w:r>
      <w:r>
        <w:t xml:space="preserve"> Le Monde, </w:t>
      </w:r>
      <w:r w:rsidRPr="005C3761">
        <w:rPr>
          <w:i/>
          <w:iCs/>
        </w:rPr>
        <w:t>Pénurie et flambée des prix : la filière bois au bord de la crise de nerfs</w:t>
      </w:r>
      <w:r>
        <w:t xml:space="preserve">, Mai 2021. </w:t>
      </w:r>
      <w:r w:rsidRPr="00DD3EE3">
        <w:t xml:space="preserve">URL : </w:t>
      </w:r>
      <w:hyperlink r:id="rId41" w:history="1">
        <w:r w:rsidRPr="00DD3EE3">
          <w:rPr>
            <w:rStyle w:val="Hyperlink"/>
          </w:rPr>
          <w:t>https://www.lemonde.fr/economie/article/2021/05/26/penurie-et-flambee-des-prix-la-filiere-bois-au-bord-de-la-crise-de-nerfs_6081522_3234.html</w:t>
        </w:r>
      </w:hyperlink>
      <w:r w:rsidRPr="00DD3EE3">
        <w:t xml:space="preserve"> </w:t>
      </w:r>
    </w:p>
  </w:footnote>
  <w:footnote w:id="95">
    <w:p w14:paraId="1E1F276A" w14:textId="33A29362" w:rsidR="00356A54" w:rsidRPr="00DD3EE3" w:rsidRDefault="00356A54">
      <w:pPr>
        <w:pStyle w:val="FootnoteText"/>
      </w:pPr>
      <w:r>
        <w:rPr>
          <w:rStyle w:val="FootnoteReference"/>
        </w:rPr>
        <w:footnoteRef/>
      </w:r>
      <w:r>
        <w:t xml:space="preserve"> Actu-Environnement.com, </w:t>
      </w:r>
      <w:r w:rsidRPr="00102FC6">
        <w:rPr>
          <w:i/>
          <w:iCs/>
        </w:rPr>
        <w:t>Construction neuve : comment le bois va tirer son épingle du jeu</w:t>
      </w:r>
      <w:r>
        <w:t xml:space="preserve">, Mars 2021. </w:t>
      </w:r>
      <w:r w:rsidRPr="00DD3EE3">
        <w:t xml:space="preserve">URL : </w:t>
      </w:r>
      <w:hyperlink r:id="rId42" w:history="1">
        <w:r w:rsidRPr="00DD3EE3">
          <w:rPr>
            <w:rStyle w:val="Hyperlink"/>
          </w:rPr>
          <w:t>https://www.actu-environnement.com/ae/news/filiere-bois-RE2020-construction-neuve-mixite-materiaux-beton-bbca-icade-btpconsultants-fibois-37209.php4</w:t>
        </w:r>
      </w:hyperlink>
      <w:r w:rsidRPr="00DD3EE3">
        <w:t xml:space="preserve"> </w:t>
      </w:r>
    </w:p>
  </w:footnote>
  <w:footnote w:id="96">
    <w:p w14:paraId="4ADC6F68" w14:textId="78301048" w:rsidR="00356A54" w:rsidRPr="00DD3EE3" w:rsidRDefault="00356A54">
      <w:pPr>
        <w:pStyle w:val="FootnoteText"/>
      </w:pPr>
      <w:r>
        <w:rPr>
          <w:rStyle w:val="FootnoteReference"/>
        </w:rPr>
        <w:footnoteRef/>
      </w:r>
      <w:r>
        <w:t xml:space="preserve"> CCI Hauts-de-France, </w:t>
      </w:r>
      <w:r w:rsidRPr="004A49BF">
        <w:rPr>
          <w:i/>
          <w:iCs/>
        </w:rPr>
        <w:t>Chiffres clés Hauts-de-France – édition 2020</w:t>
      </w:r>
      <w:r>
        <w:t xml:space="preserve">, Septembre 2020. </w:t>
      </w:r>
      <w:r w:rsidRPr="00DD3EE3">
        <w:t xml:space="preserve">URL : </w:t>
      </w:r>
      <w:hyperlink r:id="rId43" w:history="1">
        <w:r w:rsidRPr="00DD3EE3">
          <w:rPr>
            <w:rStyle w:val="Hyperlink"/>
          </w:rPr>
          <w:t>https://hautsdefrance.cci.fr/content/uploads/sites/6/2020/09/chiffres-cles-hdf-2020-21x21-1.pdf</w:t>
        </w:r>
      </w:hyperlink>
      <w:r w:rsidRPr="00DD3EE3">
        <w:t xml:space="preserve"> </w:t>
      </w:r>
    </w:p>
  </w:footnote>
  <w:footnote w:id="97">
    <w:p w14:paraId="50276EA6" w14:textId="77777777" w:rsidR="00356A54" w:rsidRDefault="00356A54" w:rsidP="00197EB2">
      <w:pPr>
        <w:pStyle w:val="FootnoteText"/>
      </w:pPr>
      <w:r>
        <w:rPr>
          <w:rStyle w:val="FootnoteReference"/>
        </w:rPr>
        <w:footnoteRef/>
      </w:r>
      <w:r>
        <w:t xml:space="preserve"> Entretien avec Oise Habitat et </w:t>
      </w:r>
      <w:proofErr w:type="spellStart"/>
      <w:r>
        <w:t>Vilogia</w:t>
      </w:r>
      <w:proofErr w:type="spellEnd"/>
    </w:p>
  </w:footnote>
  <w:footnote w:id="98">
    <w:p w14:paraId="4990D325" w14:textId="73871E82" w:rsidR="00356A54" w:rsidRDefault="00356A54">
      <w:pPr>
        <w:pStyle w:val="FootnoteText"/>
      </w:pPr>
      <w:r>
        <w:rPr>
          <w:rStyle w:val="FootnoteReference"/>
        </w:rPr>
        <w:footnoteRef/>
      </w:r>
      <w:r>
        <w:t xml:space="preserve"> Entretien avec </w:t>
      </w:r>
      <w:proofErr w:type="spellStart"/>
      <w:r>
        <w:t>Vilogia</w:t>
      </w:r>
      <w:proofErr w:type="spellEnd"/>
    </w:p>
  </w:footnote>
  <w:footnote w:id="99">
    <w:p w14:paraId="674849C6" w14:textId="77777777" w:rsidR="00356A54" w:rsidRDefault="00356A54" w:rsidP="00080273">
      <w:pPr>
        <w:pStyle w:val="FootnoteText"/>
      </w:pPr>
      <w:r>
        <w:rPr>
          <w:rStyle w:val="FootnoteReference"/>
        </w:rPr>
        <w:footnoteRef/>
      </w:r>
      <w:r>
        <w:t xml:space="preserve"> Entretien avec Oise Habitat</w:t>
      </w:r>
    </w:p>
  </w:footnote>
  <w:footnote w:id="100">
    <w:p w14:paraId="5B432D29" w14:textId="6991E6C2" w:rsidR="00356A54" w:rsidRDefault="00356A54" w:rsidP="00080273">
      <w:pPr>
        <w:pStyle w:val="FootnoteText"/>
      </w:pPr>
      <w:r>
        <w:rPr>
          <w:rStyle w:val="FootnoteReference"/>
        </w:rPr>
        <w:footnoteRef/>
      </w:r>
      <w:r>
        <w:t xml:space="preserve"> Entretien avec </w:t>
      </w:r>
      <w:proofErr w:type="spellStart"/>
      <w:r>
        <w:t>Vilogia</w:t>
      </w:r>
      <w:proofErr w:type="spellEnd"/>
      <w:r>
        <w:t xml:space="preserve"> et Union Habitat</w:t>
      </w:r>
    </w:p>
  </w:footnote>
  <w:footnote w:id="101">
    <w:p w14:paraId="30F15259" w14:textId="752FCC9C" w:rsidR="00356A54" w:rsidRDefault="00356A54">
      <w:pPr>
        <w:pStyle w:val="FootnoteText"/>
      </w:pPr>
      <w:r>
        <w:rPr>
          <w:rStyle w:val="FootnoteReference"/>
        </w:rPr>
        <w:footnoteRef/>
      </w:r>
      <w:r>
        <w:t xml:space="preserve"> Entretien avec Oise Habitat</w:t>
      </w:r>
    </w:p>
  </w:footnote>
  <w:footnote w:id="102">
    <w:p w14:paraId="3E924672" w14:textId="06547EA3" w:rsidR="00356A54" w:rsidRDefault="00356A54" w:rsidP="000F0769">
      <w:pPr>
        <w:pStyle w:val="FootnoteText"/>
      </w:pPr>
      <w:r>
        <w:rPr>
          <w:rStyle w:val="FootnoteReference"/>
        </w:rPr>
        <w:footnoteRef/>
      </w:r>
      <w:r>
        <w:t xml:space="preserve"> Entretien avec Oise Habitat</w:t>
      </w:r>
    </w:p>
  </w:footnote>
  <w:footnote w:id="103">
    <w:p w14:paraId="113DF5D7" w14:textId="1D99D4C4" w:rsidR="00356A54" w:rsidRDefault="00356A54">
      <w:pPr>
        <w:pStyle w:val="FootnoteText"/>
      </w:pPr>
      <w:r>
        <w:rPr>
          <w:rStyle w:val="FootnoteReference"/>
        </w:rPr>
        <w:footnoteRef/>
      </w:r>
      <w:r>
        <w:t xml:space="preserve"> Entretien avec </w:t>
      </w:r>
      <w:proofErr w:type="spellStart"/>
      <w:r>
        <w:t>Vilogia</w:t>
      </w:r>
      <w:proofErr w:type="spellEnd"/>
      <w:r>
        <w:t xml:space="preserve"> et Union Habitat</w:t>
      </w:r>
    </w:p>
  </w:footnote>
  <w:footnote w:id="104">
    <w:p w14:paraId="3259D372" w14:textId="77777777" w:rsidR="00356A54" w:rsidRPr="00DD3EE3" w:rsidRDefault="00356A54" w:rsidP="00F540D9">
      <w:pPr>
        <w:pStyle w:val="FootnoteText"/>
      </w:pPr>
      <w:r>
        <w:rPr>
          <w:rStyle w:val="FootnoteReference"/>
        </w:rPr>
        <w:footnoteRef/>
      </w:r>
      <w:r>
        <w:t xml:space="preserve"> CERC Hauts-de-France, </w:t>
      </w:r>
      <w:r w:rsidRPr="00427AF3">
        <w:rPr>
          <w:i/>
          <w:iCs/>
        </w:rPr>
        <w:t>Transition énergétique et bâtiment durable : Bilan 2019</w:t>
      </w:r>
      <w:r>
        <w:t xml:space="preserve">, Octobre 2020. </w:t>
      </w:r>
      <w:r w:rsidRPr="00DD3EE3">
        <w:t xml:space="preserve">URL : </w:t>
      </w:r>
      <w:hyperlink r:id="rId44" w:history="1">
        <w:r w:rsidRPr="00DD3EE3">
          <w:rPr>
            <w:rStyle w:val="Hyperlink"/>
          </w:rPr>
          <w:t>http://www.cerc-hautsdefrance.fr/wp-content/uploads/2020/10/BD-Annuel-HDF_2019_VF.pdf</w:t>
        </w:r>
      </w:hyperlink>
    </w:p>
  </w:footnote>
  <w:footnote w:id="105">
    <w:p w14:paraId="6E4735BC" w14:textId="77777777" w:rsidR="00356A54" w:rsidRPr="00DD3EE3" w:rsidRDefault="00356A54" w:rsidP="00FE10DC">
      <w:pPr>
        <w:pStyle w:val="FootnoteText"/>
      </w:pPr>
      <w:r>
        <w:rPr>
          <w:rStyle w:val="FootnoteReference"/>
        </w:rPr>
        <w:footnoteRef/>
      </w:r>
      <w:r>
        <w:t xml:space="preserve"> Ministère de la Transition écologique, </w:t>
      </w:r>
      <w:r>
        <w:rPr>
          <w:i/>
          <w:iCs/>
        </w:rPr>
        <w:t>Document de travail n°49 – Le parc de logement par classe de consommation énergétique</w:t>
      </w:r>
      <w:r>
        <w:t xml:space="preserve">, Septembre 2020. </w:t>
      </w:r>
      <w:r w:rsidRPr="00DD3EE3">
        <w:t xml:space="preserve">URL : </w:t>
      </w:r>
      <w:hyperlink r:id="rId45" w:history="1">
        <w:r w:rsidRPr="00DD3EE3">
          <w:rPr>
            <w:rStyle w:val="Hyperlink"/>
          </w:rPr>
          <w:t>https://www.statistiques.developpement-durable.gouv.fr/sites/default/files/2020-09/document_travail_49_parc_logements_consommation_energie_septembre2020_0.pdf</w:t>
        </w:r>
      </w:hyperlink>
      <w:r w:rsidRPr="00DD3EE3">
        <w:t xml:space="preserve"> </w:t>
      </w:r>
    </w:p>
  </w:footnote>
  <w:footnote w:id="106">
    <w:p w14:paraId="63D8F381" w14:textId="46FC41EA" w:rsidR="00356A54" w:rsidRPr="00DD3EE3" w:rsidRDefault="00356A54">
      <w:pPr>
        <w:pStyle w:val="FootnoteText"/>
      </w:pPr>
      <w:r>
        <w:rPr>
          <w:rStyle w:val="FootnoteReference"/>
        </w:rPr>
        <w:footnoteRef/>
      </w:r>
      <w:r>
        <w:t xml:space="preserve"> Préfecture des Hauts-de-France, </w:t>
      </w:r>
      <w:r w:rsidRPr="007F5DD5">
        <w:rPr>
          <w:i/>
          <w:iCs/>
        </w:rPr>
        <w:t>Atlas du parc privé – novembre 2019</w:t>
      </w:r>
      <w:r>
        <w:t xml:space="preserve">, Novembre 2019. </w:t>
      </w:r>
      <w:r w:rsidRPr="00DD3EE3">
        <w:t xml:space="preserve">URL : </w:t>
      </w:r>
      <w:hyperlink r:id="rId46" w:history="1">
        <w:r w:rsidRPr="00DD3EE3">
          <w:rPr>
            <w:rStyle w:val="Hyperlink"/>
          </w:rPr>
          <w:t>http://www.hauts-de-france.developpement-durable.gouv.fr/?Atlas-du-parc-prive-novembre-2019</w:t>
        </w:r>
      </w:hyperlink>
      <w:r w:rsidRPr="00DD3EE3">
        <w:t xml:space="preserve"> </w:t>
      </w:r>
    </w:p>
  </w:footnote>
  <w:footnote w:id="107">
    <w:p w14:paraId="18EA27ED" w14:textId="7FD1A366" w:rsidR="00356A54" w:rsidRPr="00DD3EE3" w:rsidRDefault="00356A54">
      <w:pPr>
        <w:pStyle w:val="FootnoteText"/>
      </w:pPr>
      <w:r>
        <w:rPr>
          <w:rStyle w:val="FootnoteReference"/>
        </w:rPr>
        <w:footnoteRef/>
      </w:r>
      <w:r>
        <w:t xml:space="preserve"> CD2E, </w:t>
      </w:r>
      <w:r w:rsidRPr="00B96300">
        <w:rPr>
          <w:i/>
          <w:iCs/>
        </w:rPr>
        <w:t>Bâtiment Durable – vers un changement d’échelle en région Hauts-de-France</w:t>
      </w:r>
      <w:r>
        <w:t xml:space="preserve">, 2021. </w:t>
      </w:r>
      <w:r w:rsidRPr="00DD3EE3">
        <w:t xml:space="preserve">URL : </w:t>
      </w:r>
      <w:hyperlink r:id="rId47" w:history="1">
        <w:r w:rsidRPr="00DD3EE3">
          <w:rPr>
            <w:rStyle w:val="Hyperlink"/>
          </w:rPr>
          <w:t>https://cd2e.com/wp-content/uploads/2021/02/Rapport-BATIMENT-DURABLE-2020.pdf</w:t>
        </w:r>
      </w:hyperlink>
      <w:r w:rsidRPr="00DD3EE3">
        <w:t xml:space="preserve"> </w:t>
      </w:r>
    </w:p>
  </w:footnote>
  <w:footnote w:id="108">
    <w:p w14:paraId="1358E1B1" w14:textId="77777777" w:rsidR="00356A54" w:rsidRPr="00DD3EE3" w:rsidRDefault="00356A54" w:rsidP="00F56F99">
      <w:pPr>
        <w:pStyle w:val="FootnoteText"/>
      </w:pPr>
      <w:r>
        <w:rPr>
          <w:rStyle w:val="FootnoteReference"/>
        </w:rPr>
        <w:footnoteRef/>
      </w:r>
      <w:r>
        <w:t xml:space="preserve"> CD2E, </w:t>
      </w:r>
      <w:r w:rsidRPr="00B96300">
        <w:rPr>
          <w:i/>
          <w:iCs/>
        </w:rPr>
        <w:t>Bâtiment Durable – vers un changement d’échelle en région Hauts-de-France</w:t>
      </w:r>
      <w:r>
        <w:t xml:space="preserve">, 2021. </w:t>
      </w:r>
      <w:r w:rsidRPr="00DD3EE3">
        <w:t xml:space="preserve">URL : </w:t>
      </w:r>
      <w:hyperlink r:id="rId48" w:history="1">
        <w:r w:rsidRPr="00DD3EE3">
          <w:rPr>
            <w:rStyle w:val="Hyperlink"/>
          </w:rPr>
          <w:t>https://cd2e.com/wp-content/uploads/2021/02/Rapport-BATIMENT-DURABLE-2020.pdf</w:t>
        </w:r>
      </w:hyperlink>
      <w:r w:rsidRPr="00DD3EE3">
        <w:t xml:space="preserve"> </w:t>
      </w:r>
    </w:p>
  </w:footnote>
  <w:footnote w:id="109">
    <w:p w14:paraId="147034EA" w14:textId="77777777" w:rsidR="00356A54" w:rsidRDefault="00356A54" w:rsidP="00417FA5">
      <w:pPr>
        <w:pStyle w:val="FootnoteText"/>
      </w:pPr>
      <w:r>
        <w:rPr>
          <w:rStyle w:val="FootnoteReference"/>
        </w:rPr>
        <w:footnoteRef/>
      </w:r>
      <w:r>
        <w:t xml:space="preserve"> Entretien avec le SPEE</w:t>
      </w:r>
    </w:p>
  </w:footnote>
  <w:footnote w:id="110">
    <w:p w14:paraId="3C161956" w14:textId="77777777" w:rsidR="00B63456" w:rsidRDefault="00B63456" w:rsidP="00B63456">
      <w:pPr>
        <w:pStyle w:val="FootnoteText"/>
      </w:pPr>
      <w:r>
        <w:rPr>
          <w:rStyle w:val="FootnoteReference"/>
        </w:rPr>
        <w:footnoteRef/>
      </w:r>
      <w:r>
        <w:t xml:space="preserve"> Entretien avec le SPEE</w:t>
      </w:r>
    </w:p>
  </w:footnote>
  <w:footnote w:id="111">
    <w:p w14:paraId="3DA6A393" w14:textId="77777777" w:rsidR="00356A54" w:rsidRDefault="00356A54" w:rsidP="004025B8">
      <w:pPr>
        <w:pStyle w:val="FootnoteText"/>
      </w:pPr>
      <w:r>
        <w:rPr>
          <w:rStyle w:val="FootnoteReference"/>
        </w:rPr>
        <w:footnoteRef/>
      </w:r>
      <w:r>
        <w:t xml:space="preserve"> Entretien avec le SPEE</w:t>
      </w:r>
    </w:p>
  </w:footnote>
  <w:footnote w:id="112">
    <w:p w14:paraId="76D82987" w14:textId="77777777" w:rsidR="00AB4A30" w:rsidRDefault="00AB4A30" w:rsidP="00AB4A30">
      <w:pPr>
        <w:pStyle w:val="FootnoteText"/>
      </w:pPr>
      <w:r>
        <w:rPr>
          <w:rStyle w:val="FootnoteReference"/>
        </w:rPr>
        <w:footnoteRef/>
      </w:r>
      <w:r>
        <w:t xml:space="preserve"> DREAL, Hauts-de-France, </w:t>
      </w:r>
      <w:r w:rsidRPr="0019729C">
        <w:t>Le foncier mobilisé par le logement en Hauts-de-France entre 2006 et 2015</w:t>
      </w:r>
      <w:r>
        <w:t>.</w:t>
      </w:r>
    </w:p>
  </w:footnote>
  <w:footnote w:id="113">
    <w:p w14:paraId="5DBE2257" w14:textId="77777777" w:rsidR="00AB4A30" w:rsidRDefault="00AB4A30" w:rsidP="00AB4A30">
      <w:pPr>
        <w:pStyle w:val="FootnoteText"/>
      </w:pPr>
      <w:r>
        <w:rPr>
          <w:rStyle w:val="FootnoteReference"/>
        </w:rPr>
        <w:footnoteRef/>
      </w:r>
      <w:r>
        <w:t xml:space="preserve"> </w:t>
      </w:r>
      <w:r w:rsidRPr="00F354A3">
        <w:t>https://cartofriches.cerema.fr/cartofriches/</w:t>
      </w:r>
    </w:p>
  </w:footnote>
  <w:footnote w:id="114">
    <w:p w14:paraId="045E968E" w14:textId="695EFE1B" w:rsidR="008E5159" w:rsidRDefault="008E5159">
      <w:pPr>
        <w:pStyle w:val="FootnoteText"/>
      </w:pPr>
      <w:r>
        <w:rPr>
          <w:rStyle w:val="FootnoteReference"/>
        </w:rPr>
        <w:footnoteRef/>
      </w:r>
      <w:r>
        <w:t xml:space="preserve"> Données au 28 octobre 2021</w:t>
      </w:r>
    </w:p>
  </w:footnote>
  <w:footnote w:id="115">
    <w:p w14:paraId="17D7FD94" w14:textId="45C6806B" w:rsidR="00F41821" w:rsidRPr="00F41821" w:rsidRDefault="00F41821">
      <w:pPr>
        <w:pStyle w:val="FootnoteText"/>
        <w:rPr>
          <w:color w:val="000000" w:themeColor="text1"/>
        </w:rPr>
      </w:pPr>
      <w:r>
        <w:rPr>
          <w:rStyle w:val="FootnoteReference"/>
        </w:rPr>
        <w:footnoteRef/>
      </w:r>
      <w:r>
        <w:t xml:space="preserve"> Commission </w:t>
      </w:r>
      <w:r w:rsidRPr="00F41821">
        <w:rPr>
          <w:color w:val="000000" w:themeColor="text1"/>
        </w:rPr>
        <w:t>Parlementaire, Réhabilitation des friches industrielles, 14 propositions pour un décloisonnement de l’action des services de l’État présenté à l’Assemblée Nationale le 27 janvier 2021</w:t>
      </w:r>
    </w:p>
  </w:footnote>
  <w:footnote w:id="116">
    <w:p w14:paraId="234D5AE3" w14:textId="0F0D7E2B" w:rsidR="00F41821" w:rsidRDefault="00F41821">
      <w:pPr>
        <w:pStyle w:val="FootnoteText"/>
      </w:pPr>
      <w:r>
        <w:rPr>
          <w:rStyle w:val="FootnoteReference"/>
        </w:rPr>
        <w:footnoteRef/>
      </w:r>
      <w:r>
        <w:t xml:space="preserve"> </w:t>
      </w:r>
      <w:r w:rsidRPr="00F41821">
        <w:rPr>
          <w:color w:val="000000" w:themeColor="text1"/>
        </w:rPr>
        <w:t>Les coûts de dépollution d’une opération menée par Gingko sur un terrain de 8 hectares s’</w:t>
      </w:r>
      <w:proofErr w:type="spellStart"/>
      <w:r w:rsidRPr="00F41821">
        <w:rPr>
          <w:color w:val="000000" w:themeColor="text1"/>
        </w:rPr>
        <w:t>élévait</w:t>
      </w:r>
      <w:proofErr w:type="spellEnd"/>
      <w:r w:rsidRPr="00F41821">
        <w:rPr>
          <w:color w:val="000000" w:themeColor="text1"/>
        </w:rPr>
        <w:t xml:space="preserve"> à 12M€ soit 1,5M€</w:t>
      </w:r>
    </w:p>
  </w:footnote>
  <w:footnote w:id="117">
    <w:p w14:paraId="2410E218" w14:textId="74E1D185" w:rsidR="00F41821" w:rsidRDefault="00F41821">
      <w:pPr>
        <w:pStyle w:val="FootnoteText"/>
      </w:pPr>
      <w:r>
        <w:rPr>
          <w:rStyle w:val="FootnoteReference"/>
        </w:rPr>
        <w:footnoteRef/>
      </w:r>
      <w:r>
        <w:t xml:space="preserve"> </w:t>
      </w:r>
      <w:r w:rsidR="005776B8">
        <w:t>Établissements Publics Fonciers, communauté de communes et départements.</w:t>
      </w:r>
    </w:p>
  </w:footnote>
  <w:footnote w:id="118">
    <w:p w14:paraId="4EE62DD2" w14:textId="331A2603" w:rsidR="003242F9" w:rsidRDefault="003242F9">
      <w:pPr>
        <w:pStyle w:val="FootnoteText"/>
      </w:pPr>
      <w:r>
        <w:rPr>
          <w:rStyle w:val="FootnoteReference"/>
        </w:rPr>
        <w:footnoteRef/>
      </w:r>
      <w:r>
        <w:t xml:space="preserve"> </w:t>
      </w:r>
      <w:r w:rsidR="00504CD8">
        <w:t xml:space="preserve">SCET. </w:t>
      </w:r>
      <w:r>
        <w:t>Etude</w:t>
      </w:r>
      <w:r w:rsidR="00504CD8">
        <w:t xml:space="preserve"> d’opportunité portant sur le projet d’optimisation des outils régionaux dédiés à l’</w:t>
      </w:r>
      <w:proofErr w:type="spellStart"/>
      <w:r w:rsidR="00504CD8">
        <w:t>aménagemetn</w:t>
      </w:r>
      <w:proofErr w:type="spellEnd"/>
      <w:r w:rsidR="00504CD8">
        <w:t>, la construction et l’</w:t>
      </w:r>
      <w:proofErr w:type="spellStart"/>
      <w:r w:rsidR="00504CD8">
        <w:t>investissemenet</w:t>
      </w:r>
      <w:proofErr w:type="spellEnd"/>
      <w:r w:rsidR="00504CD8">
        <w:t>. Mars 2021</w:t>
      </w:r>
    </w:p>
  </w:footnote>
  <w:footnote w:id="119">
    <w:p w14:paraId="4A4B5611" w14:textId="77777777" w:rsidR="00A74B83" w:rsidRDefault="00A74B83" w:rsidP="00A74B83">
      <w:pPr>
        <w:pStyle w:val="FootnoteText"/>
      </w:pPr>
      <w:r>
        <w:rPr>
          <w:rStyle w:val="FootnoteReference"/>
        </w:rPr>
        <w:footnoteRef/>
      </w:r>
      <w:r>
        <w:t xml:space="preserve"> Notamment l’Agence d’urbanisme de la MEL</w:t>
      </w:r>
    </w:p>
  </w:footnote>
  <w:footnote w:id="120">
    <w:p w14:paraId="00AA1E0D" w14:textId="63593B87" w:rsidR="00356A54" w:rsidRDefault="00356A54">
      <w:pPr>
        <w:pStyle w:val="FootnoteText"/>
      </w:pPr>
      <w:r>
        <w:rPr>
          <w:rStyle w:val="FootnoteReference"/>
        </w:rPr>
        <w:footnoteRef/>
      </w:r>
      <w:r>
        <w:t xml:space="preserve"> Éléments concernant le Règlement général d’exemption par catégories (RGEC) et Lignes directrices relatives aux aides d’État visant à promouvoir les investissements en faveur du financement des risques</w:t>
      </w:r>
      <w:r w:rsidR="00E9270D">
        <w:t xml:space="preserve"> (voir </w:t>
      </w:r>
      <w:r w:rsidR="00E9270D">
        <w:fldChar w:fldCharType="begin"/>
      </w:r>
      <w:r w:rsidR="00E9270D">
        <w:instrText xml:space="preserve"> REF _Ref93944916 \h </w:instrText>
      </w:r>
      <w:r w:rsidR="00E9270D">
        <w:fldChar w:fldCharType="separate"/>
      </w:r>
      <w:r w:rsidR="00E9270D">
        <w:t xml:space="preserve">Encadré </w:t>
      </w:r>
      <w:r w:rsidR="00E9270D">
        <w:rPr>
          <w:noProof/>
        </w:rPr>
        <w:t>32</w:t>
      </w:r>
      <w:r w:rsidR="00E9270D">
        <w:fldChar w:fldCharType="end"/>
      </w:r>
      <w:r w:rsidR="00E9270D">
        <w:t>)</w:t>
      </w:r>
    </w:p>
  </w:footnote>
  <w:footnote w:id="121">
    <w:p w14:paraId="7D7F938C" w14:textId="60AB399E" w:rsidR="00B922A0" w:rsidRDefault="00B922A0" w:rsidP="00BC6429">
      <w:pPr>
        <w:pStyle w:val="FootnoteText"/>
      </w:pPr>
    </w:p>
  </w:footnote>
  <w:footnote w:id="122">
    <w:p w14:paraId="688E4315" w14:textId="4D5215F7" w:rsidR="00494D33" w:rsidRDefault="00494D33">
      <w:pPr>
        <w:pStyle w:val="FootnoteText"/>
      </w:pPr>
      <w:r w:rsidRPr="00B40B1C">
        <w:rPr>
          <w:rStyle w:val="FootnoteReference"/>
        </w:rPr>
        <w:footnoteRef/>
      </w:r>
      <w:r w:rsidRPr="00B40B1C">
        <w:t xml:space="preserve"> - Avec la limite néanmoins de pouvoir justifier que son utilisation est conforme aux règles d’</w:t>
      </w:r>
      <w:proofErr w:type="spellStart"/>
      <w:r w:rsidRPr="00B40B1C">
        <w:t>élifgilibité</w:t>
      </w:r>
      <w:proofErr w:type="spellEnd"/>
      <w:r w:rsidRPr="00B40B1C">
        <w:t xml:space="preserve"> (</w:t>
      </w:r>
      <w:r w:rsidR="00B123F3" w:rsidRPr="00B40B1C">
        <w:t>l’achat de terrains</w:t>
      </w:r>
      <w:r w:rsidRPr="00B40B1C">
        <w:t xml:space="preserve"> étant limité par l’article </w:t>
      </w:r>
      <w:r w:rsidR="00451D01" w:rsidRPr="00B40B1C">
        <w:t xml:space="preserve">64.1.b </w:t>
      </w:r>
      <w:r w:rsidRPr="00B40B1C">
        <w:t xml:space="preserve">du Rég </w:t>
      </w:r>
      <w:r w:rsidR="00261AC8" w:rsidRPr="00B40B1C">
        <w:t>2021/1060</w:t>
      </w:r>
      <w:r w:rsidR="00B123F3" w:rsidRPr="00B40B1C">
        <w:t>)</w:t>
      </w:r>
    </w:p>
  </w:footnote>
  <w:footnote w:id="123">
    <w:p w14:paraId="7152D98E" w14:textId="77777777" w:rsidR="007E0AE3" w:rsidRDefault="007E0AE3" w:rsidP="007E0AE3">
      <w:pPr>
        <w:pStyle w:val="FootnoteText"/>
      </w:pPr>
      <w:r>
        <w:rPr>
          <w:rStyle w:val="FootnoteReference"/>
        </w:rPr>
        <w:footnoteRef/>
      </w:r>
      <w:r>
        <w:t xml:space="preserve"> </w:t>
      </w:r>
      <w:r w:rsidRPr="00727AB9">
        <w:t xml:space="preserve">Montant calculé à partir d’une opération « type » de réhabilitation de friches réalisé par Breizh </w:t>
      </w:r>
      <w:proofErr w:type="spellStart"/>
      <w:r w:rsidRPr="00727AB9">
        <w:t>Immo</w:t>
      </w:r>
      <w:proofErr w:type="spellEnd"/>
      <w:r w:rsidRPr="00727AB9">
        <w:t xml:space="preserve"> avec une prise de participation de 2,4M€ pour un projet d’une surface de 25 ha</w:t>
      </w:r>
    </w:p>
  </w:footnote>
  <w:footnote w:id="124">
    <w:p w14:paraId="12711440" w14:textId="77777777" w:rsidR="007E0AE3" w:rsidRDefault="007E0AE3" w:rsidP="007E0AE3">
      <w:pPr>
        <w:pStyle w:val="FootnoteText"/>
      </w:pPr>
      <w:r>
        <w:rPr>
          <w:rStyle w:val="FootnoteReference"/>
        </w:rPr>
        <w:footnoteRef/>
      </w:r>
      <w:r>
        <w:t xml:space="preserve"> </w:t>
      </w:r>
      <w:r w:rsidRPr="0EE87C39">
        <w:rPr>
          <w:i/>
          <w:iCs/>
          <w:color w:val="000000" w:themeColor="text1"/>
        </w:rPr>
        <w:t>Montant calculé à partir des données de l’appel à projets Fonds Friches</w:t>
      </w:r>
    </w:p>
  </w:footnote>
  <w:footnote w:id="125">
    <w:p w14:paraId="2379AF27" w14:textId="06A169CC" w:rsidR="001C57EA" w:rsidRDefault="001C57EA">
      <w:pPr>
        <w:pStyle w:val="FootnoteText"/>
      </w:pPr>
      <w:r w:rsidRPr="00277E80">
        <w:rPr>
          <w:rStyle w:val="FootnoteReference"/>
        </w:rPr>
        <w:footnoteRef/>
      </w:r>
      <w:r w:rsidRPr="00277E80">
        <w:t xml:space="preserve"> </w:t>
      </w:r>
      <w:r w:rsidR="008029AB" w:rsidRPr="00277E80">
        <w:t>A ce jour, la France n’a pas ouvert de compartiment</w:t>
      </w:r>
      <w:r w:rsidR="00FD3EA0" w:rsidRPr="00277E80">
        <w:t xml:space="preserve"> Invest 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75E3" w14:textId="77777777" w:rsidR="00356A54" w:rsidRPr="00E76295" w:rsidRDefault="00356A54" w:rsidP="00E76295">
    <w:pPr>
      <w:pStyle w:val="Header"/>
      <w:tabs>
        <w:tab w:val="clear" w:pos="4680"/>
        <w:tab w:val="clear" w:pos="9360"/>
        <w:tab w:val="left" w:pos="3740"/>
      </w:tabs>
    </w:pPr>
    <w:r>
      <w:rPr>
        <w:noProof/>
        <w:lang w:eastAsia="fr-FR"/>
      </w:rPr>
      <w:drawing>
        <wp:anchor distT="0" distB="0" distL="114300" distR="114300" simplePos="0" relativeHeight="251658245" behindDoc="1" locked="1" layoutInCell="1" allowOverlap="1" wp14:anchorId="4B95D450" wp14:editId="4DFED4E8">
          <wp:simplePos x="0" y="0"/>
          <wp:positionH relativeFrom="page">
            <wp:posOffset>1080135</wp:posOffset>
          </wp:positionH>
          <wp:positionV relativeFrom="paragraph">
            <wp:posOffset>0</wp:posOffset>
          </wp:positionV>
          <wp:extent cx="2160000" cy="43200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chnopolisGroup-Black trimmed.png"/>
                  <pic:cNvPicPr/>
                </pic:nvPicPr>
                <pic:blipFill>
                  <a:blip r:embed="rId1"/>
                  <a:stretch>
                    <a:fillRect/>
                  </a:stretch>
                </pic:blipFill>
                <pic:spPr>
                  <a:xfrm>
                    <a:off x="0" y="0"/>
                    <a:ext cx="2160000" cy="432000"/>
                  </a:xfrm>
                  <a:prstGeom prst="rect">
                    <a:avLst/>
                  </a:prstGeom>
                </pic:spPr>
              </pic:pic>
            </a:graphicData>
          </a:graphic>
          <wp14:sizeRelH relativeFrom="margin">
            <wp14:pctWidth>0</wp14:pctWidth>
          </wp14:sizeRelH>
          <wp14:sizeRelV relativeFrom="margin">
            <wp14:pctHeight>0</wp14:pctHeight>
          </wp14:sizeRelV>
        </wp:anchor>
      </w:drawing>
    </w:r>
  </w:p>
  <w:p w14:paraId="6A045B68" w14:textId="77777777" w:rsidR="00356A54" w:rsidRPr="00E76295" w:rsidRDefault="00356A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B08B" w14:textId="6589D4FD" w:rsidR="00356A54" w:rsidRDefault="00356A54">
    <w:pPr>
      <w:pStyle w:val="Header"/>
    </w:pPr>
    <w:r>
      <w:rPr>
        <w:noProof/>
        <w:lang w:eastAsia="fr-FR"/>
      </w:rPr>
      <w:drawing>
        <wp:anchor distT="0" distB="0" distL="114300" distR="114300" simplePos="0" relativeHeight="251658248" behindDoc="0" locked="0" layoutInCell="1" allowOverlap="1" wp14:anchorId="73BCE2F2" wp14:editId="0E2CB186">
          <wp:simplePos x="0" y="0"/>
          <wp:positionH relativeFrom="column">
            <wp:posOffset>5390515</wp:posOffset>
          </wp:positionH>
          <wp:positionV relativeFrom="paragraph">
            <wp:posOffset>-107950</wp:posOffset>
          </wp:positionV>
          <wp:extent cx="572494" cy="385197"/>
          <wp:effectExtent l="0" t="0" r="0" b="0"/>
          <wp:wrapThrough wrapText="bothSides">
            <wp:wrapPolygon edited="0">
              <wp:start x="0" y="0"/>
              <wp:lineTo x="0" y="20317"/>
              <wp:lineTo x="20857" y="20317"/>
              <wp:lineTo x="20857" y="0"/>
              <wp:lineTo x="0" y="0"/>
            </wp:wrapPolygon>
          </wp:wrapThrough>
          <wp:docPr id="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94" cy="385197"/>
                  </a:xfrm>
                  <a:prstGeom prst="rect">
                    <a:avLst/>
                  </a:prstGeom>
                  <a:noFill/>
                  <a:ln>
                    <a:noFill/>
                  </a:ln>
                </pic:spPr>
              </pic:pic>
            </a:graphicData>
          </a:graphic>
        </wp:anchor>
      </w:drawing>
    </w:r>
    <w:r>
      <w:rPr>
        <w:noProof/>
        <w:lang w:eastAsia="fr-FR"/>
      </w:rPr>
      <w:drawing>
        <wp:anchor distT="0" distB="0" distL="114300" distR="114300" simplePos="0" relativeHeight="251658243" behindDoc="1" locked="1" layoutInCell="1" allowOverlap="1" wp14:anchorId="2FB7E9E4" wp14:editId="3D94A8C5">
          <wp:simplePos x="0" y="0"/>
          <wp:positionH relativeFrom="page">
            <wp:posOffset>540385</wp:posOffset>
          </wp:positionH>
          <wp:positionV relativeFrom="paragraph">
            <wp:posOffset>0</wp:posOffset>
          </wp:positionV>
          <wp:extent cx="2160000" cy="43200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chnopolisGroup-Black trimmed.png"/>
                  <pic:cNvPicPr/>
                </pic:nvPicPr>
                <pic:blipFill>
                  <a:blip r:embed="rId2"/>
                  <a:stretch>
                    <a:fillRect/>
                  </a:stretch>
                </pic:blipFill>
                <pic:spPr>
                  <a:xfrm>
                    <a:off x="0" y="0"/>
                    <a:ext cx="2160000" cy="432000"/>
                  </a:xfrm>
                  <a:prstGeom prst="rect">
                    <a:avLst/>
                  </a:prstGeom>
                </pic:spPr>
              </pic:pic>
            </a:graphicData>
          </a:graphic>
          <wp14:sizeRelH relativeFrom="margin">
            <wp14:pctWidth>0</wp14:pctWidth>
          </wp14:sizeRelH>
          <wp14:sizeRelV relativeFrom="margin">
            <wp14:pctHeight>0</wp14:pctHeight>
          </wp14:sizeRelV>
        </wp:anchor>
      </w:drawing>
    </w:r>
  </w:p>
  <w:p w14:paraId="4900AAC6" w14:textId="77777777" w:rsidR="00356A54" w:rsidRDefault="00356A54">
    <w:pPr>
      <w:pStyle w:val="Header"/>
    </w:pPr>
    <w:r>
      <w:rPr>
        <w:noProof/>
        <w:lang w:eastAsia="fr-FR"/>
      </w:rPr>
      <w:drawing>
        <wp:anchor distT="0" distB="0" distL="114300" distR="114300" simplePos="0" relativeHeight="251658244" behindDoc="1" locked="0" layoutInCell="1" allowOverlap="1" wp14:anchorId="0B1B5859" wp14:editId="33190C73">
          <wp:simplePos x="0" y="0"/>
          <wp:positionH relativeFrom="page">
            <wp:posOffset>540385</wp:posOffset>
          </wp:positionH>
          <wp:positionV relativeFrom="page">
            <wp:posOffset>1083129</wp:posOffset>
          </wp:positionV>
          <wp:extent cx="6609600" cy="6796800"/>
          <wp:effectExtent l="0" t="0" r="127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fault cover.png"/>
                  <pic:cNvPicPr/>
                </pic:nvPicPr>
                <pic:blipFill>
                  <a:blip r:embed="rId3"/>
                  <a:stretch>
                    <a:fillRect/>
                  </a:stretch>
                </pic:blipFill>
                <pic:spPr>
                  <a:xfrm>
                    <a:off x="0" y="0"/>
                    <a:ext cx="6609600" cy="679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0FBE" w14:textId="79C40B13" w:rsidR="00356A54" w:rsidRPr="00E76295" w:rsidRDefault="00356A54" w:rsidP="004B0148">
    <w:pPr>
      <w:tabs>
        <w:tab w:val="left" w:pos="3740"/>
      </w:tabs>
    </w:pPr>
    <w:r>
      <w:rPr>
        <w:noProof/>
        <w:lang w:eastAsia="fr-FR"/>
      </w:rPr>
      <w:drawing>
        <wp:anchor distT="0" distB="0" distL="114300" distR="114300" simplePos="0" relativeHeight="251658246" behindDoc="0" locked="0" layoutInCell="1" allowOverlap="1" wp14:anchorId="3434F50C" wp14:editId="0D318115">
          <wp:simplePos x="0" y="0"/>
          <wp:positionH relativeFrom="column">
            <wp:posOffset>4994054</wp:posOffset>
          </wp:positionH>
          <wp:positionV relativeFrom="paragraph">
            <wp:posOffset>-111319</wp:posOffset>
          </wp:positionV>
          <wp:extent cx="572494" cy="385197"/>
          <wp:effectExtent l="0" t="0" r="0" b="0"/>
          <wp:wrapThrough wrapText="bothSides">
            <wp:wrapPolygon edited="0">
              <wp:start x="0" y="0"/>
              <wp:lineTo x="0" y="20317"/>
              <wp:lineTo x="20857" y="20317"/>
              <wp:lineTo x="20857"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94" cy="385197"/>
                  </a:xfrm>
                  <a:prstGeom prst="rect">
                    <a:avLst/>
                  </a:prstGeom>
                  <a:noFill/>
                  <a:ln>
                    <a:noFill/>
                  </a:ln>
                </pic:spPr>
              </pic:pic>
            </a:graphicData>
          </a:graphic>
        </wp:anchor>
      </w:drawing>
    </w:r>
    <w:r>
      <w:rPr>
        <w:noProof/>
        <w:lang w:eastAsia="fr-FR"/>
      </w:rPr>
      <w:drawing>
        <wp:anchor distT="0" distB="0" distL="114300" distR="114300" simplePos="0" relativeHeight="251658240" behindDoc="1" locked="0" layoutInCell="1" allowOverlap="1" wp14:anchorId="06C3D556" wp14:editId="21DC05E2">
          <wp:simplePos x="0" y="0"/>
          <wp:positionH relativeFrom="column">
            <wp:posOffset>0</wp:posOffset>
          </wp:positionH>
          <wp:positionV relativeFrom="page">
            <wp:posOffset>431800</wp:posOffset>
          </wp:positionV>
          <wp:extent cx="201600" cy="338400"/>
          <wp:effectExtent l="0" t="0" r="8255" b="508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chnopolisIcon-Black.png"/>
                  <pic:cNvPicPr/>
                </pic:nvPicPr>
                <pic:blipFill>
                  <a:blip r:embed="rId2"/>
                  <a:stretch>
                    <a:fillRect/>
                  </a:stretch>
                </pic:blipFill>
                <pic:spPr>
                  <a:xfrm>
                    <a:off x="0" y="0"/>
                    <a:ext cx="201600" cy="33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F922" w14:textId="77777777" w:rsidR="00356A54" w:rsidRPr="00E76295" w:rsidRDefault="00356A54" w:rsidP="00745B99">
    <w:pPr>
      <w:tabs>
        <w:tab w:val="left" w:pos="2388"/>
        <w:tab w:val="left" w:pos="346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E410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7A71C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3603D4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86BC2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1F89F6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49A5A38"/>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D778A7C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953D74"/>
    <w:multiLevelType w:val="hybridMultilevel"/>
    <w:tmpl w:val="39AC0266"/>
    <w:lvl w:ilvl="0" w:tplc="42F04002">
      <w:start w:val="1"/>
      <w:numFmt w:val="bullet"/>
      <w:pStyle w:val="Tablebullet2"/>
      <w:lvlText w:val=""/>
      <w:lvlJc w:val="left"/>
      <w:pPr>
        <w:ind w:left="833" w:hanging="360"/>
      </w:pPr>
      <w:rPr>
        <w:rFonts w:ascii="Symbol" w:hAnsi="Symbol" w:hint="default"/>
        <w:color w:val="C73C3A" w:themeColor="accent1"/>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06244414"/>
    <w:multiLevelType w:val="hybridMultilevel"/>
    <w:tmpl w:val="7DFA7038"/>
    <w:lvl w:ilvl="0" w:tplc="9DF41022">
      <w:start w:val="1"/>
      <w:numFmt w:val="bullet"/>
      <w:lvlText w:val=""/>
      <w:lvlJc w:val="left"/>
      <w:pPr>
        <w:ind w:left="340" w:hanging="340"/>
      </w:pPr>
      <w:rPr>
        <w:rFonts w:ascii="Symbol" w:hAnsi="Symbol" w:cs="Times New Roman" w:hint="default"/>
        <w:color w:val="C73C3A" w:themeColor="accent1"/>
        <w:spacing w:val="30"/>
      </w:rPr>
    </w:lvl>
    <w:lvl w:ilvl="1" w:tplc="5D90E32C">
      <w:start w:val="1"/>
      <w:numFmt w:val="bullet"/>
      <w:lvlText w:val="­"/>
      <w:lvlJc w:val="left"/>
      <w:pPr>
        <w:ind w:left="680" w:hanging="340"/>
      </w:pPr>
      <w:rPr>
        <w:rFonts w:ascii="Courier New" w:hAnsi="Courier New" w:cs="Courier New" w:hint="default"/>
        <w:color w:val="C73C3A" w:themeColor="accent1"/>
      </w:rPr>
    </w:lvl>
    <w:lvl w:ilvl="2" w:tplc="ACEA03A0">
      <w:start w:val="1"/>
      <w:numFmt w:val="bullet"/>
      <w:lvlText w:val="◦"/>
      <w:lvlJc w:val="left"/>
      <w:pPr>
        <w:ind w:left="1021" w:hanging="341"/>
      </w:pPr>
      <w:rPr>
        <w:rFonts w:cs="Times New Roman" w:hint="default"/>
        <w:b w:val="0"/>
        <w:bCs w:val="0"/>
        <w:i w:val="0"/>
        <w:iCs w:val="0"/>
        <w:caps w:val="0"/>
        <w:smallCaps w:val="0"/>
        <w:strike w:val="0"/>
        <w:dstrike w:val="0"/>
        <w:vanish w:val="0"/>
        <w:color w:val="C73C3A"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721655E8">
      <w:start w:val="1"/>
      <w:numFmt w:val="none"/>
      <w:lvlText w:val=""/>
      <w:lvlJc w:val="left"/>
      <w:pPr>
        <w:tabs>
          <w:tab w:val="num" w:pos="1021"/>
        </w:tabs>
        <w:ind w:left="1021" w:firstLine="0"/>
      </w:pPr>
      <w:rPr>
        <w:rFonts w:hint="default"/>
      </w:rPr>
    </w:lvl>
    <w:lvl w:ilvl="4" w:tplc="2BB8A2A0">
      <w:start w:val="1"/>
      <w:numFmt w:val="none"/>
      <w:lvlText w:val=""/>
      <w:lvlJc w:val="left"/>
      <w:pPr>
        <w:tabs>
          <w:tab w:val="num" w:pos="1021"/>
        </w:tabs>
        <w:ind w:left="1021" w:firstLine="0"/>
      </w:pPr>
      <w:rPr>
        <w:rFonts w:hint="default"/>
      </w:rPr>
    </w:lvl>
    <w:lvl w:ilvl="5" w:tplc="4DF64706">
      <w:start w:val="1"/>
      <w:numFmt w:val="none"/>
      <w:lvlText w:val=""/>
      <w:lvlJc w:val="left"/>
      <w:pPr>
        <w:tabs>
          <w:tab w:val="num" w:pos="1021"/>
        </w:tabs>
        <w:ind w:left="1021" w:firstLine="0"/>
      </w:pPr>
      <w:rPr>
        <w:rFonts w:hint="default"/>
      </w:rPr>
    </w:lvl>
    <w:lvl w:ilvl="6" w:tplc="1A64CB06">
      <w:start w:val="1"/>
      <w:numFmt w:val="none"/>
      <w:lvlText w:val=""/>
      <w:lvlJc w:val="left"/>
      <w:pPr>
        <w:tabs>
          <w:tab w:val="num" w:pos="1021"/>
        </w:tabs>
        <w:ind w:left="1021" w:firstLine="0"/>
      </w:pPr>
      <w:rPr>
        <w:rFonts w:hint="default"/>
      </w:rPr>
    </w:lvl>
    <w:lvl w:ilvl="7" w:tplc="6414E8C4">
      <w:start w:val="1"/>
      <w:numFmt w:val="none"/>
      <w:lvlText w:val=""/>
      <w:lvlJc w:val="left"/>
      <w:pPr>
        <w:tabs>
          <w:tab w:val="num" w:pos="1021"/>
        </w:tabs>
        <w:ind w:left="1021" w:firstLine="0"/>
      </w:pPr>
      <w:rPr>
        <w:rFonts w:hint="default"/>
      </w:rPr>
    </w:lvl>
    <w:lvl w:ilvl="8" w:tplc="535A0FC4">
      <w:start w:val="1"/>
      <w:numFmt w:val="none"/>
      <w:lvlText w:val=""/>
      <w:lvlJc w:val="left"/>
      <w:pPr>
        <w:tabs>
          <w:tab w:val="num" w:pos="1021"/>
        </w:tabs>
        <w:ind w:left="1021" w:firstLine="0"/>
      </w:pPr>
      <w:rPr>
        <w:rFonts w:hint="default"/>
      </w:rPr>
    </w:lvl>
  </w:abstractNum>
  <w:abstractNum w:abstractNumId="10" w15:restartNumberingAfterBreak="0">
    <w:nsid w:val="16FE527B"/>
    <w:multiLevelType w:val="hybridMultilevel"/>
    <w:tmpl w:val="F474991A"/>
    <w:lvl w:ilvl="0" w:tplc="3976C256">
      <w:numFmt w:val="bullet"/>
      <w:lvlText w:val="-"/>
      <w:lvlJc w:val="left"/>
      <w:pPr>
        <w:ind w:left="720" w:hanging="360"/>
      </w:pPr>
      <w:rPr>
        <w:rFonts w:ascii="Calibri" w:eastAsiaTheme="majorEastAsia" w:hAnsi="Calibri"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280B69"/>
    <w:multiLevelType w:val="hybridMultilevel"/>
    <w:tmpl w:val="E13EC74E"/>
    <w:lvl w:ilvl="0" w:tplc="8B165B88">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E654FC"/>
    <w:multiLevelType w:val="hybridMultilevel"/>
    <w:tmpl w:val="F0429736"/>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A141B07"/>
    <w:multiLevelType w:val="hybridMultilevel"/>
    <w:tmpl w:val="9CA62B52"/>
    <w:lvl w:ilvl="0" w:tplc="5C2EE43E">
      <w:start w:val="1"/>
      <w:numFmt w:val="bullet"/>
      <w:pStyle w:val="Bullet1-"/>
      <w:lvlText w:val=""/>
      <w:lvlJc w:val="left"/>
      <w:pPr>
        <w:ind w:left="360" w:hanging="360"/>
      </w:pPr>
      <w:rPr>
        <w:rFonts w:ascii="Symbol" w:hAnsi="Symbol" w:hint="default"/>
        <w:color w:val="C73C3A" w:themeColor="accent1"/>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4" w15:restartNumberingAfterBreak="0">
    <w:nsid w:val="21171553"/>
    <w:multiLevelType w:val="hybridMultilevel"/>
    <w:tmpl w:val="81C6244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C74210E"/>
    <w:multiLevelType w:val="hybridMultilevel"/>
    <w:tmpl w:val="C2E42FD4"/>
    <w:styleLink w:val="WW8Num7"/>
    <w:lvl w:ilvl="0" w:tplc="70C47144">
      <w:start w:val="1"/>
      <w:numFmt w:val="bullet"/>
      <w:lvlText w:val=""/>
      <w:lvlJc w:val="left"/>
      <w:pPr>
        <w:ind w:left="340" w:hanging="340"/>
      </w:pPr>
      <w:rPr>
        <w:rFonts w:ascii="Symbol" w:hAnsi="Symbol" w:cs="Times New Roman" w:hint="default"/>
        <w:color w:val="C73C3A" w:themeColor="accent1"/>
        <w:spacing w:val="30"/>
      </w:rPr>
    </w:lvl>
    <w:lvl w:ilvl="1" w:tplc="D9B20606">
      <w:start w:val="1"/>
      <w:numFmt w:val="bullet"/>
      <w:lvlText w:val="­"/>
      <w:lvlJc w:val="left"/>
      <w:pPr>
        <w:ind w:left="680" w:hanging="340"/>
      </w:pPr>
      <w:rPr>
        <w:rFonts w:ascii="Courier New" w:hAnsi="Courier New" w:cs="Courier New" w:hint="default"/>
        <w:color w:val="C73C3A" w:themeColor="accent1"/>
      </w:rPr>
    </w:lvl>
    <w:lvl w:ilvl="2" w:tplc="6A9C7610">
      <w:start w:val="1"/>
      <w:numFmt w:val="bullet"/>
      <w:lvlText w:val="◦"/>
      <w:lvlJc w:val="left"/>
      <w:pPr>
        <w:ind w:left="1021" w:hanging="341"/>
      </w:pPr>
      <w:rPr>
        <w:rFonts w:cs="Times New Roman" w:hint="default"/>
        <w:b w:val="0"/>
        <w:bCs w:val="0"/>
        <w:i w:val="0"/>
        <w:iCs w:val="0"/>
        <w:caps w:val="0"/>
        <w:smallCaps w:val="0"/>
        <w:strike w:val="0"/>
        <w:dstrike w:val="0"/>
        <w:vanish w:val="0"/>
        <w:color w:val="C73C3A"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BAC8214C">
      <w:start w:val="1"/>
      <w:numFmt w:val="none"/>
      <w:lvlText w:val=""/>
      <w:lvlJc w:val="left"/>
      <w:pPr>
        <w:tabs>
          <w:tab w:val="num" w:pos="1021"/>
        </w:tabs>
        <w:ind w:left="1021" w:firstLine="0"/>
      </w:pPr>
      <w:rPr>
        <w:rFonts w:hint="default"/>
      </w:rPr>
    </w:lvl>
    <w:lvl w:ilvl="4" w:tplc="B3A2C43E">
      <w:start w:val="1"/>
      <w:numFmt w:val="none"/>
      <w:lvlText w:val=""/>
      <w:lvlJc w:val="left"/>
      <w:pPr>
        <w:tabs>
          <w:tab w:val="num" w:pos="1021"/>
        </w:tabs>
        <w:ind w:left="1021" w:firstLine="0"/>
      </w:pPr>
      <w:rPr>
        <w:rFonts w:hint="default"/>
      </w:rPr>
    </w:lvl>
    <w:lvl w:ilvl="5" w:tplc="0D62AA44">
      <w:start w:val="1"/>
      <w:numFmt w:val="none"/>
      <w:lvlText w:val=""/>
      <w:lvlJc w:val="left"/>
      <w:pPr>
        <w:tabs>
          <w:tab w:val="num" w:pos="1021"/>
        </w:tabs>
        <w:ind w:left="1021" w:firstLine="0"/>
      </w:pPr>
      <w:rPr>
        <w:rFonts w:hint="default"/>
      </w:rPr>
    </w:lvl>
    <w:lvl w:ilvl="6" w:tplc="5E1EFCC8">
      <w:start w:val="1"/>
      <w:numFmt w:val="none"/>
      <w:lvlText w:val=""/>
      <w:lvlJc w:val="left"/>
      <w:pPr>
        <w:tabs>
          <w:tab w:val="num" w:pos="1021"/>
        </w:tabs>
        <w:ind w:left="1021" w:firstLine="0"/>
      </w:pPr>
      <w:rPr>
        <w:rFonts w:hint="default"/>
      </w:rPr>
    </w:lvl>
    <w:lvl w:ilvl="7" w:tplc="43C2CBDA">
      <w:start w:val="1"/>
      <w:numFmt w:val="none"/>
      <w:lvlText w:val=""/>
      <w:lvlJc w:val="left"/>
      <w:pPr>
        <w:tabs>
          <w:tab w:val="num" w:pos="1021"/>
        </w:tabs>
        <w:ind w:left="1021" w:firstLine="0"/>
      </w:pPr>
      <w:rPr>
        <w:rFonts w:hint="default"/>
      </w:rPr>
    </w:lvl>
    <w:lvl w:ilvl="8" w:tplc="0E9CF306">
      <w:start w:val="1"/>
      <w:numFmt w:val="none"/>
      <w:lvlText w:val=""/>
      <w:lvlJc w:val="left"/>
      <w:pPr>
        <w:tabs>
          <w:tab w:val="num" w:pos="1021"/>
        </w:tabs>
        <w:ind w:left="1021" w:firstLine="0"/>
      </w:pPr>
      <w:rPr>
        <w:rFonts w:hint="default"/>
      </w:rPr>
    </w:lvl>
  </w:abstractNum>
  <w:abstractNum w:abstractNumId="16" w15:restartNumberingAfterBreak="0">
    <w:nsid w:val="39117D06"/>
    <w:multiLevelType w:val="multilevel"/>
    <w:tmpl w:val="68CCB86A"/>
    <w:styleLink w:val="NumbListAppendix"/>
    <w:lvl w:ilvl="0">
      <w:start w:val="1"/>
      <w:numFmt w:val="upperLetter"/>
      <w:pStyle w:val="AppendixHeading1"/>
      <w:lvlText w:val="Annexe %1"/>
      <w:lvlJc w:val="left"/>
      <w:pPr>
        <w:tabs>
          <w:tab w:val="num" w:pos="1985"/>
        </w:tabs>
        <w:ind w:left="1985" w:hanging="198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A.%2"/>
      <w:lvlJc w:val="left"/>
      <w:pPr>
        <w:tabs>
          <w:tab w:val="num" w:pos="680"/>
        </w:tabs>
        <w:ind w:left="907" w:hanging="907"/>
      </w:pPr>
      <w:rPr>
        <w:rFonts w:hint="default"/>
        <w:b w:val="0"/>
        <w:bCs w:val="0"/>
        <w:i w:val="0"/>
        <w:iCs w:val="0"/>
        <w:caps w:val="0"/>
        <w:smallCaps w:val="0"/>
        <w:strike w:val="0"/>
        <w:dstrike w:val="0"/>
        <w:vanish w:val="0"/>
        <w:color w:val="CF342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907" w:hanging="90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4"/>
      <w:lvlText w:val="%1.%2.%3.%4"/>
      <w:lvlJc w:val="left"/>
      <w:pPr>
        <w:tabs>
          <w:tab w:val="num" w:pos="680"/>
        </w:tabs>
        <w:ind w:left="907" w:hanging="907"/>
      </w:pPr>
      <w:rPr>
        <w:rFonts w:hint="default"/>
        <w:color w:val="9D9D9D" w:themeColor="background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3B001CD7"/>
    <w:multiLevelType w:val="hybridMultilevel"/>
    <w:tmpl w:val="E264D4E8"/>
    <w:lvl w:ilvl="0" w:tplc="5C82447E">
      <w:start w:val="1"/>
      <w:numFmt w:val="bullet"/>
      <w:lvlText w:val=""/>
      <w:lvlJc w:val="left"/>
      <w:pPr>
        <w:ind w:left="720" w:hanging="360"/>
      </w:pPr>
      <w:rPr>
        <w:rFonts w:ascii="Symbol" w:hAnsi="Symbol" w:hint="default"/>
        <w:color w:val="C73C3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D7C82"/>
    <w:multiLevelType w:val="hybridMultilevel"/>
    <w:tmpl w:val="251864B0"/>
    <w:lvl w:ilvl="0" w:tplc="43163060">
      <w:start w:val="1"/>
      <w:numFmt w:val="bullet"/>
      <w:pStyle w:val="EYBulletedList1"/>
      <w:lvlText w:val="►"/>
      <w:lvlJc w:val="left"/>
      <w:pPr>
        <w:ind w:left="360" w:hanging="360"/>
      </w:pPr>
      <w:rPr>
        <w:rFonts w:ascii="Arial" w:hAnsi="Arial" w:hint="default"/>
        <w:b w:val="0"/>
        <w:i w:val="0"/>
        <w:color w:val="CF342C" w:themeColor="text2"/>
        <w:sz w:val="20"/>
        <w:szCs w:val="24"/>
        <w:u w:color="CF342C" w:themeColor="text2"/>
      </w:rPr>
    </w:lvl>
    <w:lvl w:ilvl="1" w:tplc="FDF08A64">
      <w:start w:val="1"/>
      <w:numFmt w:val="bullet"/>
      <w:lvlText w:val="•"/>
      <w:lvlJc w:val="left"/>
      <w:pPr>
        <w:tabs>
          <w:tab w:val="num" w:pos="576"/>
        </w:tabs>
        <w:ind w:left="576" w:hanging="288"/>
      </w:pPr>
      <w:rPr>
        <w:rFonts w:ascii="EYInterstate Light" w:hAnsi="EYInterstate Light" w:hint="default"/>
        <w:b w:val="0"/>
        <w:i w:val="0"/>
        <w:color w:val="FFD200"/>
        <w:sz w:val="20"/>
        <w:szCs w:val="24"/>
      </w:rPr>
    </w:lvl>
    <w:lvl w:ilvl="2" w:tplc="C02AB81A">
      <w:start w:val="1"/>
      <w:numFmt w:val="bullet"/>
      <w:lvlText w:val="•"/>
      <w:lvlJc w:val="left"/>
      <w:pPr>
        <w:tabs>
          <w:tab w:val="num" w:pos="864"/>
        </w:tabs>
        <w:ind w:left="864" w:hanging="288"/>
      </w:pPr>
      <w:rPr>
        <w:rFonts w:ascii="EYInterstate Light" w:hAnsi="EYInterstate Light" w:hint="default"/>
        <w:b w:val="0"/>
        <w:i w:val="0"/>
        <w:color w:val="FFD200"/>
        <w:sz w:val="20"/>
        <w:szCs w:val="24"/>
      </w:rPr>
    </w:lvl>
    <w:lvl w:ilvl="3" w:tplc="3DAC58CC">
      <w:start w:val="1"/>
      <w:numFmt w:val="bullet"/>
      <w:lvlText w:val="►"/>
      <w:lvlJc w:val="left"/>
      <w:pPr>
        <w:tabs>
          <w:tab w:val="num" w:pos="1289"/>
        </w:tabs>
        <w:ind w:left="1152" w:hanging="288"/>
      </w:pPr>
      <w:rPr>
        <w:rFonts w:ascii="Arial" w:hAnsi="Arial" w:hint="default"/>
        <w:color w:val="auto"/>
        <w:sz w:val="16"/>
        <w:szCs w:val="24"/>
      </w:rPr>
    </w:lvl>
    <w:lvl w:ilvl="4" w:tplc="E40C5F32">
      <w:start w:val="1"/>
      <w:numFmt w:val="bullet"/>
      <w:lvlText w:val="►"/>
      <w:lvlJc w:val="left"/>
      <w:pPr>
        <w:tabs>
          <w:tab w:val="num" w:pos="1577"/>
        </w:tabs>
        <w:ind w:left="1440" w:hanging="288"/>
      </w:pPr>
      <w:rPr>
        <w:rFonts w:ascii="Arial" w:hAnsi="Arial" w:hint="default"/>
        <w:color w:val="auto"/>
        <w:sz w:val="16"/>
        <w:szCs w:val="24"/>
      </w:rPr>
    </w:lvl>
    <w:lvl w:ilvl="5" w:tplc="55AC3872">
      <w:start w:val="1"/>
      <w:numFmt w:val="bullet"/>
      <w:lvlText w:val="►"/>
      <w:lvlJc w:val="left"/>
      <w:pPr>
        <w:tabs>
          <w:tab w:val="num" w:pos="1865"/>
        </w:tabs>
        <w:ind w:left="1728" w:hanging="288"/>
      </w:pPr>
      <w:rPr>
        <w:rFonts w:ascii="Arial" w:hAnsi="Arial" w:hint="default"/>
        <w:color w:val="auto"/>
        <w:sz w:val="16"/>
        <w:szCs w:val="24"/>
      </w:rPr>
    </w:lvl>
    <w:lvl w:ilvl="6" w:tplc="C97E9464">
      <w:start w:val="1"/>
      <w:numFmt w:val="decimal"/>
      <w:suff w:val="nothing"/>
      <w:lvlText w:val=""/>
      <w:lvlJc w:val="left"/>
      <w:pPr>
        <w:ind w:left="2016" w:hanging="288"/>
      </w:pPr>
    </w:lvl>
    <w:lvl w:ilvl="7" w:tplc="4BA8056C">
      <w:start w:val="1"/>
      <w:numFmt w:val="decimal"/>
      <w:suff w:val="nothing"/>
      <w:lvlText w:val=""/>
      <w:lvlJc w:val="left"/>
      <w:pPr>
        <w:ind w:left="2304" w:hanging="288"/>
      </w:pPr>
    </w:lvl>
    <w:lvl w:ilvl="8" w:tplc="5C6ABAD2">
      <w:start w:val="1"/>
      <w:numFmt w:val="decimal"/>
      <w:suff w:val="nothing"/>
      <w:lvlText w:val=""/>
      <w:lvlJc w:val="left"/>
      <w:pPr>
        <w:ind w:left="2592" w:hanging="288"/>
      </w:pPr>
    </w:lvl>
  </w:abstractNum>
  <w:abstractNum w:abstractNumId="19" w15:restartNumberingAfterBreak="0">
    <w:nsid w:val="42A20764"/>
    <w:multiLevelType w:val="multilevel"/>
    <w:tmpl w:val="E87804A8"/>
    <w:lvl w:ilvl="0">
      <w:start w:val="1"/>
      <w:numFmt w:val="bullet"/>
      <w:pStyle w:val="Tablebullet1"/>
      <w:lvlText w:val=""/>
      <w:lvlJc w:val="left"/>
      <w:pPr>
        <w:tabs>
          <w:tab w:val="num" w:pos="227"/>
        </w:tabs>
        <w:ind w:left="227" w:hanging="227"/>
      </w:pPr>
      <w:rPr>
        <w:rFonts w:ascii="Symbol" w:hAnsi="Symbol" w:cs="Times New Roman" w:hint="default"/>
        <w:color w:val="C73C3A" w:themeColor="accent1"/>
      </w:rPr>
    </w:lvl>
    <w:lvl w:ilvl="1">
      <w:start w:val="1"/>
      <w:numFmt w:val="bullet"/>
      <w:lvlText w:val="­"/>
      <w:lvlJc w:val="left"/>
      <w:pPr>
        <w:tabs>
          <w:tab w:val="num" w:pos="340"/>
        </w:tabs>
        <w:ind w:left="340" w:hanging="227"/>
      </w:pPr>
      <w:rPr>
        <w:rFonts w:ascii="Courier New" w:hAnsi="Courier New" w:cs="Courier New" w:hint="default"/>
        <w:color w:val="C73C3A" w:themeColor="accent1"/>
      </w:rPr>
    </w:lvl>
    <w:lvl w:ilvl="2">
      <w:start w:val="1"/>
      <w:numFmt w:val="bullet"/>
      <w:pStyle w:val="Tablebullet3"/>
      <w:lvlText w:val="◦"/>
      <w:lvlJc w:val="left"/>
      <w:pPr>
        <w:tabs>
          <w:tab w:val="num" w:pos="454"/>
        </w:tabs>
        <w:ind w:left="454" w:hanging="227"/>
      </w:pPr>
      <w:rPr>
        <w:rFonts w:cs="Times New Roman" w:hint="default"/>
        <w:color w:val="C73C3A"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20" w15:restartNumberingAfterBreak="0">
    <w:nsid w:val="4C9669B1"/>
    <w:multiLevelType w:val="multilevel"/>
    <w:tmpl w:val="8EF27258"/>
    <w:lvl w:ilvl="0">
      <w:start w:val="1"/>
      <w:numFmt w:val="decimal"/>
      <w:suff w:val="space"/>
      <w:lvlText w:val="%1"/>
      <w:lvlJc w:val="left"/>
      <w:pPr>
        <w:ind w:left="3601" w:hanging="340"/>
      </w:pPr>
      <w:rPr>
        <w:rFonts w:ascii="Trebuchet MS" w:hAnsi="Trebuchet MS" w:hint="default"/>
        <w:b/>
        <w:color w:val="0077B1"/>
        <w:position w:val="0"/>
        <w:sz w:val="36"/>
      </w:rPr>
    </w:lvl>
    <w:lvl w:ilvl="1">
      <w:start w:val="1"/>
      <w:numFmt w:val="decimal"/>
      <w:lvlText w:val="%1.%2"/>
      <w:lvlJc w:val="left"/>
      <w:pPr>
        <w:ind w:left="652" w:hanging="510"/>
      </w:pPr>
      <w:rPr>
        <w:rFonts w:ascii="Trebuchet MS" w:hAnsi="Trebuchet MS" w:hint="default"/>
        <w:b/>
        <w:i w:val="0"/>
        <w:color w:val="0077B1"/>
        <w:sz w:val="24"/>
      </w:rPr>
    </w:lvl>
    <w:lvl w:ilvl="2">
      <w:start w:val="1"/>
      <w:numFmt w:val="decimal"/>
      <w:pStyle w:val="Style3Numrotation"/>
      <w:lvlText w:val="%1.%2.%3"/>
      <w:lvlJc w:val="left"/>
      <w:pPr>
        <w:ind w:left="3459" w:hanging="907"/>
      </w:pPr>
      <w:rPr>
        <w:rFonts w:ascii="Trebuchet MS" w:hAnsi="Trebuchet MS" w:hint="default"/>
        <w:b/>
        <w:i w:val="0"/>
        <w:color w:val="0077B1"/>
        <w:sz w:val="22"/>
      </w:rPr>
    </w:lvl>
    <w:lvl w:ilvl="3">
      <w:start w:val="1"/>
      <w:numFmt w:val="none"/>
      <w:lvlText w:val=""/>
      <w:lvlJc w:val="left"/>
      <w:pPr>
        <w:ind w:left="6311" w:hanging="57"/>
      </w:pPr>
      <w:rPr>
        <w:rFonts w:ascii="Trebuchet MS" w:hAnsi="Trebuchet MS" w:hint="default"/>
        <w:b/>
        <w:i w:val="0"/>
        <w:color w:val="0070C0"/>
        <w:sz w:val="22"/>
      </w:rPr>
    </w:lvl>
    <w:lvl w:ilvl="4">
      <w:start w:val="1"/>
      <w:numFmt w:val="none"/>
      <w:lvlText w:val=""/>
      <w:lvlJc w:val="left"/>
      <w:pPr>
        <w:ind w:left="6577" w:hanging="57"/>
      </w:pPr>
      <w:rPr>
        <w:rFonts w:ascii="Trebuchet MS" w:hAnsi="Trebuchet MS" w:hint="default"/>
        <w:b/>
        <w:i w:val="0"/>
        <w:color w:val="0070C0"/>
        <w:sz w:val="22"/>
      </w:rPr>
    </w:lvl>
    <w:lvl w:ilvl="5">
      <w:start w:val="1"/>
      <w:numFmt w:val="none"/>
      <w:lvlText w:val=""/>
      <w:lvlJc w:val="left"/>
      <w:pPr>
        <w:ind w:left="6843" w:hanging="57"/>
      </w:pPr>
      <w:rPr>
        <w:rFonts w:hint="default"/>
      </w:rPr>
    </w:lvl>
    <w:lvl w:ilvl="6">
      <w:start w:val="1"/>
      <w:numFmt w:val="none"/>
      <w:lvlText w:val=""/>
      <w:lvlJc w:val="left"/>
      <w:pPr>
        <w:ind w:left="7109" w:hanging="57"/>
      </w:pPr>
      <w:rPr>
        <w:rFonts w:hint="default"/>
      </w:rPr>
    </w:lvl>
    <w:lvl w:ilvl="7">
      <w:start w:val="1"/>
      <w:numFmt w:val="none"/>
      <w:lvlText w:val="%8"/>
      <w:lvlJc w:val="left"/>
      <w:pPr>
        <w:ind w:left="7375" w:hanging="57"/>
      </w:pPr>
      <w:rPr>
        <w:rFonts w:hint="default"/>
      </w:rPr>
    </w:lvl>
    <w:lvl w:ilvl="8">
      <w:start w:val="1"/>
      <w:numFmt w:val="none"/>
      <w:lvlText w:val="%9"/>
      <w:lvlJc w:val="left"/>
      <w:pPr>
        <w:ind w:left="7641" w:hanging="57"/>
      </w:pPr>
      <w:rPr>
        <w:rFonts w:hint="default"/>
      </w:rPr>
    </w:lvl>
  </w:abstractNum>
  <w:abstractNum w:abstractNumId="21" w15:restartNumberingAfterBreak="0">
    <w:nsid w:val="4ECA4EE1"/>
    <w:multiLevelType w:val="multilevel"/>
    <w:tmpl w:val="C2E42FD4"/>
    <w:lvl w:ilvl="0">
      <w:start w:val="1"/>
      <w:numFmt w:val="bullet"/>
      <w:pStyle w:val="Bullet1"/>
      <w:lvlText w:val=""/>
      <w:lvlJc w:val="left"/>
      <w:pPr>
        <w:ind w:left="340" w:hanging="340"/>
      </w:pPr>
      <w:rPr>
        <w:rFonts w:ascii="Symbol" w:hAnsi="Symbol" w:cs="Times New Roman" w:hint="default"/>
        <w:color w:val="C73C3A" w:themeColor="accent1"/>
        <w:spacing w:val="30"/>
      </w:rPr>
    </w:lvl>
    <w:lvl w:ilvl="1">
      <w:start w:val="1"/>
      <w:numFmt w:val="bullet"/>
      <w:pStyle w:val="Bullet2"/>
      <w:lvlText w:val="­"/>
      <w:lvlJc w:val="left"/>
      <w:pPr>
        <w:ind w:left="680" w:hanging="340"/>
      </w:pPr>
      <w:rPr>
        <w:rFonts w:ascii="Courier New" w:hAnsi="Courier New" w:cs="Courier New" w:hint="default"/>
        <w:color w:val="C73C3A" w:themeColor="accent1"/>
      </w:rPr>
    </w:lvl>
    <w:lvl w:ilvl="2">
      <w:start w:val="1"/>
      <w:numFmt w:val="bullet"/>
      <w:pStyle w:val="Bullet3"/>
      <w:lvlText w:val="◦"/>
      <w:lvlJc w:val="left"/>
      <w:pPr>
        <w:ind w:left="1021" w:hanging="341"/>
      </w:pPr>
      <w:rPr>
        <w:rFonts w:cs="Times New Roman" w:hint="default"/>
        <w:b w:val="0"/>
        <w:bCs w:val="0"/>
        <w:i w:val="0"/>
        <w:iCs w:val="0"/>
        <w:caps w:val="0"/>
        <w:smallCaps w:val="0"/>
        <w:strike w:val="0"/>
        <w:dstrike w:val="0"/>
        <w:vanish w:val="0"/>
        <w:color w:val="C73C3A"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22" w15:restartNumberingAfterBreak="0">
    <w:nsid w:val="53A64F5C"/>
    <w:multiLevelType w:val="hybridMultilevel"/>
    <w:tmpl w:val="72AE145E"/>
    <w:lvl w:ilvl="0" w:tplc="1806E24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214E5E"/>
    <w:multiLevelType w:val="multilevel"/>
    <w:tmpl w:val="DAF46B3A"/>
    <w:styleLink w:val="NumbListMain"/>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5F273003"/>
    <w:multiLevelType w:val="hybridMultilevel"/>
    <w:tmpl w:val="E47614B2"/>
    <w:styleLink w:val="WW8Num8"/>
    <w:lvl w:ilvl="0" w:tplc="31B69780">
      <w:start w:val="1"/>
      <w:numFmt w:val="bullet"/>
      <w:lvlText w:val="­"/>
      <w:lvlJc w:val="left"/>
      <w:pPr>
        <w:ind w:left="720" w:hanging="360"/>
      </w:pPr>
      <w:rPr>
        <w:rFonts w:ascii="Courier New" w:hAnsi="Courier New" w:cs="Courier New" w:hint="default"/>
        <w:color w:val="C73C3A" w:themeColor="accent1"/>
      </w:rPr>
    </w:lvl>
    <w:lvl w:ilvl="1" w:tplc="655E4D54">
      <w:numFmt w:val="bullet"/>
      <w:lvlText w:val="-"/>
      <w:lvlJc w:val="left"/>
      <w:pPr>
        <w:ind w:left="1800" w:hanging="72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D1870"/>
    <w:multiLevelType w:val="multilevel"/>
    <w:tmpl w:val="466CE9DA"/>
    <w:lvl w:ilvl="0">
      <w:start w:val="1"/>
      <w:numFmt w:val="decimal"/>
      <w:pStyle w:val="EYHeading1"/>
      <w:lvlText w:val="%1."/>
      <w:lvlJc w:val="left"/>
      <w:pPr>
        <w:ind w:left="851" w:hanging="851"/>
      </w:pPr>
      <w:rPr>
        <w:rFonts w:ascii="Arial" w:hAnsi="Arial" w:hint="default"/>
        <w:b/>
        <w:i w:val="0"/>
        <w:color w:val="auto"/>
        <w:sz w:val="32"/>
      </w:rPr>
    </w:lvl>
    <w:lvl w:ilvl="1">
      <w:start w:val="1"/>
      <w:numFmt w:val="decimal"/>
      <w:pStyle w:val="EYHeading2"/>
      <w:lvlText w:val="%1.%2"/>
      <w:lvlJc w:val="left"/>
      <w:pPr>
        <w:tabs>
          <w:tab w:val="num" w:pos="0"/>
        </w:tabs>
        <w:ind w:left="0" w:firstLine="0"/>
      </w:pPr>
      <w:rPr>
        <w:rFonts w:ascii="Arial" w:hAnsi="Arial" w:hint="default"/>
        <w:b/>
        <w:i w:val="0"/>
        <w:color w:val="000000"/>
        <w:sz w:val="28"/>
      </w:rPr>
    </w:lvl>
    <w:lvl w:ilvl="2">
      <w:start w:val="1"/>
      <w:numFmt w:val="decimal"/>
      <w:pStyle w:val="EYHeading3"/>
      <w:lvlText w:val="%1.%2.%3"/>
      <w:lvlJc w:val="left"/>
      <w:pPr>
        <w:tabs>
          <w:tab w:val="num" w:pos="850"/>
        </w:tabs>
        <w:ind w:left="850" w:hanging="850"/>
      </w:pPr>
      <w:rPr>
        <w:rFonts w:ascii="Arial" w:hAnsi="Arial" w:hint="default"/>
        <w:b/>
        <w:i w:val="0"/>
        <w:color w:val="000000"/>
        <w:sz w:val="26"/>
      </w:rPr>
    </w:lvl>
    <w:lvl w:ilvl="3">
      <w:start w:val="1"/>
      <w:numFmt w:val="decimal"/>
      <w:pStyle w:val="EYHeading4"/>
      <w:lvlText w:val="%1.%2.%3.%4"/>
      <w:lvlJc w:val="left"/>
      <w:pPr>
        <w:tabs>
          <w:tab w:val="num" w:pos="0"/>
        </w:tabs>
        <w:ind w:left="0" w:hanging="850"/>
      </w:pPr>
      <w:rPr>
        <w:rFonts w:ascii="Arial" w:hAnsi="Arial"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650073CD"/>
    <w:multiLevelType w:val="hybridMultilevel"/>
    <w:tmpl w:val="68343114"/>
    <w:lvl w:ilvl="0" w:tplc="21AC310C">
      <w:numFmt w:val="bullet"/>
      <w:pStyle w:val="TableBullet1CV"/>
      <w:lvlText w:val=""/>
      <w:lvlJc w:val="left"/>
      <w:pPr>
        <w:ind w:left="720" w:hanging="360"/>
      </w:pPr>
      <w:rPr>
        <w:rFonts w:ascii="Symbol" w:hAnsi="Symbol" w:hint="default"/>
        <w:color w:val="C00000"/>
        <w:sz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5A07B9"/>
    <w:multiLevelType w:val="hybridMultilevel"/>
    <w:tmpl w:val="C70215E8"/>
    <w:lvl w:ilvl="0" w:tplc="E71E0000">
      <w:start w:val="1"/>
      <w:numFmt w:val="bullet"/>
      <w:lvlText w:val=""/>
      <w:lvlJc w:val="left"/>
      <w:pPr>
        <w:ind w:left="360" w:hanging="360"/>
      </w:pPr>
      <w:rPr>
        <w:rFonts w:ascii="Symbol" w:hAnsi="Symbol" w:hint="default"/>
        <w:color w:val="C73C3A" w:themeColor="accent1"/>
        <w:spacing w:val="3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5315F8"/>
    <w:multiLevelType w:val="hybridMultilevel"/>
    <w:tmpl w:val="DE80902C"/>
    <w:styleLink w:val="NumLstTableBullet"/>
    <w:lvl w:ilvl="0" w:tplc="05F4E03A">
      <w:start w:val="100"/>
      <w:numFmt w:val="bullet"/>
      <w:lvlText w:val="-"/>
      <w:lvlJc w:val="left"/>
      <w:pPr>
        <w:ind w:left="1440" w:hanging="360"/>
      </w:pPr>
      <w:rPr>
        <w:rFonts w:ascii="Century Gothic" w:hAnsi="Century Gothic" w:cstheme="minorBidi" w:hint="default"/>
        <w:color w:val="C000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692D3A3D"/>
    <w:multiLevelType w:val="hybridMultilevel"/>
    <w:tmpl w:val="50DC7A14"/>
    <w:lvl w:ilvl="0" w:tplc="B9B83A2E">
      <w:start w:val="1"/>
      <w:numFmt w:val="bullet"/>
      <w:lvlText w:val=""/>
      <w:lvlJc w:val="left"/>
      <w:pPr>
        <w:ind w:left="360" w:hanging="360"/>
      </w:pPr>
      <w:rPr>
        <w:rFonts w:ascii="Symbol" w:hAnsi="Symbol" w:hint="default"/>
        <w:color w:val="C73C3A" w:themeColor="accent1"/>
        <w:spacing w:val="3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31" w15:restartNumberingAfterBreak="0">
    <w:nsid w:val="6C233C73"/>
    <w:multiLevelType w:val="multilevel"/>
    <w:tmpl w:val="D0CE0C3A"/>
    <w:styleLink w:val="NumbListNumb"/>
    <w:lvl w:ilvl="0">
      <w:start w:val="1"/>
      <w:numFmt w:val="decimal"/>
      <w:pStyle w:val="ListNumber"/>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pStyle w:val="ListNumber2"/>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ListNumber3"/>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2" w15:restartNumberingAfterBreak="0">
    <w:nsid w:val="7A5136AC"/>
    <w:multiLevelType w:val="hybridMultilevel"/>
    <w:tmpl w:val="C70215E8"/>
    <w:styleLink w:val="Style1"/>
    <w:lvl w:ilvl="0" w:tplc="E71E0000">
      <w:start w:val="1"/>
      <w:numFmt w:val="bullet"/>
      <w:lvlText w:val=""/>
      <w:lvlJc w:val="left"/>
      <w:pPr>
        <w:ind w:left="360" w:hanging="360"/>
      </w:pPr>
      <w:rPr>
        <w:rFonts w:ascii="Symbol" w:hAnsi="Symbol" w:hint="default"/>
        <w:color w:val="C73C3A" w:themeColor="accent1"/>
        <w:spacing w:val="3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AB24E67"/>
    <w:multiLevelType w:val="hybridMultilevel"/>
    <w:tmpl w:val="F71EF012"/>
    <w:lvl w:ilvl="0" w:tplc="8C422D54">
      <w:start w:val="1"/>
      <w:numFmt w:val="bullet"/>
      <w:pStyle w:val="TableListBullet"/>
      <w:lvlText w:val=""/>
      <w:lvlJc w:val="left"/>
      <w:pPr>
        <w:tabs>
          <w:tab w:val="num" w:pos="181"/>
        </w:tabs>
        <w:ind w:left="181" w:hanging="181"/>
      </w:pPr>
      <w:rPr>
        <w:rFonts w:ascii="Symbol" w:hAnsi="Symbol" w:hint="default"/>
        <w:color w:val="FF0000"/>
      </w:rPr>
    </w:lvl>
    <w:lvl w:ilvl="1" w:tplc="5920AA5C" w:tentative="1">
      <w:start w:val="1"/>
      <w:numFmt w:val="bullet"/>
      <w:lvlText w:val="o"/>
      <w:lvlJc w:val="left"/>
      <w:pPr>
        <w:tabs>
          <w:tab w:val="num" w:pos="1440"/>
        </w:tabs>
        <w:ind w:left="1440" w:hanging="360"/>
      </w:pPr>
      <w:rPr>
        <w:rFonts w:ascii="Courier New" w:hAnsi="Courier New" w:cs="Cambria" w:hint="default"/>
      </w:rPr>
    </w:lvl>
    <w:lvl w:ilvl="2" w:tplc="20FCB178" w:tentative="1">
      <w:start w:val="1"/>
      <w:numFmt w:val="bullet"/>
      <w:lvlText w:val=""/>
      <w:lvlJc w:val="left"/>
      <w:pPr>
        <w:tabs>
          <w:tab w:val="num" w:pos="2160"/>
        </w:tabs>
        <w:ind w:left="2160" w:hanging="360"/>
      </w:pPr>
      <w:rPr>
        <w:rFonts w:ascii="Wingdings" w:hAnsi="Wingdings" w:hint="default"/>
      </w:rPr>
    </w:lvl>
    <w:lvl w:ilvl="3" w:tplc="C2FCB810" w:tentative="1">
      <w:start w:val="1"/>
      <w:numFmt w:val="bullet"/>
      <w:lvlText w:val=""/>
      <w:lvlJc w:val="left"/>
      <w:pPr>
        <w:tabs>
          <w:tab w:val="num" w:pos="2880"/>
        </w:tabs>
        <w:ind w:left="2880" w:hanging="360"/>
      </w:pPr>
      <w:rPr>
        <w:rFonts w:ascii="Symbol" w:hAnsi="Symbol" w:hint="default"/>
      </w:rPr>
    </w:lvl>
    <w:lvl w:ilvl="4" w:tplc="F264841E" w:tentative="1">
      <w:start w:val="1"/>
      <w:numFmt w:val="bullet"/>
      <w:lvlText w:val="o"/>
      <w:lvlJc w:val="left"/>
      <w:pPr>
        <w:tabs>
          <w:tab w:val="num" w:pos="3600"/>
        </w:tabs>
        <w:ind w:left="3600" w:hanging="360"/>
      </w:pPr>
      <w:rPr>
        <w:rFonts w:ascii="Courier New" w:hAnsi="Courier New" w:cs="Cambria" w:hint="default"/>
      </w:rPr>
    </w:lvl>
    <w:lvl w:ilvl="5" w:tplc="13CCE308" w:tentative="1">
      <w:start w:val="1"/>
      <w:numFmt w:val="bullet"/>
      <w:lvlText w:val=""/>
      <w:lvlJc w:val="left"/>
      <w:pPr>
        <w:tabs>
          <w:tab w:val="num" w:pos="4320"/>
        </w:tabs>
        <w:ind w:left="4320" w:hanging="360"/>
      </w:pPr>
      <w:rPr>
        <w:rFonts w:ascii="Wingdings" w:hAnsi="Wingdings" w:hint="default"/>
      </w:rPr>
    </w:lvl>
    <w:lvl w:ilvl="6" w:tplc="33B642BC" w:tentative="1">
      <w:start w:val="1"/>
      <w:numFmt w:val="bullet"/>
      <w:lvlText w:val=""/>
      <w:lvlJc w:val="left"/>
      <w:pPr>
        <w:tabs>
          <w:tab w:val="num" w:pos="5040"/>
        </w:tabs>
        <w:ind w:left="5040" w:hanging="360"/>
      </w:pPr>
      <w:rPr>
        <w:rFonts w:ascii="Symbol" w:hAnsi="Symbol" w:hint="default"/>
      </w:rPr>
    </w:lvl>
    <w:lvl w:ilvl="7" w:tplc="8BFE34A2" w:tentative="1">
      <w:start w:val="1"/>
      <w:numFmt w:val="bullet"/>
      <w:lvlText w:val="o"/>
      <w:lvlJc w:val="left"/>
      <w:pPr>
        <w:tabs>
          <w:tab w:val="num" w:pos="5760"/>
        </w:tabs>
        <w:ind w:left="5760" w:hanging="360"/>
      </w:pPr>
      <w:rPr>
        <w:rFonts w:ascii="Courier New" w:hAnsi="Courier New" w:cs="Cambria" w:hint="default"/>
      </w:rPr>
    </w:lvl>
    <w:lvl w:ilvl="8" w:tplc="71F2ED2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AC2D33"/>
    <w:multiLevelType w:val="hybridMultilevel"/>
    <w:tmpl w:val="A3D2516C"/>
    <w:lvl w:ilvl="0" w:tplc="5C06DD8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27"/>
  </w:num>
  <w:num w:numId="3">
    <w:abstractNumId w:val="24"/>
  </w:num>
  <w:num w:numId="4">
    <w:abstractNumId w:val="15"/>
  </w:num>
  <w:num w:numId="5">
    <w:abstractNumId w:val="32"/>
  </w:num>
  <w:num w:numId="6">
    <w:abstractNumId w:val="9"/>
  </w:num>
  <w:num w:numId="7">
    <w:abstractNumId w:val="28"/>
  </w:num>
  <w:num w:numId="8">
    <w:abstractNumId w:val="30"/>
  </w:num>
  <w:num w:numId="9">
    <w:abstractNumId w:val="16"/>
  </w:num>
  <w:num w:numId="10">
    <w:abstractNumId w:val="31"/>
  </w:num>
  <w:num w:numId="11">
    <w:abstractNumId w:val="5"/>
  </w:num>
  <w:num w:numId="12">
    <w:abstractNumId w:val="4"/>
  </w:num>
  <w:num w:numId="13">
    <w:abstractNumId w:val="6"/>
  </w:num>
  <w:num w:numId="14">
    <w:abstractNumId w:val="20"/>
    <w:lvlOverride w:ilvl="0">
      <w:lvl w:ilvl="0">
        <w:start w:val="1"/>
        <w:numFmt w:val="decimal"/>
        <w:suff w:val="space"/>
        <w:lvlText w:val="%1"/>
        <w:lvlJc w:val="left"/>
        <w:pPr>
          <w:ind w:left="3601" w:hanging="340"/>
        </w:pPr>
        <w:rPr>
          <w:rFonts w:ascii="PT Serif" w:hAnsi="PT Serif" w:hint="default"/>
          <w:b w:val="0"/>
          <w:color w:val="35738B"/>
          <w:position w:val="0"/>
          <w:sz w:val="36"/>
        </w:rPr>
      </w:lvl>
    </w:lvlOverride>
    <w:lvlOverride w:ilvl="1">
      <w:lvl w:ilvl="1">
        <w:start w:val="1"/>
        <w:numFmt w:val="decimal"/>
        <w:lvlText w:val="%1.%2"/>
        <w:lvlJc w:val="left"/>
        <w:pPr>
          <w:ind w:left="652" w:hanging="51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Style3Numrotation"/>
        <w:lvlText w:val="%1.%2.%3"/>
        <w:lvlJc w:val="left"/>
        <w:pPr>
          <w:ind w:left="3459" w:hanging="907"/>
        </w:pPr>
        <w:rPr>
          <w:rFonts w:ascii="Trebuchet MS" w:hAnsi="Trebuchet MS" w:hint="default"/>
          <w:b/>
          <w:i w:val="0"/>
          <w:color w:val="35738B"/>
          <w:sz w:val="22"/>
        </w:rPr>
      </w:lvl>
    </w:lvlOverride>
    <w:lvlOverride w:ilvl="3">
      <w:lvl w:ilvl="3">
        <w:start w:val="1"/>
        <w:numFmt w:val="none"/>
        <w:lvlText w:val=""/>
        <w:lvlJc w:val="left"/>
        <w:pPr>
          <w:ind w:left="6311" w:hanging="57"/>
        </w:pPr>
        <w:rPr>
          <w:rFonts w:ascii="Trebuchet MS" w:hAnsi="Trebuchet MS" w:hint="default"/>
          <w:b/>
          <w:i w:val="0"/>
          <w:color w:val="0070C0"/>
          <w:sz w:val="22"/>
        </w:rPr>
      </w:lvl>
    </w:lvlOverride>
    <w:lvlOverride w:ilvl="4">
      <w:lvl w:ilvl="4">
        <w:start w:val="1"/>
        <w:numFmt w:val="none"/>
        <w:lvlText w:val=""/>
        <w:lvlJc w:val="left"/>
        <w:pPr>
          <w:ind w:left="6577" w:hanging="57"/>
        </w:pPr>
        <w:rPr>
          <w:rFonts w:ascii="Trebuchet MS" w:hAnsi="Trebuchet MS" w:hint="default"/>
          <w:b/>
          <w:i w:val="0"/>
          <w:color w:val="0070C0"/>
          <w:sz w:val="22"/>
        </w:rPr>
      </w:lvl>
    </w:lvlOverride>
    <w:lvlOverride w:ilvl="5">
      <w:lvl w:ilvl="5">
        <w:start w:val="1"/>
        <w:numFmt w:val="none"/>
        <w:lvlText w:val=""/>
        <w:lvlJc w:val="left"/>
        <w:pPr>
          <w:ind w:left="6843" w:hanging="57"/>
        </w:pPr>
        <w:rPr>
          <w:rFonts w:hint="default"/>
        </w:rPr>
      </w:lvl>
    </w:lvlOverride>
    <w:lvlOverride w:ilvl="6">
      <w:lvl w:ilvl="6">
        <w:start w:val="1"/>
        <w:numFmt w:val="none"/>
        <w:lvlText w:val=""/>
        <w:lvlJc w:val="left"/>
        <w:pPr>
          <w:ind w:left="7109" w:hanging="57"/>
        </w:pPr>
        <w:rPr>
          <w:rFonts w:hint="default"/>
        </w:rPr>
      </w:lvl>
    </w:lvlOverride>
    <w:lvlOverride w:ilvl="7">
      <w:lvl w:ilvl="7">
        <w:start w:val="1"/>
        <w:numFmt w:val="none"/>
        <w:lvlText w:val="%8"/>
        <w:lvlJc w:val="left"/>
        <w:pPr>
          <w:ind w:left="7375" w:hanging="57"/>
        </w:pPr>
        <w:rPr>
          <w:rFonts w:hint="default"/>
        </w:rPr>
      </w:lvl>
    </w:lvlOverride>
    <w:lvlOverride w:ilvl="8">
      <w:lvl w:ilvl="8">
        <w:start w:val="1"/>
        <w:numFmt w:val="none"/>
        <w:lvlText w:val="%9"/>
        <w:lvlJc w:val="left"/>
        <w:pPr>
          <w:ind w:left="7641" w:hanging="57"/>
        </w:pPr>
        <w:rPr>
          <w:rFonts w:hint="default"/>
        </w:rPr>
      </w:lvl>
    </w:lvlOverride>
  </w:num>
  <w:num w:numId="15">
    <w:abstractNumId w:val="26"/>
  </w:num>
  <w:num w:numId="16">
    <w:abstractNumId w:val="8"/>
  </w:num>
  <w:num w:numId="17">
    <w:abstractNumId w:val="33"/>
  </w:num>
  <w:num w:numId="18">
    <w:abstractNumId w:val="21"/>
  </w:num>
  <w:num w:numId="19">
    <w:abstractNumId w:val="23"/>
  </w:num>
  <w:num w:numId="20">
    <w:abstractNumId w:val="18"/>
  </w:num>
  <w:num w:numId="21">
    <w:abstractNumId w:val="25"/>
  </w:num>
  <w:num w:numId="22">
    <w:abstractNumId w:val="17"/>
  </w:num>
  <w:num w:numId="23">
    <w:abstractNumId w:val="19"/>
  </w:num>
  <w:num w:numId="24">
    <w:abstractNumId w:val="34"/>
  </w:num>
  <w:num w:numId="25">
    <w:abstractNumId w:val="19"/>
    <w:lvlOverride w:ilvl="0">
      <w:lvl w:ilvl="0">
        <w:numFmt w:val="bullet"/>
        <w:pStyle w:val="Tablebullet1"/>
        <w:lvlText w:val=""/>
        <w:lvlJc w:val="left"/>
        <w:pPr>
          <w:tabs>
            <w:tab w:val="num" w:pos="227"/>
          </w:tabs>
          <w:ind w:left="227" w:hanging="227"/>
        </w:pPr>
        <w:rPr>
          <w:rFonts w:ascii="Symbol" w:hAnsi="Symbol" w:hint="default"/>
          <w:color w:val="C73C3A" w:themeColor="accent1"/>
        </w:rPr>
      </w:lvl>
    </w:lvlOverride>
  </w:num>
  <w:num w:numId="26">
    <w:abstractNumId w:val="29"/>
  </w:num>
  <w:num w:numId="27">
    <w:abstractNumId w:val="10"/>
  </w:num>
  <w:num w:numId="28">
    <w:abstractNumId w:val="22"/>
  </w:num>
  <w:num w:numId="29">
    <w:abstractNumId w:val="11"/>
  </w:num>
  <w:num w:numId="30">
    <w:abstractNumId w:val="14"/>
  </w:num>
  <w:num w:numId="31">
    <w:abstractNumId w:val="12"/>
  </w:num>
  <w:num w:numId="32">
    <w:abstractNumId w:val="1"/>
  </w:num>
  <w:num w:numId="33">
    <w:abstractNumId w:val="0"/>
  </w:num>
  <w:num w:numId="34">
    <w:abstractNumId w:val="3"/>
  </w:num>
  <w:num w:numId="35">
    <w:abstractNumId w:val="2"/>
  </w:num>
  <w:num w:numId="36">
    <w:abstractNumId w:val="19"/>
  </w:num>
  <w:num w:numId="37">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nl-NL" w:vendorID="64" w:dllVersion="0" w:nlCheck="1" w:checkStyle="0"/>
  <w:activeWritingStyle w:appName="MSWord" w:lang="fr-FR" w:vendorID="64" w:dllVersion="6" w:nlCheck="1" w:checkStyle="0"/>
  <w:activeWritingStyle w:appName="MSWord" w:lang="en-US" w:vendorID="64" w:dllVersion="6" w:nlCheck="1" w:checkStyle="1"/>
  <w:activeWritingStyle w:appName="MSWord" w:lang="nl-NL" w:vendorID="64" w:dllVersion="6" w:nlCheck="1" w:checkStyle="0"/>
  <w:activeWritingStyle w:appName="MSWord" w:lang="en-GB" w:vendorID="64" w:dllVersion="6" w:nlCheck="1" w:checkStyle="1"/>
  <w:proofState w:spelling="clean"/>
  <w:attachedTemplate r:id="rId1"/>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0MjExNLc0trQwMLRQ0lEKTi0uzszPAymwqAUA/otnNCwAAAA="/>
    <w:docVar w:name="FooterDocNo" w:val="TG report EN template v19 B.dotx"/>
  </w:docVars>
  <w:rsids>
    <w:rsidRoot w:val="007E7F47"/>
    <w:rsid w:val="00000231"/>
    <w:rsid w:val="000003C7"/>
    <w:rsid w:val="000005BA"/>
    <w:rsid w:val="00000778"/>
    <w:rsid w:val="00000BD8"/>
    <w:rsid w:val="00000CC3"/>
    <w:rsid w:val="00000CCB"/>
    <w:rsid w:val="00000D20"/>
    <w:rsid w:val="00000DB5"/>
    <w:rsid w:val="00001092"/>
    <w:rsid w:val="0000169D"/>
    <w:rsid w:val="00001A7D"/>
    <w:rsid w:val="00001CAD"/>
    <w:rsid w:val="00001D14"/>
    <w:rsid w:val="00001E66"/>
    <w:rsid w:val="00001EEE"/>
    <w:rsid w:val="000020E4"/>
    <w:rsid w:val="000020F6"/>
    <w:rsid w:val="0000225E"/>
    <w:rsid w:val="00002308"/>
    <w:rsid w:val="00002362"/>
    <w:rsid w:val="0000278A"/>
    <w:rsid w:val="000027CB"/>
    <w:rsid w:val="000027F0"/>
    <w:rsid w:val="000027F9"/>
    <w:rsid w:val="000028B2"/>
    <w:rsid w:val="00002997"/>
    <w:rsid w:val="00002B2F"/>
    <w:rsid w:val="00002B74"/>
    <w:rsid w:val="00002BD9"/>
    <w:rsid w:val="00002C51"/>
    <w:rsid w:val="00002CD3"/>
    <w:rsid w:val="00002D0F"/>
    <w:rsid w:val="00002D92"/>
    <w:rsid w:val="00002F21"/>
    <w:rsid w:val="00003060"/>
    <w:rsid w:val="0000337C"/>
    <w:rsid w:val="00003505"/>
    <w:rsid w:val="000036CA"/>
    <w:rsid w:val="00003A39"/>
    <w:rsid w:val="00003BB3"/>
    <w:rsid w:val="00003D01"/>
    <w:rsid w:val="00003D92"/>
    <w:rsid w:val="00003EC0"/>
    <w:rsid w:val="0000400F"/>
    <w:rsid w:val="00004369"/>
    <w:rsid w:val="00004876"/>
    <w:rsid w:val="0000487D"/>
    <w:rsid w:val="000049DB"/>
    <w:rsid w:val="00004A5F"/>
    <w:rsid w:val="00004C28"/>
    <w:rsid w:val="00004C59"/>
    <w:rsid w:val="000051BA"/>
    <w:rsid w:val="000051E9"/>
    <w:rsid w:val="00005278"/>
    <w:rsid w:val="0000588A"/>
    <w:rsid w:val="00005A1A"/>
    <w:rsid w:val="00005A61"/>
    <w:rsid w:val="00005B9A"/>
    <w:rsid w:val="00005D3F"/>
    <w:rsid w:val="00005EB5"/>
    <w:rsid w:val="0000606F"/>
    <w:rsid w:val="000060AB"/>
    <w:rsid w:val="00006238"/>
    <w:rsid w:val="00006547"/>
    <w:rsid w:val="0000659D"/>
    <w:rsid w:val="000067B6"/>
    <w:rsid w:val="0000681F"/>
    <w:rsid w:val="00006971"/>
    <w:rsid w:val="00006C4C"/>
    <w:rsid w:val="00006DB6"/>
    <w:rsid w:val="00006E65"/>
    <w:rsid w:val="00006F69"/>
    <w:rsid w:val="00007042"/>
    <w:rsid w:val="00007429"/>
    <w:rsid w:val="00007442"/>
    <w:rsid w:val="00007515"/>
    <w:rsid w:val="00007625"/>
    <w:rsid w:val="000079A5"/>
    <w:rsid w:val="00007A8D"/>
    <w:rsid w:val="00007D48"/>
    <w:rsid w:val="00007F14"/>
    <w:rsid w:val="0001010C"/>
    <w:rsid w:val="000101BD"/>
    <w:rsid w:val="0001025B"/>
    <w:rsid w:val="0001030A"/>
    <w:rsid w:val="000103B9"/>
    <w:rsid w:val="0001075F"/>
    <w:rsid w:val="0001076D"/>
    <w:rsid w:val="0001095B"/>
    <w:rsid w:val="000109A9"/>
    <w:rsid w:val="000109B7"/>
    <w:rsid w:val="000109E9"/>
    <w:rsid w:val="00010B11"/>
    <w:rsid w:val="00010C9D"/>
    <w:rsid w:val="00010D43"/>
    <w:rsid w:val="00010D80"/>
    <w:rsid w:val="00010E3E"/>
    <w:rsid w:val="00010EDD"/>
    <w:rsid w:val="00010F69"/>
    <w:rsid w:val="00011048"/>
    <w:rsid w:val="0001122C"/>
    <w:rsid w:val="00011549"/>
    <w:rsid w:val="000115A7"/>
    <w:rsid w:val="000115F2"/>
    <w:rsid w:val="00011662"/>
    <w:rsid w:val="000119CE"/>
    <w:rsid w:val="00011C21"/>
    <w:rsid w:val="00011E56"/>
    <w:rsid w:val="00011F0F"/>
    <w:rsid w:val="00012050"/>
    <w:rsid w:val="00012305"/>
    <w:rsid w:val="000125D4"/>
    <w:rsid w:val="000128D7"/>
    <w:rsid w:val="0001297C"/>
    <w:rsid w:val="00012DC3"/>
    <w:rsid w:val="00012ECA"/>
    <w:rsid w:val="0001323F"/>
    <w:rsid w:val="0001331F"/>
    <w:rsid w:val="0001352F"/>
    <w:rsid w:val="0001362B"/>
    <w:rsid w:val="00013690"/>
    <w:rsid w:val="0001379B"/>
    <w:rsid w:val="00013CD9"/>
    <w:rsid w:val="00013D8B"/>
    <w:rsid w:val="00013F8A"/>
    <w:rsid w:val="00013FE0"/>
    <w:rsid w:val="000141FA"/>
    <w:rsid w:val="000144E7"/>
    <w:rsid w:val="00014821"/>
    <w:rsid w:val="000149DD"/>
    <w:rsid w:val="00014D86"/>
    <w:rsid w:val="00014DB0"/>
    <w:rsid w:val="00014FBE"/>
    <w:rsid w:val="0001548A"/>
    <w:rsid w:val="000155E7"/>
    <w:rsid w:val="00015AC3"/>
    <w:rsid w:val="00015ADF"/>
    <w:rsid w:val="00015C24"/>
    <w:rsid w:val="00015CF6"/>
    <w:rsid w:val="00015D54"/>
    <w:rsid w:val="00015D7C"/>
    <w:rsid w:val="00015F8B"/>
    <w:rsid w:val="00016015"/>
    <w:rsid w:val="0001606D"/>
    <w:rsid w:val="0001613E"/>
    <w:rsid w:val="0001633A"/>
    <w:rsid w:val="00016355"/>
    <w:rsid w:val="000164E1"/>
    <w:rsid w:val="0001651B"/>
    <w:rsid w:val="00016753"/>
    <w:rsid w:val="00016817"/>
    <w:rsid w:val="0001693A"/>
    <w:rsid w:val="00016B35"/>
    <w:rsid w:val="00016CE8"/>
    <w:rsid w:val="000170DA"/>
    <w:rsid w:val="00017257"/>
    <w:rsid w:val="0001726F"/>
    <w:rsid w:val="000172C3"/>
    <w:rsid w:val="000172FF"/>
    <w:rsid w:val="000173D5"/>
    <w:rsid w:val="000174D1"/>
    <w:rsid w:val="000177A2"/>
    <w:rsid w:val="00017827"/>
    <w:rsid w:val="00017997"/>
    <w:rsid w:val="00017C19"/>
    <w:rsid w:val="00017C4F"/>
    <w:rsid w:val="00017EF3"/>
    <w:rsid w:val="00020058"/>
    <w:rsid w:val="00020121"/>
    <w:rsid w:val="000201ED"/>
    <w:rsid w:val="00020459"/>
    <w:rsid w:val="000204C5"/>
    <w:rsid w:val="0002053C"/>
    <w:rsid w:val="0002054D"/>
    <w:rsid w:val="0002063A"/>
    <w:rsid w:val="000207EB"/>
    <w:rsid w:val="0002083B"/>
    <w:rsid w:val="00020AA8"/>
    <w:rsid w:val="00020BBE"/>
    <w:rsid w:val="00020D3B"/>
    <w:rsid w:val="00020E1A"/>
    <w:rsid w:val="00020F88"/>
    <w:rsid w:val="00021040"/>
    <w:rsid w:val="00021057"/>
    <w:rsid w:val="00021293"/>
    <w:rsid w:val="000212FD"/>
    <w:rsid w:val="00021324"/>
    <w:rsid w:val="00021540"/>
    <w:rsid w:val="00021659"/>
    <w:rsid w:val="000217F4"/>
    <w:rsid w:val="00021A76"/>
    <w:rsid w:val="00021B03"/>
    <w:rsid w:val="00021B3C"/>
    <w:rsid w:val="00021C0A"/>
    <w:rsid w:val="00021DF1"/>
    <w:rsid w:val="00022073"/>
    <w:rsid w:val="000220AF"/>
    <w:rsid w:val="00022246"/>
    <w:rsid w:val="000227BA"/>
    <w:rsid w:val="0002287B"/>
    <w:rsid w:val="00022A0B"/>
    <w:rsid w:val="00022AAB"/>
    <w:rsid w:val="0002305B"/>
    <w:rsid w:val="0002308B"/>
    <w:rsid w:val="00023330"/>
    <w:rsid w:val="00023349"/>
    <w:rsid w:val="0002334E"/>
    <w:rsid w:val="00023672"/>
    <w:rsid w:val="000238E9"/>
    <w:rsid w:val="00023998"/>
    <w:rsid w:val="00023A63"/>
    <w:rsid w:val="00023D56"/>
    <w:rsid w:val="00023D74"/>
    <w:rsid w:val="00023F3A"/>
    <w:rsid w:val="0002445F"/>
    <w:rsid w:val="00024686"/>
    <w:rsid w:val="00024777"/>
    <w:rsid w:val="000248BE"/>
    <w:rsid w:val="00024912"/>
    <w:rsid w:val="0002491F"/>
    <w:rsid w:val="000249F7"/>
    <w:rsid w:val="00024E0D"/>
    <w:rsid w:val="00024E57"/>
    <w:rsid w:val="00024EE9"/>
    <w:rsid w:val="00024F2E"/>
    <w:rsid w:val="0002504E"/>
    <w:rsid w:val="0002538D"/>
    <w:rsid w:val="00025479"/>
    <w:rsid w:val="000255AE"/>
    <w:rsid w:val="000255AF"/>
    <w:rsid w:val="000255BF"/>
    <w:rsid w:val="000256DB"/>
    <w:rsid w:val="00025825"/>
    <w:rsid w:val="0002583E"/>
    <w:rsid w:val="0002585C"/>
    <w:rsid w:val="00025980"/>
    <w:rsid w:val="000259BB"/>
    <w:rsid w:val="00025CB4"/>
    <w:rsid w:val="00025D7E"/>
    <w:rsid w:val="00025E4F"/>
    <w:rsid w:val="00025F22"/>
    <w:rsid w:val="00026300"/>
    <w:rsid w:val="00026305"/>
    <w:rsid w:val="000267DD"/>
    <w:rsid w:val="00026AEA"/>
    <w:rsid w:val="00026C92"/>
    <w:rsid w:val="00026E8D"/>
    <w:rsid w:val="00026EB1"/>
    <w:rsid w:val="00026EE9"/>
    <w:rsid w:val="00027203"/>
    <w:rsid w:val="00027327"/>
    <w:rsid w:val="00027486"/>
    <w:rsid w:val="00027511"/>
    <w:rsid w:val="000276B9"/>
    <w:rsid w:val="000279E9"/>
    <w:rsid w:val="00027A1C"/>
    <w:rsid w:val="00027BBD"/>
    <w:rsid w:val="00027C6F"/>
    <w:rsid w:val="00027CCC"/>
    <w:rsid w:val="00027F4D"/>
    <w:rsid w:val="00030241"/>
    <w:rsid w:val="0003043F"/>
    <w:rsid w:val="000304E4"/>
    <w:rsid w:val="00030688"/>
    <w:rsid w:val="00030D7D"/>
    <w:rsid w:val="00030E19"/>
    <w:rsid w:val="00030E1F"/>
    <w:rsid w:val="00030FDC"/>
    <w:rsid w:val="00031075"/>
    <w:rsid w:val="000310D3"/>
    <w:rsid w:val="00031293"/>
    <w:rsid w:val="000312EF"/>
    <w:rsid w:val="000313EB"/>
    <w:rsid w:val="000316BA"/>
    <w:rsid w:val="000316DB"/>
    <w:rsid w:val="000316FC"/>
    <w:rsid w:val="000318B6"/>
    <w:rsid w:val="00031980"/>
    <w:rsid w:val="00031AAA"/>
    <w:rsid w:val="00031BD1"/>
    <w:rsid w:val="00031E44"/>
    <w:rsid w:val="00031EAB"/>
    <w:rsid w:val="00031F46"/>
    <w:rsid w:val="00031F73"/>
    <w:rsid w:val="00031F95"/>
    <w:rsid w:val="00032239"/>
    <w:rsid w:val="000323EC"/>
    <w:rsid w:val="00032540"/>
    <w:rsid w:val="0003258C"/>
    <w:rsid w:val="000326DF"/>
    <w:rsid w:val="000328A8"/>
    <w:rsid w:val="000328F0"/>
    <w:rsid w:val="00032A91"/>
    <w:rsid w:val="00032EB2"/>
    <w:rsid w:val="00032F5D"/>
    <w:rsid w:val="000331FD"/>
    <w:rsid w:val="000333F9"/>
    <w:rsid w:val="00033443"/>
    <w:rsid w:val="000336F4"/>
    <w:rsid w:val="0003387A"/>
    <w:rsid w:val="000339A7"/>
    <w:rsid w:val="00033A20"/>
    <w:rsid w:val="00034012"/>
    <w:rsid w:val="000343C7"/>
    <w:rsid w:val="00034525"/>
    <w:rsid w:val="00034652"/>
    <w:rsid w:val="00034740"/>
    <w:rsid w:val="0003483F"/>
    <w:rsid w:val="0003484D"/>
    <w:rsid w:val="00034A15"/>
    <w:rsid w:val="00034B93"/>
    <w:rsid w:val="00034D7F"/>
    <w:rsid w:val="00034D8E"/>
    <w:rsid w:val="00034E2A"/>
    <w:rsid w:val="00035180"/>
    <w:rsid w:val="00035660"/>
    <w:rsid w:val="0003570C"/>
    <w:rsid w:val="00035752"/>
    <w:rsid w:val="00035895"/>
    <w:rsid w:val="0003589B"/>
    <w:rsid w:val="00035A84"/>
    <w:rsid w:val="00035C02"/>
    <w:rsid w:val="00035C77"/>
    <w:rsid w:val="00035D53"/>
    <w:rsid w:val="00035F52"/>
    <w:rsid w:val="0003601A"/>
    <w:rsid w:val="00036082"/>
    <w:rsid w:val="000360FB"/>
    <w:rsid w:val="00036136"/>
    <w:rsid w:val="000362DF"/>
    <w:rsid w:val="000362F3"/>
    <w:rsid w:val="000363CA"/>
    <w:rsid w:val="0003648A"/>
    <w:rsid w:val="000364FD"/>
    <w:rsid w:val="00036548"/>
    <w:rsid w:val="00036849"/>
    <w:rsid w:val="00036890"/>
    <w:rsid w:val="00036997"/>
    <w:rsid w:val="00036C73"/>
    <w:rsid w:val="00036D39"/>
    <w:rsid w:val="00036D5F"/>
    <w:rsid w:val="00036EB5"/>
    <w:rsid w:val="0003726B"/>
    <w:rsid w:val="00037484"/>
    <w:rsid w:val="000374EF"/>
    <w:rsid w:val="0003753A"/>
    <w:rsid w:val="000377C0"/>
    <w:rsid w:val="00037912"/>
    <w:rsid w:val="00037951"/>
    <w:rsid w:val="00037AA2"/>
    <w:rsid w:val="00037B47"/>
    <w:rsid w:val="00037BB8"/>
    <w:rsid w:val="00037BC1"/>
    <w:rsid w:val="00037C23"/>
    <w:rsid w:val="00037C3F"/>
    <w:rsid w:val="00037DA4"/>
    <w:rsid w:val="00037FAC"/>
    <w:rsid w:val="0004028B"/>
    <w:rsid w:val="0004030C"/>
    <w:rsid w:val="000403BF"/>
    <w:rsid w:val="00040458"/>
    <w:rsid w:val="000404E3"/>
    <w:rsid w:val="000407EA"/>
    <w:rsid w:val="00040854"/>
    <w:rsid w:val="00040894"/>
    <w:rsid w:val="00040983"/>
    <w:rsid w:val="000409DA"/>
    <w:rsid w:val="00040D3A"/>
    <w:rsid w:val="00040E17"/>
    <w:rsid w:val="00040F23"/>
    <w:rsid w:val="0004116F"/>
    <w:rsid w:val="000411C7"/>
    <w:rsid w:val="000412E1"/>
    <w:rsid w:val="000414CD"/>
    <w:rsid w:val="00041545"/>
    <w:rsid w:val="0004160F"/>
    <w:rsid w:val="000416C0"/>
    <w:rsid w:val="00041BDB"/>
    <w:rsid w:val="00042392"/>
    <w:rsid w:val="000427B6"/>
    <w:rsid w:val="000427C9"/>
    <w:rsid w:val="000428E3"/>
    <w:rsid w:val="00042B71"/>
    <w:rsid w:val="00042C00"/>
    <w:rsid w:val="00042CB8"/>
    <w:rsid w:val="00042CC6"/>
    <w:rsid w:val="00042D29"/>
    <w:rsid w:val="00042D86"/>
    <w:rsid w:val="00042E5C"/>
    <w:rsid w:val="00042FFD"/>
    <w:rsid w:val="0004318C"/>
    <w:rsid w:val="000431F6"/>
    <w:rsid w:val="000434A0"/>
    <w:rsid w:val="00043595"/>
    <w:rsid w:val="00043619"/>
    <w:rsid w:val="0004383E"/>
    <w:rsid w:val="000438DF"/>
    <w:rsid w:val="0004391F"/>
    <w:rsid w:val="0004398F"/>
    <w:rsid w:val="00043A0D"/>
    <w:rsid w:val="00043A48"/>
    <w:rsid w:val="00043B2A"/>
    <w:rsid w:val="00043BF5"/>
    <w:rsid w:val="00043FAF"/>
    <w:rsid w:val="000440F9"/>
    <w:rsid w:val="0004435F"/>
    <w:rsid w:val="0004437A"/>
    <w:rsid w:val="000443D8"/>
    <w:rsid w:val="00044467"/>
    <w:rsid w:val="00044643"/>
    <w:rsid w:val="00044A8D"/>
    <w:rsid w:val="00044BC4"/>
    <w:rsid w:val="00044C04"/>
    <w:rsid w:val="00044CAA"/>
    <w:rsid w:val="00044CDB"/>
    <w:rsid w:val="00044DA7"/>
    <w:rsid w:val="00044E34"/>
    <w:rsid w:val="00044F48"/>
    <w:rsid w:val="00044FEB"/>
    <w:rsid w:val="000450DD"/>
    <w:rsid w:val="000453CF"/>
    <w:rsid w:val="0004542A"/>
    <w:rsid w:val="0004543F"/>
    <w:rsid w:val="00045504"/>
    <w:rsid w:val="0004554A"/>
    <w:rsid w:val="00045848"/>
    <w:rsid w:val="00045941"/>
    <w:rsid w:val="00045A03"/>
    <w:rsid w:val="00045BAE"/>
    <w:rsid w:val="00045EB9"/>
    <w:rsid w:val="0004615A"/>
    <w:rsid w:val="0004625B"/>
    <w:rsid w:val="0004638A"/>
    <w:rsid w:val="000466BE"/>
    <w:rsid w:val="000467AF"/>
    <w:rsid w:val="00046812"/>
    <w:rsid w:val="0004688F"/>
    <w:rsid w:val="00046998"/>
    <w:rsid w:val="00046BAE"/>
    <w:rsid w:val="00046BC2"/>
    <w:rsid w:val="00046EE4"/>
    <w:rsid w:val="0004713B"/>
    <w:rsid w:val="00047527"/>
    <w:rsid w:val="000476AC"/>
    <w:rsid w:val="0004778B"/>
    <w:rsid w:val="0004786E"/>
    <w:rsid w:val="0004795C"/>
    <w:rsid w:val="00047A83"/>
    <w:rsid w:val="00047CE8"/>
    <w:rsid w:val="00047E28"/>
    <w:rsid w:val="00047E35"/>
    <w:rsid w:val="0005002E"/>
    <w:rsid w:val="000502BC"/>
    <w:rsid w:val="00050379"/>
    <w:rsid w:val="0005038E"/>
    <w:rsid w:val="000503AE"/>
    <w:rsid w:val="00050419"/>
    <w:rsid w:val="000507B9"/>
    <w:rsid w:val="000507C7"/>
    <w:rsid w:val="000507F6"/>
    <w:rsid w:val="00050816"/>
    <w:rsid w:val="00050A42"/>
    <w:rsid w:val="00050A87"/>
    <w:rsid w:val="00050AA8"/>
    <w:rsid w:val="00050AAB"/>
    <w:rsid w:val="0005100D"/>
    <w:rsid w:val="00051049"/>
    <w:rsid w:val="000511A7"/>
    <w:rsid w:val="000513C9"/>
    <w:rsid w:val="00051482"/>
    <w:rsid w:val="0005157D"/>
    <w:rsid w:val="0005173D"/>
    <w:rsid w:val="000517E5"/>
    <w:rsid w:val="00051942"/>
    <w:rsid w:val="00051D8C"/>
    <w:rsid w:val="00051F49"/>
    <w:rsid w:val="000520E3"/>
    <w:rsid w:val="00052184"/>
    <w:rsid w:val="000524F2"/>
    <w:rsid w:val="00052568"/>
    <w:rsid w:val="00052885"/>
    <w:rsid w:val="00052AA0"/>
    <w:rsid w:val="00052BEF"/>
    <w:rsid w:val="00052C9C"/>
    <w:rsid w:val="00052D62"/>
    <w:rsid w:val="00052D89"/>
    <w:rsid w:val="00052E67"/>
    <w:rsid w:val="00052FC0"/>
    <w:rsid w:val="000530E7"/>
    <w:rsid w:val="0005333E"/>
    <w:rsid w:val="000533DF"/>
    <w:rsid w:val="0005342C"/>
    <w:rsid w:val="00053493"/>
    <w:rsid w:val="000534E3"/>
    <w:rsid w:val="00053886"/>
    <w:rsid w:val="0005399B"/>
    <w:rsid w:val="00053AFF"/>
    <w:rsid w:val="00053B21"/>
    <w:rsid w:val="00053C0C"/>
    <w:rsid w:val="00053E7B"/>
    <w:rsid w:val="00053FB0"/>
    <w:rsid w:val="000540DA"/>
    <w:rsid w:val="00054277"/>
    <w:rsid w:val="000542CE"/>
    <w:rsid w:val="000543B7"/>
    <w:rsid w:val="0005451A"/>
    <w:rsid w:val="00054569"/>
    <w:rsid w:val="000548FB"/>
    <w:rsid w:val="00054B92"/>
    <w:rsid w:val="00054F56"/>
    <w:rsid w:val="00054FFA"/>
    <w:rsid w:val="00055057"/>
    <w:rsid w:val="0005515F"/>
    <w:rsid w:val="00055262"/>
    <w:rsid w:val="00055308"/>
    <w:rsid w:val="0005549F"/>
    <w:rsid w:val="000554BB"/>
    <w:rsid w:val="000557D1"/>
    <w:rsid w:val="000558D2"/>
    <w:rsid w:val="0005598E"/>
    <w:rsid w:val="00055C18"/>
    <w:rsid w:val="00055CE7"/>
    <w:rsid w:val="00055D5F"/>
    <w:rsid w:val="00055D69"/>
    <w:rsid w:val="00055DD6"/>
    <w:rsid w:val="00055E36"/>
    <w:rsid w:val="000560B4"/>
    <w:rsid w:val="000561C0"/>
    <w:rsid w:val="000563A2"/>
    <w:rsid w:val="000563E2"/>
    <w:rsid w:val="0005648E"/>
    <w:rsid w:val="0005659B"/>
    <w:rsid w:val="000568B9"/>
    <w:rsid w:val="000569D4"/>
    <w:rsid w:val="00056A8C"/>
    <w:rsid w:val="00056B00"/>
    <w:rsid w:val="00056B2E"/>
    <w:rsid w:val="00056C68"/>
    <w:rsid w:val="00056C76"/>
    <w:rsid w:val="00056FAC"/>
    <w:rsid w:val="00057086"/>
    <w:rsid w:val="00057256"/>
    <w:rsid w:val="0005745B"/>
    <w:rsid w:val="0005754F"/>
    <w:rsid w:val="0005775E"/>
    <w:rsid w:val="00057943"/>
    <w:rsid w:val="00057A11"/>
    <w:rsid w:val="00057C7B"/>
    <w:rsid w:val="00057F6B"/>
    <w:rsid w:val="00057FCE"/>
    <w:rsid w:val="00060111"/>
    <w:rsid w:val="000601B7"/>
    <w:rsid w:val="0006026D"/>
    <w:rsid w:val="00060853"/>
    <w:rsid w:val="00060AA7"/>
    <w:rsid w:val="00060B8F"/>
    <w:rsid w:val="00060BD9"/>
    <w:rsid w:val="00060C62"/>
    <w:rsid w:val="00060CEA"/>
    <w:rsid w:val="00060EFB"/>
    <w:rsid w:val="000610D6"/>
    <w:rsid w:val="000611AC"/>
    <w:rsid w:val="00061361"/>
    <w:rsid w:val="0006144B"/>
    <w:rsid w:val="000616BE"/>
    <w:rsid w:val="00061854"/>
    <w:rsid w:val="000618CD"/>
    <w:rsid w:val="000619FA"/>
    <w:rsid w:val="00061BFA"/>
    <w:rsid w:val="00061C97"/>
    <w:rsid w:val="00061E1A"/>
    <w:rsid w:val="00062184"/>
    <w:rsid w:val="000622EE"/>
    <w:rsid w:val="0006235E"/>
    <w:rsid w:val="000623D8"/>
    <w:rsid w:val="00062449"/>
    <w:rsid w:val="00062509"/>
    <w:rsid w:val="0006259E"/>
    <w:rsid w:val="0006272A"/>
    <w:rsid w:val="000628AA"/>
    <w:rsid w:val="000628E1"/>
    <w:rsid w:val="00062B01"/>
    <w:rsid w:val="00062B40"/>
    <w:rsid w:val="00062CB2"/>
    <w:rsid w:val="00062D61"/>
    <w:rsid w:val="00062DDC"/>
    <w:rsid w:val="00063007"/>
    <w:rsid w:val="000632C9"/>
    <w:rsid w:val="00063918"/>
    <w:rsid w:val="000639BD"/>
    <w:rsid w:val="000639DD"/>
    <w:rsid w:val="000639FC"/>
    <w:rsid w:val="00063B80"/>
    <w:rsid w:val="00063B83"/>
    <w:rsid w:val="00063C53"/>
    <w:rsid w:val="00063C61"/>
    <w:rsid w:val="00063CA9"/>
    <w:rsid w:val="00063DFD"/>
    <w:rsid w:val="00063E61"/>
    <w:rsid w:val="00063FC0"/>
    <w:rsid w:val="0006411E"/>
    <w:rsid w:val="00064269"/>
    <w:rsid w:val="00064316"/>
    <w:rsid w:val="000643A1"/>
    <w:rsid w:val="00064513"/>
    <w:rsid w:val="00064961"/>
    <w:rsid w:val="000649ED"/>
    <w:rsid w:val="00064B89"/>
    <w:rsid w:val="00064F3E"/>
    <w:rsid w:val="00065138"/>
    <w:rsid w:val="00065141"/>
    <w:rsid w:val="0006525B"/>
    <w:rsid w:val="0006531C"/>
    <w:rsid w:val="0006552D"/>
    <w:rsid w:val="00065821"/>
    <w:rsid w:val="000658DC"/>
    <w:rsid w:val="000658EA"/>
    <w:rsid w:val="000658F4"/>
    <w:rsid w:val="00065971"/>
    <w:rsid w:val="00065A43"/>
    <w:rsid w:val="00065A80"/>
    <w:rsid w:val="00065D3C"/>
    <w:rsid w:val="00065F4B"/>
    <w:rsid w:val="00065FBE"/>
    <w:rsid w:val="000661B6"/>
    <w:rsid w:val="0006626C"/>
    <w:rsid w:val="00066475"/>
    <w:rsid w:val="000664CC"/>
    <w:rsid w:val="000665B8"/>
    <w:rsid w:val="00066768"/>
    <w:rsid w:val="0006693E"/>
    <w:rsid w:val="00066A23"/>
    <w:rsid w:val="00066B05"/>
    <w:rsid w:val="00066CD4"/>
    <w:rsid w:val="00066D06"/>
    <w:rsid w:val="00066D3D"/>
    <w:rsid w:val="000671CC"/>
    <w:rsid w:val="0006721C"/>
    <w:rsid w:val="00067259"/>
    <w:rsid w:val="000673AB"/>
    <w:rsid w:val="00067486"/>
    <w:rsid w:val="00067987"/>
    <w:rsid w:val="00067B4C"/>
    <w:rsid w:val="00067BA9"/>
    <w:rsid w:val="00067FCF"/>
    <w:rsid w:val="00067FF2"/>
    <w:rsid w:val="0007014A"/>
    <w:rsid w:val="0007043C"/>
    <w:rsid w:val="00070460"/>
    <w:rsid w:val="00070577"/>
    <w:rsid w:val="00070684"/>
    <w:rsid w:val="00070998"/>
    <w:rsid w:val="000709CB"/>
    <w:rsid w:val="00070B2B"/>
    <w:rsid w:val="00070B9E"/>
    <w:rsid w:val="00070DA5"/>
    <w:rsid w:val="00070EE7"/>
    <w:rsid w:val="00070F1E"/>
    <w:rsid w:val="0007125D"/>
    <w:rsid w:val="000713BA"/>
    <w:rsid w:val="0007151C"/>
    <w:rsid w:val="000715DE"/>
    <w:rsid w:val="00071688"/>
    <w:rsid w:val="00071753"/>
    <w:rsid w:val="00071800"/>
    <w:rsid w:val="00071861"/>
    <w:rsid w:val="0007197B"/>
    <w:rsid w:val="00071AFA"/>
    <w:rsid w:val="00071CF6"/>
    <w:rsid w:val="00071D1D"/>
    <w:rsid w:val="00071D8F"/>
    <w:rsid w:val="00072050"/>
    <w:rsid w:val="000721A5"/>
    <w:rsid w:val="0007245E"/>
    <w:rsid w:val="000724D7"/>
    <w:rsid w:val="000724D9"/>
    <w:rsid w:val="00072657"/>
    <w:rsid w:val="00072690"/>
    <w:rsid w:val="0007278B"/>
    <w:rsid w:val="00072A1A"/>
    <w:rsid w:val="00072AAB"/>
    <w:rsid w:val="00072B76"/>
    <w:rsid w:val="00072B9B"/>
    <w:rsid w:val="00072C2E"/>
    <w:rsid w:val="00072F04"/>
    <w:rsid w:val="00073263"/>
    <w:rsid w:val="0007356D"/>
    <w:rsid w:val="00073653"/>
    <w:rsid w:val="00073711"/>
    <w:rsid w:val="00073756"/>
    <w:rsid w:val="00073B3F"/>
    <w:rsid w:val="00073B6E"/>
    <w:rsid w:val="00073C7D"/>
    <w:rsid w:val="00073C8D"/>
    <w:rsid w:val="00073FE8"/>
    <w:rsid w:val="0007400C"/>
    <w:rsid w:val="0007402F"/>
    <w:rsid w:val="0007437F"/>
    <w:rsid w:val="00074472"/>
    <w:rsid w:val="000745C1"/>
    <w:rsid w:val="00074624"/>
    <w:rsid w:val="00074727"/>
    <w:rsid w:val="000749F1"/>
    <w:rsid w:val="00074AAC"/>
    <w:rsid w:val="00074C50"/>
    <w:rsid w:val="00074E23"/>
    <w:rsid w:val="0007502D"/>
    <w:rsid w:val="000752C0"/>
    <w:rsid w:val="000752C1"/>
    <w:rsid w:val="00075400"/>
    <w:rsid w:val="000754D0"/>
    <w:rsid w:val="0007558F"/>
    <w:rsid w:val="0007573C"/>
    <w:rsid w:val="00075741"/>
    <w:rsid w:val="00075A4B"/>
    <w:rsid w:val="00075C17"/>
    <w:rsid w:val="00075C37"/>
    <w:rsid w:val="00075C82"/>
    <w:rsid w:val="00075CF5"/>
    <w:rsid w:val="00075D52"/>
    <w:rsid w:val="00075DF1"/>
    <w:rsid w:val="00075F9E"/>
    <w:rsid w:val="00076089"/>
    <w:rsid w:val="0007610E"/>
    <w:rsid w:val="000761E7"/>
    <w:rsid w:val="000761FE"/>
    <w:rsid w:val="000763A6"/>
    <w:rsid w:val="00076445"/>
    <w:rsid w:val="000764E0"/>
    <w:rsid w:val="0007652A"/>
    <w:rsid w:val="00076605"/>
    <w:rsid w:val="000767DB"/>
    <w:rsid w:val="00076827"/>
    <w:rsid w:val="00076943"/>
    <w:rsid w:val="00076A57"/>
    <w:rsid w:val="00076DB7"/>
    <w:rsid w:val="00076F24"/>
    <w:rsid w:val="00076FA2"/>
    <w:rsid w:val="00077414"/>
    <w:rsid w:val="00077449"/>
    <w:rsid w:val="000774DD"/>
    <w:rsid w:val="000775AD"/>
    <w:rsid w:val="000777C6"/>
    <w:rsid w:val="00077960"/>
    <w:rsid w:val="00077B62"/>
    <w:rsid w:val="00077BD2"/>
    <w:rsid w:val="00077D2A"/>
    <w:rsid w:val="00077D48"/>
    <w:rsid w:val="00077F5D"/>
    <w:rsid w:val="000800F7"/>
    <w:rsid w:val="0008016E"/>
    <w:rsid w:val="000801E6"/>
    <w:rsid w:val="0008024E"/>
    <w:rsid w:val="00080273"/>
    <w:rsid w:val="0008041E"/>
    <w:rsid w:val="000804A2"/>
    <w:rsid w:val="00080548"/>
    <w:rsid w:val="000806CD"/>
    <w:rsid w:val="000807EC"/>
    <w:rsid w:val="000808C9"/>
    <w:rsid w:val="0008095D"/>
    <w:rsid w:val="00080B46"/>
    <w:rsid w:val="00080BD2"/>
    <w:rsid w:val="00080C6D"/>
    <w:rsid w:val="00080F32"/>
    <w:rsid w:val="00080F66"/>
    <w:rsid w:val="00080F90"/>
    <w:rsid w:val="00081104"/>
    <w:rsid w:val="0008127E"/>
    <w:rsid w:val="000812F2"/>
    <w:rsid w:val="0008175C"/>
    <w:rsid w:val="0008177D"/>
    <w:rsid w:val="00081990"/>
    <w:rsid w:val="00081C5B"/>
    <w:rsid w:val="00081D7A"/>
    <w:rsid w:val="00081DF7"/>
    <w:rsid w:val="00081E4D"/>
    <w:rsid w:val="00081EE1"/>
    <w:rsid w:val="000820AB"/>
    <w:rsid w:val="0008227F"/>
    <w:rsid w:val="000822E9"/>
    <w:rsid w:val="0008237D"/>
    <w:rsid w:val="0008255B"/>
    <w:rsid w:val="000825A5"/>
    <w:rsid w:val="00082601"/>
    <w:rsid w:val="00082B30"/>
    <w:rsid w:val="00082C02"/>
    <w:rsid w:val="00082E3B"/>
    <w:rsid w:val="00082F43"/>
    <w:rsid w:val="00083198"/>
    <w:rsid w:val="00083342"/>
    <w:rsid w:val="000833B0"/>
    <w:rsid w:val="000835CC"/>
    <w:rsid w:val="000836A4"/>
    <w:rsid w:val="00083747"/>
    <w:rsid w:val="000838CA"/>
    <w:rsid w:val="00083A74"/>
    <w:rsid w:val="00083AB0"/>
    <w:rsid w:val="00083B10"/>
    <w:rsid w:val="00083B84"/>
    <w:rsid w:val="00083C8F"/>
    <w:rsid w:val="00083D05"/>
    <w:rsid w:val="00083D32"/>
    <w:rsid w:val="0008400D"/>
    <w:rsid w:val="0008425D"/>
    <w:rsid w:val="00084520"/>
    <w:rsid w:val="00084544"/>
    <w:rsid w:val="00084598"/>
    <w:rsid w:val="0008463F"/>
    <w:rsid w:val="00084AE7"/>
    <w:rsid w:val="00084BEC"/>
    <w:rsid w:val="00084D3B"/>
    <w:rsid w:val="00084F81"/>
    <w:rsid w:val="000850DC"/>
    <w:rsid w:val="0008551A"/>
    <w:rsid w:val="000855B3"/>
    <w:rsid w:val="000856D0"/>
    <w:rsid w:val="00085732"/>
    <w:rsid w:val="0008582F"/>
    <w:rsid w:val="00085BAC"/>
    <w:rsid w:val="00086069"/>
    <w:rsid w:val="0008615D"/>
    <w:rsid w:val="00086363"/>
    <w:rsid w:val="00086572"/>
    <w:rsid w:val="000865EB"/>
    <w:rsid w:val="000868F7"/>
    <w:rsid w:val="00086914"/>
    <w:rsid w:val="000869CE"/>
    <w:rsid w:val="00086A29"/>
    <w:rsid w:val="00086B14"/>
    <w:rsid w:val="00086B43"/>
    <w:rsid w:val="00086CA4"/>
    <w:rsid w:val="00086D0C"/>
    <w:rsid w:val="0008705C"/>
    <w:rsid w:val="000870EE"/>
    <w:rsid w:val="0008734D"/>
    <w:rsid w:val="000873B5"/>
    <w:rsid w:val="00087A07"/>
    <w:rsid w:val="00087C41"/>
    <w:rsid w:val="00087FBA"/>
    <w:rsid w:val="0009011B"/>
    <w:rsid w:val="00090392"/>
    <w:rsid w:val="000903ED"/>
    <w:rsid w:val="0009045E"/>
    <w:rsid w:val="00090546"/>
    <w:rsid w:val="000906C0"/>
    <w:rsid w:val="00090701"/>
    <w:rsid w:val="000907A8"/>
    <w:rsid w:val="0009081E"/>
    <w:rsid w:val="00090876"/>
    <w:rsid w:val="00090971"/>
    <w:rsid w:val="00090ABB"/>
    <w:rsid w:val="00090AC0"/>
    <w:rsid w:val="00090AD4"/>
    <w:rsid w:val="00090AEF"/>
    <w:rsid w:val="00090AFF"/>
    <w:rsid w:val="00090C23"/>
    <w:rsid w:val="00090F1E"/>
    <w:rsid w:val="000913D8"/>
    <w:rsid w:val="0009151A"/>
    <w:rsid w:val="00091A27"/>
    <w:rsid w:val="00091BCA"/>
    <w:rsid w:val="00091C1F"/>
    <w:rsid w:val="00091CAA"/>
    <w:rsid w:val="00091E84"/>
    <w:rsid w:val="0009208F"/>
    <w:rsid w:val="000920DA"/>
    <w:rsid w:val="00092123"/>
    <w:rsid w:val="0009228A"/>
    <w:rsid w:val="000923AE"/>
    <w:rsid w:val="0009244D"/>
    <w:rsid w:val="0009249C"/>
    <w:rsid w:val="00092802"/>
    <w:rsid w:val="00092C41"/>
    <w:rsid w:val="00092E19"/>
    <w:rsid w:val="00093082"/>
    <w:rsid w:val="000930D1"/>
    <w:rsid w:val="00093353"/>
    <w:rsid w:val="00093701"/>
    <w:rsid w:val="000937D0"/>
    <w:rsid w:val="0009389F"/>
    <w:rsid w:val="000938BF"/>
    <w:rsid w:val="000939CF"/>
    <w:rsid w:val="00093B13"/>
    <w:rsid w:val="00093DF1"/>
    <w:rsid w:val="00093E27"/>
    <w:rsid w:val="00094084"/>
    <w:rsid w:val="000941B5"/>
    <w:rsid w:val="0009421E"/>
    <w:rsid w:val="00094386"/>
    <w:rsid w:val="000944F2"/>
    <w:rsid w:val="00094852"/>
    <w:rsid w:val="000948B6"/>
    <w:rsid w:val="000948CA"/>
    <w:rsid w:val="00094B2F"/>
    <w:rsid w:val="00094CA3"/>
    <w:rsid w:val="00095017"/>
    <w:rsid w:val="000950B8"/>
    <w:rsid w:val="0009510C"/>
    <w:rsid w:val="00095276"/>
    <w:rsid w:val="0009534E"/>
    <w:rsid w:val="0009541B"/>
    <w:rsid w:val="00095439"/>
    <w:rsid w:val="00095688"/>
    <w:rsid w:val="00095831"/>
    <w:rsid w:val="00095C34"/>
    <w:rsid w:val="00095DF8"/>
    <w:rsid w:val="00095E01"/>
    <w:rsid w:val="00095E32"/>
    <w:rsid w:val="0009600C"/>
    <w:rsid w:val="00096029"/>
    <w:rsid w:val="000960C5"/>
    <w:rsid w:val="000961F9"/>
    <w:rsid w:val="00096305"/>
    <w:rsid w:val="00096307"/>
    <w:rsid w:val="000965CA"/>
    <w:rsid w:val="000968AD"/>
    <w:rsid w:val="00096B83"/>
    <w:rsid w:val="00096E36"/>
    <w:rsid w:val="00096E4B"/>
    <w:rsid w:val="00096F7F"/>
    <w:rsid w:val="00096FE8"/>
    <w:rsid w:val="000970DE"/>
    <w:rsid w:val="000971B3"/>
    <w:rsid w:val="0009744E"/>
    <w:rsid w:val="0009746C"/>
    <w:rsid w:val="000977DF"/>
    <w:rsid w:val="00097AC6"/>
    <w:rsid w:val="00097BCF"/>
    <w:rsid w:val="00097EE6"/>
    <w:rsid w:val="000A00EB"/>
    <w:rsid w:val="000A0109"/>
    <w:rsid w:val="000A0477"/>
    <w:rsid w:val="000A04F7"/>
    <w:rsid w:val="000A06C2"/>
    <w:rsid w:val="000A080B"/>
    <w:rsid w:val="000A081E"/>
    <w:rsid w:val="000A0E1C"/>
    <w:rsid w:val="000A103B"/>
    <w:rsid w:val="000A10C5"/>
    <w:rsid w:val="000A1482"/>
    <w:rsid w:val="000A14EE"/>
    <w:rsid w:val="000A1504"/>
    <w:rsid w:val="000A1695"/>
    <w:rsid w:val="000A1977"/>
    <w:rsid w:val="000A1A59"/>
    <w:rsid w:val="000A1D49"/>
    <w:rsid w:val="000A1DC5"/>
    <w:rsid w:val="000A1F57"/>
    <w:rsid w:val="000A1FE5"/>
    <w:rsid w:val="000A2023"/>
    <w:rsid w:val="000A2298"/>
    <w:rsid w:val="000A2455"/>
    <w:rsid w:val="000A2912"/>
    <w:rsid w:val="000A2B0F"/>
    <w:rsid w:val="000A2BDD"/>
    <w:rsid w:val="000A2BE5"/>
    <w:rsid w:val="000A2D7D"/>
    <w:rsid w:val="000A2DFA"/>
    <w:rsid w:val="000A2F2F"/>
    <w:rsid w:val="000A3284"/>
    <w:rsid w:val="000A32E4"/>
    <w:rsid w:val="000A3498"/>
    <w:rsid w:val="000A35A0"/>
    <w:rsid w:val="000A36E4"/>
    <w:rsid w:val="000A36ED"/>
    <w:rsid w:val="000A38C5"/>
    <w:rsid w:val="000A3D65"/>
    <w:rsid w:val="000A3F72"/>
    <w:rsid w:val="000A405B"/>
    <w:rsid w:val="000A42CA"/>
    <w:rsid w:val="000A44D5"/>
    <w:rsid w:val="000A454F"/>
    <w:rsid w:val="000A475C"/>
    <w:rsid w:val="000A47DD"/>
    <w:rsid w:val="000A49F7"/>
    <w:rsid w:val="000A4CA2"/>
    <w:rsid w:val="000A4F85"/>
    <w:rsid w:val="000A4F97"/>
    <w:rsid w:val="000A5053"/>
    <w:rsid w:val="000A51E3"/>
    <w:rsid w:val="000A533D"/>
    <w:rsid w:val="000A544E"/>
    <w:rsid w:val="000A5498"/>
    <w:rsid w:val="000A571E"/>
    <w:rsid w:val="000A57D8"/>
    <w:rsid w:val="000A59CF"/>
    <w:rsid w:val="000A5A41"/>
    <w:rsid w:val="000A5AB9"/>
    <w:rsid w:val="000A5D6D"/>
    <w:rsid w:val="000A5EBC"/>
    <w:rsid w:val="000A5FEB"/>
    <w:rsid w:val="000A601C"/>
    <w:rsid w:val="000A604D"/>
    <w:rsid w:val="000A6255"/>
    <w:rsid w:val="000A6391"/>
    <w:rsid w:val="000A646A"/>
    <w:rsid w:val="000A6619"/>
    <w:rsid w:val="000A6652"/>
    <w:rsid w:val="000A6657"/>
    <w:rsid w:val="000A66E7"/>
    <w:rsid w:val="000A675E"/>
    <w:rsid w:val="000A67F5"/>
    <w:rsid w:val="000A6AD6"/>
    <w:rsid w:val="000A6CA0"/>
    <w:rsid w:val="000A6D98"/>
    <w:rsid w:val="000A6EE5"/>
    <w:rsid w:val="000A7003"/>
    <w:rsid w:val="000A70CF"/>
    <w:rsid w:val="000A71BB"/>
    <w:rsid w:val="000A71F2"/>
    <w:rsid w:val="000A722A"/>
    <w:rsid w:val="000A7352"/>
    <w:rsid w:val="000A737B"/>
    <w:rsid w:val="000A7452"/>
    <w:rsid w:val="000A74DE"/>
    <w:rsid w:val="000A7605"/>
    <w:rsid w:val="000A76DF"/>
    <w:rsid w:val="000A7858"/>
    <w:rsid w:val="000A78C0"/>
    <w:rsid w:val="000A799D"/>
    <w:rsid w:val="000A7CBC"/>
    <w:rsid w:val="000B0094"/>
    <w:rsid w:val="000B0226"/>
    <w:rsid w:val="000B03A8"/>
    <w:rsid w:val="000B0502"/>
    <w:rsid w:val="000B0967"/>
    <w:rsid w:val="000B0A04"/>
    <w:rsid w:val="000B0BA3"/>
    <w:rsid w:val="000B0BDD"/>
    <w:rsid w:val="000B0C73"/>
    <w:rsid w:val="000B0CC2"/>
    <w:rsid w:val="000B0CEB"/>
    <w:rsid w:val="000B0EC5"/>
    <w:rsid w:val="000B0ED5"/>
    <w:rsid w:val="000B1067"/>
    <w:rsid w:val="000B1092"/>
    <w:rsid w:val="000B137B"/>
    <w:rsid w:val="000B13C9"/>
    <w:rsid w:val="000B176A"/>
    <w:rsid w:val="000B19BB"/>
    <w:rsid w:val="000B1C34"/>
    <w:rsid w:val="000B1F22"/>
    <w:rsid w:val="000B1F9E"/>
    <w:rsid w:val="000B1FD8"/>
    <w:rsid w:val="000B2020"/>
    <w:rsid w:val="000B213D"/>
    <w:rsid w:val="000B2280"/>
    <w:rsid w:val="000B23B2"/>
    <w:rsid w:val="000B247D"/>
    <w:rsid w:val="000B24A2"/>
    <w:rsid w:val="000B24EE"/>
    <w:rsid w:val="000B24F0"/>
    <w:rsid w:val="000B255C"/>
    <w:rsid w:val="000B2896"/>
    <w:rsid w:val="000B2933"/>
    <w:rsid w:val="000B2975"/>
    <w:rsid w:val="000B2C21"/>
    <w:rsid w:val="000B2E28"/>
    <w:rsid w:val="000B2F68"/>
    <w:rsid w:val="000B2F9F"/>
    <w:rsid w:val="000B3043"/>
    <w:rsid w:val="000B30B2"/>
    <w:rsid w:val="000B3105"/>
    <w:rsid w:val="000B3270"/>
    <w:rsid w:val="000B339C"/>
    <w:rsid w:val="000B33D4"/>
    <w:rsid w:val="000B3469"/>
    <w:rsid w:val="000B3541"/>
    <w:rsid w:val="000B3637"/>
    <w:rsid w:val="000B37DC"/>
    <w:rsid w:val="000B37ED"/>
    <w:rsid w:val="000B3895"/>
    <w:rsid w:val="000B3A6B"/>
    <w:rsid w:val="000B3C77"/>
    <w:rsid w:val="000B3CED"/>
    <w:rsid w:val="000B3D4D"/>
    <w:rsid w:val="000B3E29"/>
    <w:rsid w:val="000B41FA"/>
    <w:rsid w:val="000B4344"/>
    <w:rsid w:val="000B4394"/>
    <w:rsid w:val="000B43D7"/>
    <w:rsid w:val="000B447E"/>
    <w:rsid w:val="000B452B"/>
    <w:rsid w:val="000B45B7"/>
    <w:rsid w:val="000B480B"/>
    <w:rsid w:val="000B4835"/>
    <w:rsid w:val="000B4AEF"/>
    <w:rsid w:val="000B4AF1"/>
    <w:rsid w:val="000B4B07"/>
    <w:rsid w:val="000B4B81"/>
    <w:rsid w:val="000B4B9D"/>
    <w:rsid w:val="000B4EB8"/>
    <w:rsid w:val="000B5230"/>
    <w:rsid w:val="000B52B7"/>
    <w:rsid w:val="000B52C3"/>
    <w:rsid w:val="000B548A"/>
    <w:rsid w:val="000B5848"/>
    <w:rsid w:val="000B58D6"/>
    <w:rsid w:val="000B59E8"/>
    <w:rsid w:val="000B5B7A"/>
    <w:rsid w:val="000B5EBA"/>
    <w:rsid w:val="000B6064"/>
    <w:rsid w:val="000B60A7"/>
    <w:rsid w:val="000B60D3"/>
    <w:rsid w:val="000B6133"/>
    <w:rsid w:val="000B6136"/>
    <w:rsid w:val="000B6178"/>
    <w:rsid w:val="000B64AF"/>
    <w:rsid w:val="000B665C"/>
    <w:rsid w:val="000B68A2"/>
    <w:rsid w:val="000B69A4"/>
    <w:rsid w:val="000B6CEB"/>
    <w:rsid w:val="000B6CF8"/>
    <w:rsid w:val="000B6D83"/>
    <w:rsid w:val="000B6F2B"/>
    <w:rsid w:val="000B70EF"/>
    <w:rsid w:val="000B7317"/>
    <w:rsid w:val="000B7354"/>
    <w:rsid w:val="000B73CF"/>
    <w:rsid w:val="000B7471"/>
    <w:rsid w:val="000B74C9"/>
    <w:rsid w:val="000B75FB"/>
    <w:rsid w:val="000B7942"/>
    <w:rsid w:val="000B7DA4"/>
    <w:rsid w:val="000B7E43"/>
    <w:rsid w:val="000B7E52"/>
    <w:rsid w:val="000B7E81"/>
    <w:rsid w:val="000C01DA"/>
    <w:rsid w:val="000C044B"/>
    <w:rsid w:val="000C05E0"/>
    <w:rsid w:val="000C07D4"/>
    <w:rsid w:val="000C080B"/>
    <w:rsid w:val="000C0DE9"/>
    <w:rsid w:val="000C0FB0"/>
    <w:rsid w:val="000C1014"/>
    <w:rsid w:val="000C106D"/>
    <w:rsid w:val="000C10AF"/>
    <w:rsid w:val="000C118E"/>
    <w:rsid w:val="000C11C7"/>
    <w:rsid w:val="000C177A"/>
    <w:rsid w:val="000C184E"/>
    <w:rsid w:val="000C1865"/>
    <w:rsid w:val="000C1974"/>
    <w:rsid w:val="000C1B08"/>
    <w:rsid w:val="000C1B6B"/>
    <w:rsid w:val="000C1DCF"/>
    <w:rsid w:val="000C1FDE"/>
    <w:rsid w:val="000C21DA"/>
    <w:rsid w:val="000C2558"/>
    <w:rsid w:val="000C27E5"/>
    <w:rsid w:val="000C282B"/>
    <w:rsid w:val="000C29E5"/>
    <w:rsid w:val="000C2B01"/>
    <w:rsid w:val="000C2B2A"/>
    <w:rsid w:val="000C2C30"/>
    <w:rsid w:val="000C2CED"/>
    <w:rsid w:val="000C304C"/>
    <w:rsid w:val="000C308B"/>
    <w:rsid w:val="000C3210"/>
    <w:rsid w:val="000C32B3"/>
    <w:rsid w:val="000C33F3"/>
    <w:rsid w:val="000C370F"/>
    <w:rsid w:val="000C3744"/>
    <w:rsid w:val="000C37C3"/>
    <w:rsid w:val="000C37E7"/>
    <w:rsid w:val="000C3ACC"/>
    <w:rsid w:val="000C3E63"/>
    <w:rsid w:val="000C3E91"/>
    <w:rsid w:val="000C4293"/>
    <w:rsid w:val="000C42C7"/>
    <w:rsid w:val="000C4449"/>
    <w:rsid w:val="000C462A"/>
    <w:rsid w:val="000C46B2"/>
    <w:rsid w:val="000C49D2"/>
    <w:rsid w:val="000C49D9"/>
    <w:rsid w:val="000C49F3"/>
    <w:rsid w:val="000C4A56"/>
    <w:rsid w:val="000C4CC8"/>
    <w:rsid w:val="000C4DC6"/>
    <w:rsid w:val="000C4DCC"/>
    <w:rsid w:val="000C4EB6"/>
    <w:rsid w:val="000C509B"/>
    <w:rsid w:val="000C5262"/>
    <w:rsid w:val="000C5463"/>
    <w:rsid w:val="000C548A"/>
    <w:rsid w:val="000C55C5"/>
    <w:rsid w:val="000C5720"/>
    <w:rsid w:val="000C5723"/>
    <w:rsid w:val="000C5727"/>
    <w:rsid w:val="000C5784"/>
    <w:rsid w:val="000C5B7E"/>
    <w:rsid w:val="000C5C2D"/>
    <w:rsid w:val="000C5CF6"/>
    <w:rsid w:val="000C5D2D"/>
    <w:rsid w:val="000C5D62"/>
    <w:rsid w:val="000C5F15"/>
    <w:rsid w:val="000C5FD0"/>
    <w:rsid w:val="000C6068"/>
    <w:rsid w:val="000C6071"/>
    <w:rsid w:val="000C6130"/>
    <w:rsid w:val="000C6580"/>
    <w:rsid w:val="000C66CE"/>
    <w:rsid w:val="000C677C"/>
    <w:rsid w:val="000C67B6"/>
    <w:rsid w:val="000C6978"/>
    <w:rsid w:val="000C6A95"/>
    <w:rsid w:val="000C6CD9"/>
    <w:rsid w:val="000C6E2C"/>
    <w:rsid w:val="000C71AB"/>
    <w:rsid w:val="000C76AC"/>
    <w:rsid w:val="000C76BD"/>
    <w:rsid w:val="000C7741"/>
    <w:rsid w:val="000C7895"/>
    <w:rsid w:val="000C79B2"/>
    <w:rsid w:val="000C7B9F"/>
    <w:rsid w:val="000C7D17"/>
    <w:rsid w:val="000D014A"/>
    <w:rsid w:val="000D02AB"/>
    <w:rsid w:val="000D02CC"/>
    <w:rsid w:val="000D0696"/>
    <w:rsid w:val="000D0964"/>
    <w:rsid w:val="000D0999"/>
    <w:rsid w:val="000D0D6B"/>
    <w:rsid w:val="000D0D8F"/>
    <w:rsid w:val="000D0DC9"/>
    <w:rsid w:val="000D0E20"/>
    <w:rsid w:val="000D0FFC"/>
    <w:rsid w:val="000D1045"/>
    <w:rsid w:val="000D1058"/>
    <w:rsid w:val="000D1111"/>
    <w:rsid w:val="000D114A"/>
    <w:rsid w:val="000D13E0"/>
    <w:rsid w:val="000D1721"/>
    <w:rsid w:val="000D1A1A"/>
    <w:rsid w:val="000D1BCB"/>
    <w:rsid w:val="000D1D16"/>
    <w:rsid w:val="000D1D96"/>
    <w:rsid w:val="000D2214"/>
    <w:rsid w:val="000D222F"/>
    <w:rsid w:val="000D231F"/>
    <w:rsid w:val="000D2467"/>
    <w:rsid w:val="000D2551"/>
    <w:rsid w:val="000D2770"/>
    <w:rsid w:val="000D2824"/>
    <w:rsid w:val="000D2C06"/>
    <w:rsid w:val="000D2CB2"/>
    <w:rsid w:val="000D2DB6"/>
    <w:rsid w:val="000D31B6"/>
    <w:rsid w:val="000D34E2"/>
    <w:rsid w:val="000D3577"/>
    <w:rsid w:val="000D3801"/>
    <w:rsid w:val="000D39B6"/>
    <w:rsid w:val="000D3B07"/>
    <w:rsid w:val="000D3BD4"/>
    <w:rsid w:val="000D3DC4"/>
    <w:rsid w:val="000D3E22"/>
    <w:rsid w:val="000D3F46"/>
    <w:rsid w:val="000D3FD0"/>
    <w:rsid w:val="000D4248"/>
    <w:rsid w:val="000D4380"/>
    <w:rsid w:val="000D45E2"/>
    <w:rsid w:val="000D49D9"/>
    <w:rsid w:val="000D4A2A"/>
    <w:rsid w:val="000D4B33"/>
    <w:rsid w:val="000D4C07"/>
    <w:rsid w:val="000D4C9E"/>
    <w:rsid w:val="000D55C1"/>
    <w:rsid w:val="000D56EE"/>
    <w:rsid w:val="000D5AD4"/>
    <w:rsid w:val="000D5C50"/>
    <w:rsid w:val="000D5D01"/>
    <w:rsid w:val="000D5E05"/>
    <w:rsid w:val="000D5FBE"/>
    <w:rsid w:val="000D5FDC"/>
    <w:rsid w:val="000D6014"/>
    <w:rsid w:val="000D6187"/>
    <w:rsid w:val="000D62CF"/>
    <w:rsid w:val="000D639B"/>
    <w:rsid w:val="000D64E5"/>
    <w:rsid w:val="000D6819"/>
    <w:rsid w:val="000D6B03"/>
    <w:rsid w:val="000D6B19"/>
    <w:rsid w:val="000D6C1A"/>
    <w:rsid w:val="000D6C42"/>
    <w:rsid w:val="000D6D4E"/>
    <w:rsid w:val="000D6F57"/>
    <w:rsid w:val="000D6F8A"/>
    <w:rsid w:val="000D6F9B"/>
    <w:rsid w:val="000D70C1"/>
    <w:rsid w:val="000D715F"/>
    <w:rsid w:val="000D7182"/>
    <w:rsid w:val="000D718D"/>
    <w:rsid w:val="000D751E"/>
    <w:rsid w:val="000D775F"/>
    <w:rsid w:val="000D7B33"/>
    <w:rsid w:val="000D7B98"/>
    <w:rsid w:val="000D7D50"/>
    <w:rsid w:val="000D7D55"/>
    <w:rsid w:val="000D7D81"/>
    <w:rsid w:val="000D7D94"/>
    <w:rsid w:val="000D7F59"/>
    <w:rsid w:val="000D7F68"/>
    <w:rsid w:val="000E0015"/>
    <w:rsid w:val="000E0024"/>
    <w:rsid w:val="000E014E"/>
    <w:rsid w:val="000E0385"/>
    <w:rsid w:val="000E076A"/>
    <w:rsid w:val="000E07A5"/>
    <w:rsid w:val="000E084F"/>
    <w:rsid w:val="000E089E"/>
    <w:rsid w:val="000E097E"/>
    <w:rsid w:val="000E1055"/>
    <w:rsid w:val="000E1283"/>
    <w:rsid w:val="000E1378"/>
    <w:rsid w:val="000E1543"/>
    <w:rsid w:val="000E1559"/>
    <w:rsid w:val="000E1A8A"/>
    <w:rsid w:val="000E1C31"/>
    <w:rsid w:val="000E1CB8"/>
    <w:rsid w:val="000E1D5B"/>
    <w:rsid w:val="000E1F25"/>
    <w:rsid w:val="000E1FBE"/>
    <w:rsid w:val="000E225E"/>
    <w:rsid w:val="000E227C"/>
    <w:rsid w:val="000E22E4"/>
    <w:rsid w:val="000E236E"/>
    <w:rsid w:val="000E24F4"/>
    <w:rsid w:val="000E2777"/>
    <w:rsid w:val="000E2939"/>
    <w:rsid w:val="000E2BCE"/>
    <w:rsid w:val="000E2C77"/>
    <w:rsid w:val="000E3161"/>
    <w:rsid w:val="000E32CF"/>
    <w:rsid w:val="000E333C"/>
    <w:rsid w:val="000E3475"/>
    <w:rsid w:val="000E34B9"/>
    <w:rsid w:val="000E34D8"/>
    <w:rsid w:val="000E356F"/>
    <w:rsid w:val="000E35A4"/>
    <w:rsid w:val="000E35F0"/>
    <w:rsid w:val="000E363A"/>
    <w:rsid w:val="000E373E"/>
    <w:rsid w:val="000E3935"/>
    <w:rsid w:val="000E3954"/>
    <w:rsid w:val="000E3A0C"/>
    <w:rsid w:val="000E3B34"/>
    <w:rsid w:val="000E3E3C"/>
    <w:rsid w:val="000E41D5"/>
    <w:rsid w:val="000E4261"/>
    <w:rsid w:val="000E43D7"/>
    <w:rsid w:val="000E4491"/>
    <w:rsid w:val="000E450E"/>
    <w:rsid w:val="000E47CF"/>
    <w:rsid w:val="000E493C"/>
    <w:rsid w:val="000E4AA9"/>
    <w:rsid w:val="000E4B7E"/>
    <w:rsid w:val="000E4D96"/>
    <w:rsid w:val="000E4F9C"/>
    <w:rsid w:val="000E50FF"/>
    <w:rsid w:val="000E5197"/>
    <w:rsid w:val="000E5361"/>
    <w:rsid w:val="000E550D"/>
    <w:rsid w:val="000E56BB"/>
    <w:rsid w:val="000E56CF"/>
    <w:rsid w:val="000E5835"/>
    <w:rsid w:val="000E5A7D"/>
    <w:rsid w:val="000E5B38"/>
    <w:rsid w:val="000E5C1C"/>
    <w:rsid w:val="000E5CB6"/>
    <w:rsid w:val="000E5D02"/>
    <w:rsid w:val="000E5D6A"/>
    <w:rsid w:val="000E5DFE"/>
    <w:rsid w:val="000E614A"/>
    <w:rsid w:val="000E61D0"/>
    <w:rsid w:val="000E62AF"/>
    <w:rsid w:val="000E6364"/>
    <w:rsid w:val="000E6B9F"/>
    <w:rsid w:val="000E6BA1"/>
    <w:rsid w:val="000E6C56"/>
    <w:rsid w:val="000E6F35"/>
    <w:rsid w:val="000E7032"/>
    <w:rsid w:val="000E7096"/>
    <w:rsid w:val="000E71C5"/>
    <w:rsid w:val="000E71D4"/>
    <w:rsid w:val="000E7396"/>
    <w:rsid w:val="000E7430"/>
    <w:rsid w:val="000E7544"/>
    <w:rsid w:val="000E7972"/>
    <w:rsid w:val="000E7A13"/>
    <w:rsid w:val="000E7A32"/>
    <w:rsid w:val="000E7AB9"/>
    <w:rsid w:val="000E7AD8"/>
    <w:rsid w:val="000E7D2A"/>
    <w:rsid w:val="000F04D6"/>
    <w:rsid w:val="000F04EF"/>
    <w:rsid w:val="000F057A"/>
    <w:rsid w:val="000F0769"/>
    <w:rsid w:val="000F08A2"/>
    <w:rsid w:val="000F0C76"/>
    <w:rsid w:val="000F0CAA"/>
    <w:rsid w:val="000F0CB7"/>
    <w:rsid w:val="000F0CC7"/>
    <w:rsid w:val="000F1064"/>
    <w:rsid w:val="000F1165"/>
    <w:rsid w:val="000F16F1"/>
    <w:rsid w:val="000F1824"/>
    <w:rsid w:val="000F198B"/>
    <w:rsid w:val="000F1C30"/>
    <w:rsid w:val="000F1CFD"/>
    <w:rsid w:val="000F1D38"/>
    <w:rsid w:val="000F1D98"/>
    <w:rsid w:val="000F1E00"/>
    <w:rsid w:val="000F1E87"/>
    <w:rsid w:val="000F1FDC"/>
    <w:rsid w:val="000F2395"/>
    <w:rsid w:val="000F251D"/>
    <w:rsid w:val="000F254C"/>
    <w:rsid w:val="000F25CE"/>
    <w:rsid w:val="000F26EE"/>
    <w:rsid w:val="000F2735"/>
    <w:rsid w:val="000F2737"/>
    <w:rsid w:val="000F2E63"/>
    <w:rsid w:val="000F2F0E"/>
    <w:rsid w:val="000F32E1"/>
    <w:rsid w:val="000F3448"/>
    <w:rsid w:val="000F369E"/>
    <w:rsid w:val="000F3766"/>
    <w:rsid w:val="000F394F"/>
    <w:rsid w:val="000F3BC5"/>
    <w:rsid w:val="000F3C44"/>
    <w:rsid w:val="000F3C69"/>
    <w:rsid w:val="000F3D40"/>
    <w:rsid w:val="000F3D6C"/>
    <w:rsid w:val="000F3E70"/>
    <w:rsid w:val="000F407D"/>
    <w:rsid w:val="000F4513"/>
    <w:rsid w:val="000F4532"/>
    <w:rsid w:val="000F479E"/>
    <w:rsid w:val="000F47BC"/>
    <w:rsid w:val="000F48A3"/>
    <w:rsid w:val="000F4992"/>
    <w:rsid w:val="000F4997"/>
    <w:rsid w:val="000F4A9B"/>
    <w:rsid w:val="000F4AD0"/>
    <w:rsid w:val="000F4C69"/>
    <w:rsid w:val="000F4D37"/>
    <w:rsid w:val="000F4F78"/>
    <w:rsid w:val="000F54A9"/>
    <w:rsid w:val="000F5562"/>
    <w:rsid w:val="000F576D"/>
    <w:rsid w:val="000F5792"/>
    <w:rsid w:val="000F594A"/>
    <w:rsid w:val="000F5A50"/>
    <w:rsid w:val="000F5B57"/>
    <w:rsid w:val="000F5BD7"/>
    <w:rsid w:val="000F5C2A"/>
    <w:rsid w:val="000F5D04"/>
    <w:rsid w:val="000F5D7E"/>
    <w:rsid w:val="000F5D95"/>
    <w:rsid w:val="000F5DFF"/>
    <w:rsid w:val="000F5EBD"/>
    <w:rsid w:val="000F5F8F"/>
    <w:rsid w:val="000F5FD3"/>
    <w:rsid w:val="000F6077"/>
    <w:rsid w:val="000F60EC"/>
    <w:rsid w:val="000F6122"/>
    <w:rsid w:val="000F61F1"/>
    <w:rsid w:val="000F620E"/>
    <w:rsid w:val="000F63EC"/>
    <w:rsid w:val="000F64BA"/>
    <w:rsid w:val="000F6742"/>
    <w:rsid w:val="000F6823"/>
    <w:rsid w:val="000F6876"/>
    <w:rsid w:val="000F6979"/>
    <w:rsid w:val="000F6AF5"/>
    <w:rsid w:val="000F6B6D"/>
    <w:rsid w:val="000F6CF3"/>
    <w:rsid w:val="000F6F58"/>
    <w:rsid w:val="000F6FB0"/>
    <w:rsid w:val="000F7183"/>
    <w:rsid w:val="000F7381"/>
    <w:rsid w:val="000F75A5"/>
    <w:rsid w:val="000F790C"/>
    <w:rsid w:val="000F79DD"/>
    <w:rsid w:val="000F7C91"/>
    <w:rsid w:val="000F7D39"/>
    <w:rsid w:val="000F7D9C"/>
    <w:rsid w:val="000F7E23"/>
    <w:rsid w:val="000F7F29"/>
    <w:rsid w:val="000F7FC0"/>
    <w:rsid w:val="000F7FFD"/>
    <w:rsid w:val="000FC427"/>
    <w:rsid w:val="0010019A"/>
    <w:rsid w:val="001001C3"/>
    <w:rsid w:val="00100398"/>
    <w:rsid w:val="00100497"/>
    <w:rsid w:val="00100641"/>
    <w:rsid w:val="00100685"/>
    <w:rsid w:val="001006BC"/>
    <w:rsid w:val="001007E4"/>
    <w:rsid w:val="001009D8"/>
    <w:rsid w:val="00100BA5"/>
    <w:rsid w:val="00100C29"/>
    <w:rsid w:val="00100E85"/>
    <w:rsid w:val="00101128"/>
    <w:rsid w:val="001013CD"/>
    <w:rsid w:val="00101413"/>
    <w:rsid w:val="001015C7"/>
    <w:rsid w:val="001016F4"/>
    <w:rsid w:val="0010175F"/>
    <w:rsid w:val="00101807"/>
    <w:rsid w:val="00101815"/>
    <w:rsid w:val="00101922"/>
    <w:rsid w:val="00101AC5"/>
    <w:rsid w:val="00101B55"/>
    <w:rsid w:val="001020B7"/>
    <w:rsid w:val="0010212F"/>
    <w:rsid w:val="0010218B"/>
    <w:rsid w:val="00102312"/>
    <w:rsid w:val="00102785"/>
    <w:rsid w:val="00102BFE"/>
    <w:rsid w:val="00102EE1"/>
    <w:rsid w:val="00102FC6"/>
    <w:rsid w:val="0010352D"/>
    <w:rsid w:val="00103668"/>
    <w:rsid w:val="00103A30"/>
    <w:rsid w:val="00103A34"/>
    <w:rsid w:val="00103A9E"/>
    <w:rsid w:val="00103C15"/>
    <w:rsid w:val="00103C22"/>
    <w:rsid w:val="00103CD0"/>
    <w:rsid w:val="00103EC2"/>
    <w:rsid w:val="00103F7B"/>
    <w:rsid w:val="00104001"/>
    <w:rsid w:val="0010415A"/>
    <w:rsid w:val="0010424F"/>
    <w:rsid w:val="0010427D"/>
    <w:rsid w:val="00104322"/>
    <w:rsid w:val="0010460D"/>
    <w:rsid w:val="00104613"/>
    <w:rsid w:val="00104635"/>
    <w:rsid w:val="00104826"/>
    <w:rsid w:val="0010485D"/>
    <w:rsid w:val="00104AA1"/>
    <w:rsid w:val="00104F20"/>
    <w:rsid w:val="001050D9"/>
    <w:rsid w:val="00105342"/>
    <w:rsid w:val="001053BD"/>
    <w:rsid w:val="001055F3"/>
    <w:rsid w:val="001057AE"/>
    <w:rsid w:val="00105BB3"/>
    <w:rsid w:val="00105BBA"/>
    <w:rsid w:val="00105C7A"/>
    <w:rsid w:val="00105CE4"/>
    <w:rsid w:val="00106184"/>
    <w:rsid w:val="00106210"/>
    <w:rsid w:val="001062E2"/>
    <w:rsid w:val="001063A2"/>
    <w:rsid w:val="001063BE"/>
    <w:rsid w:val="001064AD"/>
    <w:rsid w:val="0010664A"/>
    <w:rsid w:val="001066D9"/>
    <w:rsid w:val="001067F4"/>
    <w:rsid w:val="001068F5"/>
    <w:rsid w:val="00106929"/>
    <w:rsid w:val="0010697D"/>
    <w:rsid w:val="0010698D"/>
    <w:rsid w:val="00106C0C"/>
    <w:rsid w:val="00106DA7"/>
    <w:rsid w:val="00106DCD"/>
    <w:rsid w:val="00106E5B"/>
    <w:rsid w:val="00106E72"/>
    <w:rsid w:val="0010704B"/>
    <w:rsid w:val="00107313"/>
    <w:rsid w:val="00107596"/>
    <w:rsid w:val="001076C8"/>
    <w:rsid w:val="00107705"/>
    <w:rsid w:val="00107B5C"/>
    <w:rsid w:val="00107B5F"/>
    <w:rsid w:val="00107BD6"/>
    <w:rsid w:val="00107CB2"/>
    <w:rsid w:val="00107E0C"/>
    <w:rsid w:val="00107FE6"/>
    <w:rsid w:val="001100FA"/>
    <w:rsid w:val="00110147"/>
    <w:rsid w:val="001101B1"/>
    <w:rsid w:val="0011021A"/>
    <w:rsid w:val="00110384"/>
    <w:rsid w:val="00110385"/>
    <w:rsid w:val="00110386"/>
    <w:rsid w:val="001106A4"/>
    <w:rsid w:val="00110801"/>
    <w:rsid w:val="00110A8E"/>
    <w:rsid w:val="00110A92"/>
    <w:rsid w:val="00110B07"/>
    <w:rsid w:val="00110B63"/>
    <w:rsid w:val="00110B8C"/>
    <w:rsid w:val="00110BC0"/>
    <w:rsid w:val="00110C79"/>
    <w:rsid w:val="00110C86"/>
    <w:rsid w:val="00110CD5"/>
    <w:rsid w:val="00110F06"/>
    <w:rsid w:val="00111004"/>
    <w:rsid w:val="00111078"/>
    <w:rsid w:val="001111D1"/>
    <w:rsid w:val="0011196A"/>
    <w:rsid w:val="001119C1"/>
    <w:rsid w:val="00111B78"/>
    <w:rsid w:val="00112010"/>
    <w:rsid w:val="00112227"/>
    <w:rsid w:val="001122A9"/>
    <w:rsid w:val="00112322"/>
    <w:rsid w:val="001124E2"/>
    <w:rsid w:val="00112664"/>
    <w:rsid w:val="0011268F"/>
    <w:rsid w:val="0011288C"/>
    <w:rsid w:val="001128E7"/>
    <w:rsid w:val="00112933"/>
    <w:rsid w:val="00112CA2"/>
    <w:rsid w:val="00112D7A"/>
    <w:rsid w:val="00112D9C"/>
    <w:rsid w:val="00112E59"/>
    <w:rsid w:val="00112E61"/>
    <w:rsid w:val="00112EAD"/>
    <w:rsid w:val="00112FD8"/>
    <w:rsid w:val="00112FE6"/>
    <w:rsid w:val="00113037"/>
    <w:rsid w:val="001132B5"/>
    <w:rsid w:val="0011385E"/>
    <w:rsid w:val="00113A52"/>
    <w:rsid w:val="00113E7D"/>
    <w:rsid w:val="001140E7"/>
    <w:rsid w:val="00114129"/>
    <w:rsid w:val="00114138"/>
    <w:rsid w:val="00114536"/>
    <w:rsid w:val="0011453B"/>
    <w:rsid w:val="00114549"/>
    <w:rsid w:val="0011463B"/>
    <w:rsid w:val="001146CA"/>
    <w:rsid w:val="001146F7"/>
    <w:rsid w:val="00114B62"/>
    <w:rsid w:val="00114BA0"/>
    <w:rsid w:val="00114EDD"/>
    <w:rsid w:val="001151C0"/>
    <w:rsid w:val="0011520E"/>
    <w:rsid w:val="00115267"/>
    <w:rsid w:val="00115272"/>
    <w:rsid w:val="00115446"/>
    <w:rsid w:val="00115494"/>
    <w:rsid w:val="001156F8"/>
    <w:rsid w:val="001157A4"/>
    <w:rsid w:val="00115964"/>
    <w:rsid w:val="00115AF5"/>
    <w:rsid w:val="00115B0E"/>
    <w:rsid w:val="00115BA6"/>
    <w:rsid w:val="00115C5A"/>
    <w:rsid w:val="00115C92"/>
    <w:rsid w:val="00115CC4"/>
    <w:rsid w:val="00115FB0"/>
    <w:rsid w:val="0011619D"/>
    <w:rsid w:val="001162CD"/>
    <w:rsid w:val="0011642C"/>
    <w:rsid w:val="00116637"/>
    <w:rsid w:val="001166C1"/>
    <w:rsid w:val="00116748"/>
    <w:rsid w:val="00116834"/>
    <w:rsid w:val="00116EA2"/>
    <w:rsid w:val="00116F55"/>
    <w:rsid w:val="00116FC2"/>
    <w:rsid w:val="00117161"/>
    <w:rsid w:val="0011735A"/>
    <w:rsid w:val="0011735E"/>
    <w:rsid w:val="001173BC"/>
    <w:rsid w:val="001174CC"/>
    <w:rsid w:val="00117B59"/>
    <w:rsid w:val="00117C21"/>
    <w:rsid w:val="00117DF4"/>
    <w:rsid w:val="00120367"/>
    <w:rsid w:val="00120525"/>
    <w:rsid w:val="00120721"/>
    <w:rsid w:val="0012081F"/>
    <w:rsid w:val="00120914"/>
    <w:rsid w:val="00120C24"/>
    <w:rsid w:val="00120DFB"/>
    <w:rsid w:val="00120F19"/>
    <w:rsid w:val="001210A9"/>
    <w:rsid w:val="001210D3"/>
    <w:rsid w:val="001211B6"/>
    <w:rsid w:val="001212E3"/>
    <w:rsid w:val="001213F5"/>
    <w:rsid w:val="00121424"/>
    <w:rsid w:val="0012156D"/>
    <w:rsid w:val="001215C5"/>
    <w:rsid w:val="0012180A"/>
    <w:rsid w:val="001218F7"/>
    <w:rsid w:val="00121991"/>
    <w:rsid w:val="001219C1"/>
    <w:rsid w:val="00121C3C"/>
    <w:rsid w:val="00121C44"/>
    <w:rsid w:val="00121D8D"/>
    <w:rsid w:val="00121DAD"/>
    <w:rsid w:val="00121E69"/>
    <w:rsid w:val="00121EEE"/>
    <w:rsid w:val="00122171"/>
    <w:rsid w:val="00122300"/>
    <w:rsid w:val="0012249B"/>
    <w:rsid w:val="0012268D"/>
    <w:rsid w:val="001228F3"/>
    <w:rsid w:val="00122916"/>
    <w:rsid w:val="00122A59"/>
    <w:rsid w:val="00122B28"/>
    <w:rsid w:val="00122DC3"/>
    <w:rsid w:val="00122E18"/>
    <w:rsid w:val="00123273"/>
    <w:rsid w:val="0012328C"/>
    <w:rsid w:val="0012337E"/>
    <w:rsid w:val="001239D0"/>
    <w:rsid w:val="00123A8E"/>
    <w:rsid w:val="00123B03"/>
    <w:rsid w:val="00123C7B"/>
    <w:rsid w:val="00123CD7"/>
    <w:rsid w:val="00123FB1"/>
    <w:rsid w:val="00124005"/>
    <w:rsid w:val="00124057"/>
    <w:rsid w:val="001240DF"/>
    <w:rsid w:val="0012410A"/>
    <w:rsid w:val="00124185"/>
    <w:rsid w:val="0012446B"/>
    <w:rsid w:val="0012451E"/>
    <w:rsid w:val="00124570"/>
    <w:rsid w:val="001248DC"/>
    <w:rsid w:val="00124D2B"/>
    <w:rsid w:val="00125003"/>
    <w:rsid w:val="00125029"/>
    <w:rsid w:val="0012508F"/>
    <w:rsid w:val="0012515C"/>
    <w:rsid w:val="001251B1"/>
    <w:rsid w:val="001251FB"/>
    <w:rsid w:val="00125294"/>
    <w:rsid w:val="001256D4"/>
    <w:rsid w:val="00125979"/>
    <w:rsid w:val="0012597B"/>
    <w:rsid w:val="0012599F"/>
    <w:rsid w:val="00125AA6"/>
    <w:rsid w:val="00125D0E"/>
    <w:rsid w:val="00125D7D"/>
    <w:rsid w:val="00125DF2"/>
    <w:rsid w:val="00125E69"/>
    <w:rsid w:val="00125EF1"/>
    <w:rsid w:val="001261C0"/>
    <w:rsid w:val="0012673A"/>
    <w:rsid w:val="001268D2"/>
    <w:rsid w:val="001269CD"/>
    <w:rsid w:val="00126AED"/>
    <w:rsid w:val="00126CFE"/>
    <w:rsid w:val="00126D4C"/>
    <w:rsid w:val="00126D52"/>
    <w:rsid w:val="00126E10"/>
    <w:rsid w:val="00126E12"/>
    <w:rsid w:val="00127077"/>
    <w:rsid w:val="001270EE"/>
    <w:rsid w:val="0012710E"/>
    <w:rsid w:val="00127233"/>
    <w:rsid w:val="001272B6"/>
    <w:rsid w:val="0012738E"/>
    <w:rsid w:val="001274CA"/>
    <w:rsid w:val="001274DC"/>
    <w:rsid w:val="001277DC"/>
    <w:rsid w:val="001277E8"/>
    <w:rsid w:val="001277FB"/>
    <w:rsid w:val="00127879"/>
    <w:rsid w:val="00127984"/>
    <w:rsid w:val="001279A3"/>
    <w:rsid w:val="001279F0"/>
    <w:rsid w:val="00127C1D"/>
    <w:rsid w:val="00127C4A"/>
    <w:rsid w:val="00127EA7"/>
    <w:rsid w:val="00130052"/>
    <w:rsid w:val="00130069"/>
    <w:rsid w:val="00130310"/>
    <w:rsid w:val="00130334"/>
    <w:rsid w:val="001303DA"/>
    <w:rsid w:val="001306FF"/>
    <w:rsid w:val="0013089D"/>
    <w:rsid w:val="00130E91"/>
    <w:rsid w:val="00131049"/>
    <w:rsid w:val="00131083"/>
    <w:rsid w:val="001312AB"/>
    <w:rsid w:val="001314F0"/>
    <w:rsid w:val="00131528"/>
    <w:rsid w:val="00131579"/>
    <w:rsid w:val="001317CA"/>
    <w:rsid w:val="001318CB"/>
    <w:rsid w:val="00131A53"/>
    <w:rsid w:val="00131A6A"/>
    <w:rsid w:val="00131D9A"/>
    <w:rsid w:val="00131E71"/>
    <w:rsid w:val="001322EE"/>
    <w:rsid w:val="00132634"/>
    <w:rsid w:val="001327D2"/>
    <w:rsid w:val="001329F4"/>
    <w:rsid w:val="00132BC2"/>
    <w:rsid w:val="00132C0A"/>
    <w:rsid w:val="00132E3F"/>
    <w:rsid w:val="00132F37"/>
    <w:rsid w:val="00133160"/>
    <w:rsid w:val="00133448"/>
    <w:rsid w:val="00133533"/>
    <w:rsid w:val="001335A2"/>
    <w:rsid w:val="001335ED"/>
    <w:rsid w:val="00133604"/>
    <w:rsid w:val="00133709"/>
    <w:rsid w:val="00133927"/>
    <w:rsid w:val="0013397A"/>
    <w:rsid w:val="00133A01"/>
    <w:rsid w:val="00133C6F"/>
    <w:rsid w:val="00133DF0"/>
    <w:rsid w:val="00134272"/>
    <w:rsid w:val="0013449A"/>
    <w:rsid w:val="00134573"/>
    <w:rsid w:val="001345B3"/>
    <w:rsid w:val="001345ED"/>
    <w:rsid w:val="00134637"/>
    <w:rsid w:val="0013473C"/>
    <w:rsid w:val="00134783"/>
    <w:rsid w:val="0013479D"/>
    <w:rsid w:val="00134894"/>
    <w:rsid w:val="0013493F"/>
    <w:rsid w:val="001349FD"/>
    <w:rsid w:val="00134CB1"/>
    <w:rsid w:val="00134D00"/>
    <w:rsid w:val="00134D50"/>
    <w:rsid w:val="00134F30"/>
    <w:rsid w:val="00135090"/>
    <w:rsid w:val="0013526B"/>
    <w:rsid w:val="0013546F"/>
    <w:rsid w:val="001355CB"/>
    <w:rsid w:val="00135698"/>
    <w:rsid w:val="00135BDF"/>
    <w:rsid w:val="00135E98"/>
    <w:rsid w:val="00135EB1"/>
    <w:rsid w:val="00136007"/>
    <w:rsid w:val="00136123"/>
    <w:rsid w:val="001361F7"/>
    <w:rsid w:val="001361FE"/>
    <w:rsid w:val="00136373"/>
    <w:rsid w:val="001364AF"/>
    <w:rsid w:val="001366A1"/>
    <w:rsid w:val="00136715"/>
    <w:rsid w:val="00136769"/>
    <w:rsid w:val="001369C9"/>
    <w:rsid w:val="00136C75"/>
    <w:rsid w:val="00136C9D"/>
    <w:rsid w:val="00136DC8"/>
    <w:rsid w:val="00136E23"/>
    <w:rsid w:val="00136FFD"/>
    <w:rsid w:val="0013714A"/>
    <w:rsid w:val="001371C1"/>
    <w:rsid w:val="001372C7"/>
    <w:rsid w:val="001374A3"/>
    <w:rsid w:val="0013762C"/>
    <w:rsid w:val="00137664"/>
    <w:rsid w:val="001376E6"/>
    <w:rsid w:val="00137762"/>
    <w:rsid w:val="001378F9"/>
    <w:rsid w:val="00137A29"/>
    <w:rsid w:val="00137A6A"/>
    <w:rsid w:val="001400E0"/>
    <w:rsid w:val="00140178"/>
    <w:rsid w:val="0014021C"/>
    <w:rsid w:val="001402C7"/>
    <w:rsid w:val="001403C1"/>
    <w:rsid w:val="001405DD"/>
    <w:rsid w:val="00140669"/>
    <w:rsid w:val="001406BC"/>
    <w:rsid w:val="001407D6"/>
    <w:rsid w:val="0014082E"/>
    <w:rsid w:val="00140846"/>
    <w:rsid w:val="00140A84"/>
    <w:rsid w:val="00140C68"/>
    <w:rsid w:val="00140C96"/>
    <w:rsid w:val="00140E9C"/>
    <w:rsid w:val="00140F99"/>
    <w:rsid w:val="00140FBE"/>
    <w:rsid w:val="001410BC"/>
    <w:rsid w:val="001411CD"/>
    <w:rsid w:val="0014137D"/>
    <w:rsid w:val="0014145E"/>
    <w:rsid w:val="00141567"/>
    <w:rsid w:val="00141A0F"/>
    <w:rsid w:val="00141FAF"/>
    <w:rsid w:val="0014244E"/>
    <w:rsid w:val="0014249E"/>
    <w:rsid w:val="00142860"/>
    <w:rsid w:val="001429BC"/>
    <w:rsid w:val="001429BD"/>
    <w:rsid w:val="00142B37"/>
    <w:rsid w:val="00142B4B"/>
    <w:rsid w:val="00142C72"/>
    <w:rsid w:val="00142DEB"/>
    <w:rsid w:val="00142DFA"/>
    <w:rsid w:val="00142F59"/>
    <w:rsid w:val="00142F96"/>
    <w:rsid w:val="0014308E"/>
    <w:rsid w:val="0014320E"/>
    <w:rsid w:val="0014327C"/>
    <w:rsid w:val="001432FA"/>
    <w:rsid w:val="00143377"/>
    <w:rsid w:val="00143548"/>
    <w:rsid w:val="00143729"/>
    <w:rsid w:val="001438A6"/>
    <w:rsid w:val="00143CAA"/>
    <w:rsid w:val="00143DF6"/>
    <w:rsid w:val="00143EE9"/>
    <w:rsid w:val="00144046"/>
    <w:rsid w:val="001449D9"/>
    <w:rsid w:val="00144A51"/>
    <w:rsid w:val="00144AAD"/>
    <w:rsid w:val="00144AC6"/>
    <w:rsid w:val="00144C58"/>
    <w:rsid w:val="00144D19"/>
    <w:rsid w:val="00144D22"/>
    <w:rsid w:val="00144DD5"/>
    <w:rsid w:val="00144DF3"/>
    <w:rsid w:val="00144EC7"/>
    <w:rsid w:val="00144EDE"/>
    <w:rsid w:val="00144F63"/>
    <w:rsid w:val="00145113"/>
    <w:rsid w:val="0014514A"/>
    <w:rsid w:val="0014529B"/>
    <w:rsid w:val="00145414"/>
    <w:rsid w:val="00145510"/>
    <w:rsid w:val="0014557C"/>
    <w:rsid w:val="0014574C"/>
    <w:rsid w:val="00145992"/>
    <w:rsid w:val="00145A0B"/>
    <w:rsid w:val="00145C0E"/>
    <w:rsid w:val="0014647F"/>
    <w:rsid w:val="00146485"/>
    <w:rsid w:val="00146605"/>
    <w:rsid w:val="0014670F"/>
    <w:rsid w:val="00146761"/>
    <w:rsid w:val="0014687C"/>
    <w:rsid w:val="00146A4E"/>
    <w:rsid w:val="00146B7C"/>
    <w:rsid w:val="00146B93"/>
    <w:rsid w:val="00146BE6"/>
    <w:rsid w:val="00146C55"/>
    <w:rsid w:val="00147167"/>
    <w:rsid w:val="00147549"/>
    <w:rsid w:val="0014759C"/>
    <w:rsid w:val="001475C4"/>
    <w:rsid w:val="00147991"/>
    <w:rsid w:val="00147AFD"/>
    <w:rsid w:val="00147C24"/>
    <w:rsid w:val="00147CC2"/>
    <w:rsid w:val="00147F87"/>
    <w:rsid w:val="0015023E"/>
    <w:rsid w:val="0015040C"/>
    <w:rsid w:val="0015071F"/>
    <w:rsid w:val="0015079A"/>
    <w:rsid w:val="0015087D"/>
    <w:rsid w:val="001509FC"/>
    <w:rsid w:val="00150D54"/>
    <w:rsid w:val="00150D82"/>
    <w:rsid w:val="00150DB6"/>
    <w:rsid w:val="00150E5C"/>
    <w:rsid w:val="00151201"/>
    <w:rsid w:val="0015129C"/>
    <w:rsid w:val="001512A6"/>
    <w:rsid w:val="00151490"/>
    <w:rsid w:val="0015153E"/>
    <w:rsid w:val="001515EE"/>
    <w:rsid w:val="0015169F"/>
    <w:rsid w:val="001516DB"/>
    <w:rsid w:val="00151865"/>
    <w:rsid w:val="001518CE"/>
    <w:rsid w:val="00151A5A"/>
    <w:rsid w:val="00151C69"/>
    <w:rsid w:val="00151CB9"/>
    <w:rsid w:val="001520C2"/>
    <w:rsid w:val="0015214C"/>
    <w:rsid w:val="00152152"/>
    <w:rsid w:val="00152176"/>
    <w:rsid w:val="001521FD"/>
    <w:rsid w:val="001525C7"/>
    <w:rsid w:val="0015276C"/>
    <w:rsid w:val="0015280E"/>
    <w:rsid w:val="00152851"/>
    <w:rsid w:val="00152892"/>
    <w:rsid w:val="001529EE"/>
    <w:rsid w:val="00152A76"/>
    <w:rsid w:val="00152AC3"/>
    <w:rsid w:val="00152E2E"/>
    <w:rsid w:val="00152FCB"/>
    <w:rsid w:val="00152FEE"/>
    <w:rsid w:val="001530EF"/>
    <w:rsid w:val="00153211"/>
    <w:rsid w:val="001536D4"/>
    <w:rsid w:val="001538FF"/>
    <w:rsid w:val="00153A27"/>
    <w:rsid w:val="00153AF3"/>
    <w:rsid w:val="00153B91"/>
    <w:rsid w:val="00153BFE"/>
    <w:rsid w:val="00153DAD"/>
    <w:rsid w:val="00153E1A"/>
    <w:rsid w:val="00153E79"/>
    <w:rsid w:val="00153EB5"/>
    <w:rsid w:val="00153EDC"/>
    <w:rsid w:val="00153F8A"/>
    <w:rsid w:val="0015406D"/>
    <w:rsid w:val="0015418E"/>
    <w:rsid w:val="00154294"/>
    <w:rsid w:val="00154386"/>
    <w:rsid w:val="00154A96"/>
    <w:rsid w:val="00154ABF"/>
    <w:rsid w:val="00154AF7"/>
    <w:rsid w:val="00154AFA"/>
    <w:rsid w:val="00154BA1"/>
    <w:rsid w:val="00154CA1"/>
    <w:rsid w:val="0015500F"/>
    <w:rsid w:val="0015506F"/>
    <w:rsid w:val="00155206"/>
    <w:rsid w:val="00155258"/>
    <w:rsid w:val="00155307"/>
    <w:rsid w:val="001556D4"/>
    <w:rsid w:val="00155800"/>
    <w:rsid w:val="0015594C"/>
    <w:rsid w:val="00155A10"/>
    <w:rsid w:val="00155AA3"/>
    <w:rsid w:val="00155B3E"/>
    <w:rsid w:val="00155C09"/>
    <w:rsid w:val="00155D7A"/>
    <w:rsid w:val="00155FA5"/>
    <w:rsid w:val="001561D8"/>
    <w:rsid w:val="00156304"/>
    <w:rsid w:val="00156439"/>
    <w:rsid w:val="001564D3"/>
    <w:rsid w:val="00156592"/>
    <w:rsid w:val="0015660A"/>
    <w:rsid w:val="00156846"/>
    <w:rsid w:val="0015689E"/>
    <w:rsid w:val="00156B45"/>
    <w:rsid w:val="00156B5A"/>
    <w:rsid w:val="00156F05"/>
    <w:rsid w:val="00156F16"/>
    <w:rsid w:val="00156F1B"/>
    <w:rsid w:val="00156F4D"/>
    <w:rsid w:val="0015726A"/>
    <w:rsid w:val="001572BC"/>
    <w:rsid w:val="00157522"/>
    <w:rsid w:val="00157781"/>
    <w:rsid w:val="001577F2"/>
    <w:rsid w:val="00157808"/>
    <w:rsid w:val="00157861"/>
    <w:rsid w:val="00157887"/>
    <w:rsid w:val="0015799F"/>
    <w:rsid w:val="00157A85"/>
    <w:rsid w:val="00157ACC"/>
    <w:rsid w:val="00157ADF"/>
    <w:rsid w:val="00157B1E"/>
    <w:rsid w:val="00157C89"/>
    <w:rsid w:val="00157EAC"/>
    <w:rsid w:val="0016036A"/>
    <w:rsid w:val="00160403"/>
    <w:rsid w:val="001604F8"/>
    <w:rsid w:val="0016051F"/>
    <w:rsid w:val="00160A1E"/>
    <w:rsid w:val="00160A47"/>
    <w:rsid w:val="00160BA1"/>
    <w:rsid w:val="00160CEF"/>
    <w:rsid w:val="00160D64"/>
    <w:rsid w:val="00160E6F"/>
    <w:rsid w:val="0016102F"/>
    <w:rsid w:val="001612EA"/>
    <w:rsid w:val="00161362"/>
    <w:rsid w:val="00161411"/>
    <w:rsid w:val="001615AB"/>
    <w:rsid w:val="00161689"/>
    <w:rsid w:val="00161753"/>
    <w:rsid w:val="001617C3"/>
    <w:rsid w:val="001617C7"/>
    <w:rsid w:val="0016190D"/>
    <w:rsid w:val="00161C43"/>
    <w:rsid w:val="00161C69"/>
    <w:rsid w:val="00161C82"/>
    <w:rsid w:val="00161CDE"/>
    <w:rsid w:val="00161DB8"/>
    <w:rsid w:val="0016219D"/>
    <w:rsid w:val="00162353"/>
    <w:rsid w:val="00162438"/>
    <w:rsid w:val="0016258B"/>
    <w:rsid w:val="00162707"/>
    <w:rsid w:val="0016272D"/>
    <w:rsid w:val="0016278F"/>
    <w:rsid w:val="00162A55"/>
    <w:rsid w:val="00162DE5"/>
    <w:rsid w:val="00162DEE"/>
    <w:rsid w:val="00162F6B"/>
    <w:rsid w:val="001630B9"/>
    <w:rsid w:val="0016311C"/>
    <w:rsid w:val="001633B9"/>
    <w:rsid w:val="00163479"/>
    <w:rsid w:val="00163702"/>
    <w:rsid w:val="00163831"/>
    <w:rsid w:val="00163901"/>
    <w:rsid w:val="0016392A"/>
    <w:rsid w:val="001639A4"/>
    <w:rsid w:val="00163DAA"/>
    <w:rsid w:val="00163E6F"/>
    <w:rsid w:val="00163FB0"/>
    <w:rsid w:val="00163FDF"/>
    <w:rsid w:val="00164061"/>
    <w:rsid w:val="0016438E"/>
    <w:rsid w:val="00164545"/>
    <w:rsid w:val="00164554"/>
    <w:rsid w:val="00164916"/>
    <w:rsid w:val="00164A23"/>
    <w:rsid w:val="00164B8F"/>
    <w:rsid w:val="00164D48"/>
    <w:rsid w:val="00164E58"/>
    <w:rsid w:val="00165344"/>
    <w:rsid w:val="00165484"/>
    <w:rsid w:val="0016552C"/>
    <w:rsid w:val="001655BA"/>
    <w:rsid w:val="00165A23"/>
    <w:rsid w:val="00165B31"/>
    <w:rsid w:val="00165F15"/>
    <w:rsid w:val="0016610E"/>
    <w:rsid w:val="00166140"/>
    <w:rsid w:val="001664F2"/>
    <w:rsid w:val="00166763"/>
    <w:rsid w:val="00166765"/>
    <w:rsid w:val="0016683C"/>
    <w:rsid w:val="001668F9"/>
    <w:rsid w:val="00166AB0"/>
    <w:rsid w:val="00166CB8"/>
    <w:rsid w:val="00166F19"/>
    <w:rsid w:val="00167044"/>
    <w:rsid w:val="001671B3"/>
    <w:rsid w:val="00167452"/>
    <w:rsid w:val="001674F0"/>
    <w:rsid w:val="0016759D"/>
    <w:rsid w:val="001675E0"/>
    <w:rsid w:val="00167680"/>
    <w:rsid w:val="00167993"/>
    <w:rsid w:val="00167B67"/>
    <w:rsid w:val="00167B6E"/>
    <w:rsid w:val="00167BC1"/>
    <w:rsid w:val="00167D8F"/>
    <w:rsid w:val="00167E43"/>
    <w:rsid w:val="00167F62"/>
    <w:rsid w:val="00167F6E"/>
    <w:rsid w:val="0017000E"/>
    <w:rsid w:val="0017009F"/>
    <w:rsid w:val="001701BC"/>
    <w:rsid w:val="001701C2"/>
    <w:rsid w:val="001704A0"/>
    <w:rsid w:val="001707FB"/>
    <w:rsid w:val="00170AAD"/>
    <w:rsid w:val="00170F50"/>
    <w:rsid w:val="001710BD"/>
    <w:rsid w:val="00171203"/>
    <w:rsid w:val="00171214"/>
    <w:rsid w:val="001712CD"/>
    <w:rsid w:val="00171478"/>
    <w:rsid w:val="0017147B"/>
    <w:rsid w:val="0017162B"/>
    <w:rsid w:val="001717B8"/>
    <w:rsid w:val="00171822"/>
    <w:rsid w:val="0017195B"/>
    <w:rsid w:val="00171BE8"/>
    <w:rsid w:val="00171E53"/>
    <w:rsid w:val="00171FDD"/>
    <w:rsid w:val="0017205C"/>
    <w:rsid w:val="0017206A"/>
    <w:rsid w:val="00172277"/>
    <w:rsid w:val="001728DF"/>
    <w:rsid w:val="00172A2E"/>
    <w:rsid w:val="00172B98"/>
    <w:rsid w:val="00172C70"/>
    <w:rsid w:val="00172D42"/>
    <w:rsid w:val="00172D80"/>
    <w:rsid w:val="00172F1B"/>
    <w:rsid w:val="001730B2"/>
    <w:rsid w:val="00173163"/>
    <w:rsid w:val="0017321A"/>
    <w:rsid w:val="00173467"/>
    <w:rsid w:val="001734B2"/>
    <w:rsid w:val="001735E3"/>
    <w:rsid w:val="001735FB"/>
    <w:rsid w:val="0017364D"/>
    <w:rsid w:val="00173732"/>
    <w:rsid w:val="001738DD"/>
    <w:rsid w:val="001739F7"/>
    <w:rsid w:val="00173B47"/>
    <w:rsid w:val="00173F1D"/>
    <w:rsid w:val="001740ED"/>
    <w:rsid w:val="00174139"/>
    <w:rsid w:val="0017423D"/>
    <w:rsid w:val="0017432E"/>
    <w:rsid w:val="0017479E"/>
    <w:rsid w:val="00174851"/>
    <w:rsid w:val="00174D46"/>
    <w:rsid w:val="00174E84"/>
    <w:rsid w:val="001750DA"/>
    <w:rsid w:val="001752A1"/>
    <w:rsid w:val="00175833"/>
    <w:rsid w:val="00175860"/>
    <w:rsid w:val="00175930"/>
    <w:rsid w:val="00175A90"/>
    <w:rsid w:val="00175DF6"/>
    <w:rsid w:val="001760D5"/>
    <w:rsid w:val="00176196"/>
    <w:rsid w:val="00176331"/>
    <w:rsid w:val="00176375"/>
    <w:rsid w:val="001765A1"/>
    <w:rsid w:val="001766EA"/>
    <w:rsid w:val="0017677A"/>
    <w:rsid w:val="001767BE"/>
    <w:rsid w:val="00176857"/>
    <w:rsid w:val="0017687F"/>
    <w:rsid w:val="001769CF"/>
    <w:rsid w:val="00176AD4"/>
    <w:rsid w:val="00176EA3"/>
    <w:rsid w:val="00177222"/>
    <w:rsid w:val="00177277"/>
    <w:rsid w:val="001773B7"/>
    <w:rsid w:val="001775F5"/>
    <w:rsid w:val="001777C6"/>
    <w:rsid w:val="001778CC"/>
    <w:rsid w:val="001778F8"/>
    <w:rsid w:val="00177B8B"/>
    <w:rsid w:val="00177DD8"/>
    <w:rsid w:val="0018025E"/>
    <w:rsid w:val="001804C7"/>
    <w:rsid w:val="00180532"/>
    <w:rsid w:val="0018068C"/>
    <w:rsid w:val="0018074C"/>
    <w:rsid w:val="0018076A"/>
    <w:rsid w:val="00180931"/>
    <w:rsid w:val="00180C93"/>
    <w:rsid w:val="00180D32"/>
    <w:rsid w:val="00180E67"/>
    <w:rsid w:val="00180EA9"/>
    <w:rsid w:val="00180EC6"/>
    <w:rsid w:val="0018135A"/>
    <w:rsid w:val="00181420"/>
    <w:rsid w:val="00181581"/>
    <w:rsid w:val="00181E20"/>
    <w:rsid w:val="00181EEB"/>
    <w:rsid w:val="001822A1"/>
    <w:rsid w:val="00182562"/>
    <w:rsid w:val="001825CF"/>
    <w:rsid w:val="0018261B"/>
    <w:rsid w:val="00182AF5"/>
    <w:rsid w:val="00182DA7"/>
    <w:rsid w:val="00182F57"/>
    <w:rsid w:val="00183098"/>
    <w:rsid w:val="001830B6"/>
    <w:rsid w:val="00183145"/>
    <w:rsid w:val="001831DB"/>
    <w:rsid w:val="00183384"/>
    <w:rsid w:val="0018350D"/>
    <w:rsid w:val="00183549"/>
    <w:rsid w:val="00183581"/>
    <w:rsid w:val="00183594"/>
    <w:rsid w:val="0018359A"/>
    <w:rsid w:val="00183604"/>
    <w:rsid w:val="001838E1"/>
    <w:rsid w:val="00183A46"/>
    <w:rsid w:val="00183B43"/>
    <w:rsid w:val="00183B5B"/>
    <w:rsid w:val="00183C24"/>
    <w:rsid w:val="00183D10"/>
    <w:rsid w:val="00183DC2"/>
    <w:rsid w:val="00183DFC"/>
    <w:rsid w:val="00183E5B"/>
    <w:rsid w:val="00183EB0"/>
    <w:rsid w:val="00183FE9"/>
    <w:rsid w:val="001840A9"/>
    <w:rsid w:val="0018421D"/>
    <w:rsid w:val="0018461D"/>
    <w:rsid w:val="00184835"/>
    <w:rsid w:val="00184858"/>
    <w:rsid w:val="00184965"/>
    <w:rsid w:val="00184A49"/>
    <w:rsid w:val="00184B30"/>
    <w:rsid w:val="00184BBD"/>
    <w:rsid w:val="00184F2A"/>
    <w:rsid w:val="00184F30"/>
    <w:rsid w:val="00184F9C"/>
    <w:rsid w:val="00185022"/>
    <w:rsid w:val="001851C2"/>
    <w:rsid w:val="00185261"/>
    <w:rsid w:val="001852B1"/>
    <w:rsid w:val="0018545F"/>
    <w:rsid w:val="0018554A"/>
    <w:rsid w:val="00185586"/>
    <w:rsid w:val="00185591"/>
    <w:rsid w:val="001857B1"/>
    <w:rsid w:val="0018594D"/>
    <w:rsid w:val="00185C0A"/>
    <w:rsid w:val="00185DEA"/>
    <w:rsid w:val="001860BE"/>
    <w:rsid w:val="00186140"/>
    <w:rsid w:val="001861A6"/>
    <w:rsid w:val="00186220"/>
    <w:rsid w:val="00186260"/>
    <w:rsid w:val="001863D7"/>
    <w:rsid w:val="001866E2"/>
    <w:rsid w:val="00186746"/>
    <w:rsid w:val="001867D3"/>
    <w:rsid w:val="001869E1"/>
    <w:rsid w:val="00186A7F"/>
    <w:rsid w:val="00186B9A"/>
    <w:rsid w:val="00186D92"/>
    <w:rsid w:val="00186FE2"/>
    <w:rsid w:val="00187023"/>
    <w:rsid w:val="0018715B"/>
    <w:rsid w:val="00187210"/>
    <w:rsid w:val="0018731E"/>
    <w:rsid w:val="001873F7"/>
    <w:rsid w:val="00187418"/>
    <w:rsid w:val="00187810"/>
    <w:rsid w:val="00187832"/>
    <w:rsid w:val="001878B5"/>
    <w:rsid w:val="001878EB"/>
    <w:rsid w:val="00187912"/>
    <w:rsid w:val="00187A65"/>
    <w:rsid w:val="00187AAB"/>
    <w:rsid w:val="00187CFB"/>
    <w:rsid w:val="00187DAA"/>
    <w:rsid w:val="00190250"/>
    <w:rsid w:val="001902B3"/>
    <w:rsid w:val="001903B3"/>
    <w:rsid w:val="001905AE"/>
    <w:rsid w:val="001906B6"/>
    <w:rsid w:val="001907D8"/>
    <w:rsid w:val="00190814"/>
    <w:rsid w:val="001908AD"/>
    <w:rsid w:val="001908E5"/>
    <w:rsid w:val="00190B12"/>
    <w:rsid w:val="00190B27"/>
    <w:rsid w:val="00190B96"/>
    <w:rsid w:val="00190BE5"/>
    <w:rsid w:val="00190F33"/>
    <w:rsid w:val="00190F7E"/>
    <w:rsid w:val="001910F0"/>
    <w:rsid w:val="00191136"/>
    <w:rsid w:val="0019114C"/>
    <w:rsid w:val="00191172"/>
    <w:rsid w:val="00191217"/>
    <w:rsid w:val="0019125D"/>
    <w:rsid w:val="00191478"/>
    <w:rsid w:val="0019177F"/>
    <w:rsid w:val="001917EA"/>
    <w:rsid w:val="00191895"/>
    <w:rsid w:val="00191A4C"/>
    <w:rsid w:val="00191C13"/>
    <w:rsid w:val="00191C25"/>
    <w:rsid w:val="00191EE1"/>
    <w:rsid w:val="00191F9A"/>
    <w:rsid w:val="00192142"/>
    <w:rsid w:val="00192153"/>
    <w:rsid w:val="0019216B"/>
    <w:rsid w:val="001922F4"/>
    <w:rsid w:val="0019237D"/>
    <w:rsid w:val="001923CE"/>
    <w:rsid w:val="00192522"/>
    <w:rsid w:val="00192616"/>
    <w:rsid w:val="00192C2C"/>
    <w:rsid w:val="00192E6C"/>
    <w:rsid w:val="00192EF4"/>
    <w:rsid w:val="00193017"/>
    <w:rsid w:val="001930DE"/>
    <w:rsid w:val="0019317B"/>
    <w:rsid w:val="00193492"/>
    <w:rsid w:val="00193575"/>
    <w:rsid w:val="001935F1"/>
    <w:rsid w:val="001936D6"/>
    <w:rsid w:val="0019370E"/>
    <w:rsid w:val="0019394C"/>
    <w:rsid w:val="00193974"/>
    <w:rsid w:val="00193C2B"/>
    <w:rsid w:val="00193E29"/>
    <w:rsid w:val="00193FDB"/>
    <w:rsid w:val="00194191"/>
    <w:rsid w:val="00194252"/>
    <w:rsid w:val="00194314"/>
    <w:rsid w:val="001944F3"/>
    <w:rsid w:val="001947DC"/>
    <w:rsid w:val="00194C86"/>
    <w:rsid w:val="00194DC2"/>
    <w:rsid w:val="00194EDE"/>
    <w:rsid w:val="00195069"/>
    <w:rsid w:val="001950C3"/>
    <w:rsid w:val="001950CC"/>
    <w:rsid w:val="001950D3"/>
    <w:rsid w:val="001951DC"/>
    <w:rsid w:val="00195236"/>
    <w:rsid w:val="0019527D"/>
    <w:rsid w:val="0019547E"/>
    <w:rsid w:val="00195682"/>
    <w:rsid w:val="001956BE"/>
    <w:rsid w:val="001958B1"/>
    <w:rsid w:val="00195AED"/>
    <w:rsid w:val="00195B9C"/>
    <w:rsid w:val="00195D1D"/>
    <w:rsid w:val="00195E58"/>
    <w:rsid w:val="00196368"/>
    <w:rsid w:val="0019664E"/>
    <w:rsid w:val="00196693"/>
    <w:rsid w:val="001966A8"/>
    <w:rsid w:val="00196B83"/>
    <w:rsid w:val="00196CC9"/>
    <w:rsid w:val="00196E26"/>
    <w:rsid w:val="00196EB7"/>
    <w:rsid w:val="00196FAE"/>
    <w:rsid w:val="001971C4"/>
    <w:rsid w:val="0019729C"/>
    <w:rsid w:val="001972AF"/>
    <w:rsid w:val="00197516"/>
    <w:rsid w:val="001975A8"/>
    <w:rsid w:val="00197711"/>
    <w:rsid w:val="0019788D"/>
    <w:rsid w:val="00197A20"/>
    <w:rsid w:val="00197C5C"/>
    <w:rsid w:val="00197C7E"/>
    <w:rsid w:val="00197CBB"/>
    <w:rsid w:val="00197EB2"/>
    <w:rsid w:val="00197EC3"/>
    <w:rsid w:val="001A010A"/>
    <w:rsid w:val="001A014D"/>
    <w:rsid w:val="001A0206"/>
    <w:rsid w:val="001A0886"/>
    <w:rsid w:val="001A0887"/>
    <w:rsid w:val="001A09E2"/>
    <w:rsid w:val="001A0BE3"/>
    <w:rsid w:val="001A0C9E"/>
    <w:rsid w:val="001A0CCC"/>
    <w:rsid w:val="001A0F43"/>
    <w:rsid w:val="001A0F4E"/>
    <w:rsid w:val="001A0FE0"/>
    <w:rsid w:val="001A12F5"/>
    <w:rsid w:val="001A137F"/>
    <w:rsid w:val="001A1498"/>
    <w:rsid w:val="001A179C"/>
    <w:rsid w:val="001A1886"/>
    <w:rsid w:val="001A18EE"/>
    <w:rsid w:val="001A199E"/>
    <w:rsid w:val="001A1A13"/>
    <w:rsid w:val="001A1A38"/>
    <w:rsid w:val="001A1A56"/>
    <w:rsid w:val="001A1C09"/>
    <w:rsid w:val="001A1D0D"/>
    <w:rsid w:val="001A1E52"/>
    <w:rsid w:val="001A1F12"/>
    <w:rsid w:val="001A1FE9"/>
    <w:rsid w:val="001A2081"/>
    <w:rsid w:val="001A22B7"/>
    <w:rsid w:val="001A22C8"/>
    <w:rsid w:val="001A27B8"/>
    <w:rsid w:val="001A27E8"/>
    <w:rsid w:val="001A2980"/>
    <w:rsid w:val="001A29A4"/>
    <w:rsid w:val="001A2BE3"/>
    <w:rsid w:val="001A2CEC"/>
    <w:rsid w:val="001A2E93"/>
    <w:rsid w:val="001A2F9B"/>
    <w:rsid w:val="001A2FE9"/>
    <w:rsid w:val="001A306E"/>
    <w:rsid w:val="001A311A"/>
    <w:rsid w:val="001A3288"/>
    <w:rsid w:val="001A339D"/>
    <w:rsid w:val="001A3B6F"/>
    <w:rsid w:val="001A3BDE"/>
    <w:rsid w:val="001A3D23"/>
    <w:rsid w:val="001A3E73"/>
    <w:rsid w:val="001A4083"/>
    <w:rsid w:val="001A4271"/>
    <w:rsid w:val="001A42DA"/>
    <w:rsid w:val="001A4504"/>
    <w:rsid w:val="001A453D"/>
    <w:rsid w:val="001A4584"/>
    <w:rsid w:val="001A4A8F"/>
    <w:rsid w:val="001A4C8B"/>
    <w:rsid w:val="001A4D76"/>
    <w:rsid w:val="001A4DC0"/>
    <w:rsid w:val="001A4EE6"/>
    <w:rsid w:val="001A51B6"/>
    <w:rsid w:val="001A5290"/>
    <w:rsid w:val="001A552D"/>
    <w:rsid w:val="001A593D"/>
    <w:rsid w:val="001A5A53"/>
    <w:rsid w:val="001A5BD8"/>
    <w:rsid w:val="001A5BFF"/>
    <w:rsid w:val="001A5DE5"/>
    <w:rsid w:val="001A6075"/>
    <w:rsid w:val="001A65A1"/>
    <w:rsid w:val="001A68B7"/>
    <w:rsid w:val="001A6A44"/>
    <w:rsid w:val="001A6A8D"/>
    <w:rsid w:val="001A6B5F"/>
    <w:rsid w:val="001A6B71"/>
    <w:rsid w:val="001A6EB5"/>
    <w:rsid w:val="001A71D7"/>
    <w:rsid w:val="001A7312"/>
    <w:rsid w:val="001A7A07"/>
    <w:rsid w:val="001A7ABC"/>
    <w:rsid w:val="001A7BB2"/>
    <w:rsid w:val="001A7C5B"/>
    <w:rsid w:val="001A7C9F"/>
    <w:rsid w:val="001A7E8C"/>
    <w:rsid w:val="001A7FB5"/>
    <w:rsid w:val="001B0313"/>
    <w:rsid w:val="001B03B8"/>
    <w:rsid w:val="001B05E3"/>
    <w:rsid w:val="001B07BE"/>
    <w:rsid w:val="001B086F"/>
    <w:rsid w:val="001B08C7"/>
    <w:rsid w:val="001B0AF6"/>
    <w:rsid w:val="001B0E9C"/>
    <w:rsid w:val="001B1258"/>
    <w:rsid w:val="001B144D"/>
    <w:rsid w:val="001B14B8"/>
    <w:rsid w:val="001B16DA"/>
    <w:rsid w:val="001B18BB"/>
    <w:rsid w:val="001B18ED"/>
    <w:rsid w:val="001B18F5"/>
    <w:rsid w:val="001B1D5B"/>
    <w:rsid w:val="001B1DCB"/>
    <w:rsid w:val="001B1DF4"/>
    <w:rsid w:val="001B1E7F"/>
    <w:rsid w:val="001B1F46"/>
    <w:rsid w:val="001B1FAA"/>
    <w:rsid w:val="001B20AC"/>
    <w:rsid w:val="001B24E4"/>
    <w:rsid w:val="001B2517"/>
    <w:rsid w:val="001B2526"/>
    <w:rsid w:val="001B273C"/>
    <w:rsid w:val="001B28F2"/>
    <w:rsid w:val="001B2B0C"/>
    <w:rsid w:val="001B2B1C"/>
    <w:rsid w:val="001B3087"/>
    <w:rsid w:val="001B3197"/>
    <w:rsid w:val="001B34A0"/>
    <w:rsid w:val="001B3661"/>
    <w:rsid w:val="001B3757"/>
    <w:rsid w:val="001B3779"/>
    <w:rsid w:val="001B3816"/>
    <w:rsid w:val="001B3AF8"/>
    <w:rsid w:val="001B3B8A"/>
    <w:rsid w:val="001B3C41"/>
    <w:rsid w:val="001B3D39"/>
    <w:rsid w:val="001B41CA"/>
    <w:rsid w:val="001B434E"/>
    <w:rsid w:val="001B459C"/>
    <w:rsid w:val="001B4CAF"/>
    <w:rsid w:val="001B4CB8"/>
    <w:rsid w:val="001B5074"/>
    <w:rsid w:val="001B51B4"/>
    <w:rsid w:val="001B55A3"/>
    <w:rsid w:val="001B55CA"/>
    <w:rsid w:val="001B5611"/>
    <w:rsid w:val="001B58D5"/>
    <w:rsid w:val="001B597C"/>
    <w:rsid w:val="001B5A44"/>
    <w:rsid w:val="001B5A78"/>
    <w:rsid w:val="001B5AFA"/>
    <w:rsid w:val="001B5CFD"/>
    <w:rsid w:val="001B5D9C"/>
    <w:rsid w:val="001B6195"/>
    <w:rsid w:val="001B61D1"/>
    <w:rsid w:val="001B6402"/>
    <w:rsid w:val="001B641A"/>
    <w:rsid w:val="001B6531"/>
    <w:rsid w:val="001B66DC"/>
    <w:rsid w:val="001B6BEE"/>
    <w:rsid w:val="001B6C79"/>
    <w:rsid w:val="001B6D8A"/>
    <w:rsid w:val="001B6E8C"/>
    <w:rsid w:val="001B7089"/>
    <w:rsid w:val="001B71E0"/>
    <w:rsid w:val="001B7248"/>
    <w:rsid w:val="001B72C3"/>
    <w:rsid w:val="001B72EC"/>
    <w:rsid w:val="001B7341"/>
    <w:rsid w:val="001B7811"/>
    <w:rsid w:val="001B7B1C"/>
    <w:rsid w:val="001B7B1D"/>
    <w:rsid w:val="001B7C28"/>
    <w:rsid w:val="001B7CDE"/>
    <w:rsid w:val="001B7DE1"/>
    <w:rsid w:val="001B7E07"/>
    <w:rsid w:val="001B7EC8"/>
    <w:rsid w:val="001C005C"/>
    <w:rsid w:val="001C0074"/>
    <w:rsid w:val="001C0315"/>
    <w:rsid w:val="001C04EA"/>
    <w:rsid w:val="001C0515"/>
    <w:rsid w:val="001C08A0"/>
    <w:rsid w:val="001C0C4A"/>
    <w:rsid w:val="001C0E73"/>
    <w:rsid w:val="001C0F6E"/>
    <w:rsid w:val="001C1062"/>
    <w:rsid w:val="001C1152"/>
    <w:rsid w:val="001C12FF"/>
    <w:rsid w:val="001C130F"/>
    <w:rsid w:val="001C16F9"/>
    <w:rsid w:val="001C179A"/>
    <w:rsid w:val="001C196B"/>
    <w:rsid w:val="001C19C6"/>
    <w:rsid w:val="001C1FDD"/>
    <w:rsid w:val="001C205C"/>
    <w:rsid w:val="001C21EC"/>
    <w:rsid w:val="001C2338"/>
    <w:rsid w:val="001C24EA"/>
    <w:rsid w:val="001C25DC"/>
    <w:rsid w:val="001C2774"/>
    <w:rsid w:val="001C27C1"/>
    <w:rsid w:val="001C2858"/>
    <w:rsid w:val="001C288A"/>
    <w:rsid w:val="001C289C"/>
    <w:rsid w:val="001C290E"/>
    <w:rsid w:val="001C2B9F"/>
    <w:rsid w:val="001C2D60"/>
    <w:rsid w:val="001C2D91"/>
    <w:rsid w:val="001C2E6E"/>
    <w:rsid w:val="001C2F1F"/>
    <w:rsid w:val="001C30F4"/>
    <w:rsid w:val="001C3139"/>
    <w:rsid w:val="001C3293"/>
    <w:rsid w:val="001C33BB"/>
    <w:rsid w:val="001C33C9"/>
    <w:rsid w:val="001C34E9"/>
    <w:rsid w:val="001C34FD"/>
    <w:rsid w:val="001C3663"/>
    <w:rsid w:val="001C373A"/>
    <w:rsid w:val="001C3BFB"/>
    <w:rsid w:val="001C3D70"/>
    <w:rsid w:val="001C3E60"/>
    <w:rsid w:val="001C3EF0"/>
    <w:rsid w:val="001C4400"/>
    <w:rsid w:val="001C4634"/>
    <w:rsid w:val="001C47D2"/>
    <w:rsid w:val="001C47D6"/>
    <w:rsid w:val="001C48F4"/>
    <w:rsid w:val="001C49E3"/>
    <w:rsid w:val="001C51AA"/>
    <w:rsid w:val="001C53E2"/>
    <w:rsid w:val="001C53FC"/>
    <w:rsid w:val="001C57EA"/>
    <w:rsid w:val="001C588C"/>
    <w:rsid w:val="001C5A01"/>
    <w:rsid w:val="001C5A16"/>
    <w:rsid w:val="001C5B64"/>
    <w:rsid w:val="001C5C14"/>
    <w:rsid w:val="001C5C50"/>
    <w:rsid w:val="001C5CED"/>
    <w:rsid w:val="001C5E36"/>
    <w:rsid w:val="001C5F0D"/>
    <w:rsid w:val="001C6031"/>
    <w:rsid w:val="001C605F"/>
    <w:rsid w:val="001C6225"/>
    <w:rsid w:val="001C6389"/>
    <w:rsid w:val="001C674A"/>
    <w:rsid w:val="001C682F"/>
    <w:rsid w:val="001C68EB"/>
    <w:rsid w:val="001C6947"/>
    <w:rsid w:val="001C69B5"/>
    <w:rsid w:val="001C6B4E"/>
    <w:rsid w:val="001C6F82"/>
    <w:rsid w:val="001C717D"/>
    <w:rsid w:val="001C7192"/>
    <w:rsid w:val="001C7476"/>
    <w:rsid w:val="001C7866"/>
    <w:rsid w:val="001C7C25"/>
    <w:rsid w:val="001C7DC4"/>
    <w:rsid w:val="001C7E8E"/>
    <w:rsid w:val="001C7F0B"/>
    <w:rsid w:val="001D00A6"/>
    <w:rsid w:val="001D02B9"/>
    <w:rsid w:val="001D05E7"/>
    <w:rsid w:val="001D062E"/>
    <w:rsid w:val="001D0A1A"/>
    <w:rsid w:val="001D0A20"/>
    <w:rsid w:val="001D0BE3"/>
    <w:rsid w:val="001D0D2E"/>
    <w:rsid w:val="001D10C1"/>
    <w:rsid w:val="001D1259"/>
    <w:rsid w:val="001D12C0"/>
    <w:rsid w:val="001D13AF"/>
    <w:rsid w:val="001D15D7"/>
    <w:rsid w:val="001D1688"/>
    <w:rsid w:val="001D1710"/>
    <w:rsid w:val="001D1759"/>
    <w:rsid w:val="001D17F2"/>
    <w:rsid w:val="001D1832"/>
    <w:rsid w:val="001D1946"/>
    <w:rsid w:val="001D1C23"/>
    <w:rsid w:val="001D200A"/>
    <w:rsid w:val="001D20B4"/>
    <w:rsid w:val="001D255C"/>
    <w:rsid w:val="001D26BC"/>
    <w:rsid w:val="001D26CC"/>
    <w:rsid w:val="001D29D1"/>
    <w:rsid w:val="001D2A2E"/>
    <w:rsid w:val="001D2BB9"/>
    <w:rsid w:val="001D2BD8"/>
    <w:rsid w:val="001D2CB2"/>
    <w:rsid w:val="001D2D4B"/>
    <w:rsid w:val="001D2DF8"/>
    <w:rsid w:val="001D2EA8"/>
    <w:rsid w:val="001D2FC2"/>
    <w:rsid w:val="001D3012"/>
    <w:rsid w:val="001D3041"/>
    <w:rsid w:val="001D3496"/>
    <w:rsid w:val="001D34D4"/>
    <w:rsid w:val="001D38CA"/>
    <w:rsid w:val="001D3B03"/>
    <w:rsid w:val="001D3E2B"/>
    <w:rsid w:val="001D3E66"/>
    <w:rsid w:val="001D4095"/>
    <w:rsid w:val="001D44CA"/>
    <w:rsid w:val="001D455E"/>
    <w:rsid w:val="001D48C2"/>
    <w:rsid w:val="001D490D"/>
    <w:rsid w:val="001D4A49"/>
    <w:rsid w:val="001D4A8C"/>
    <w:rsid w:val="001D4A93"/>
    <w:rsid w:val="001D4BD9"/>
    <w:rsid w:val="001D4C61"/>
    <w:rsid w:val="001D4D93"/>
    <w:rsid w:val="001D50B5"/>
    <w:rsid w:val="001D5454"/>
    <w:rsid w:val="001D548F"/>
    <w:rsid w:val="001D565E"/>
    <w:rsid w:val="001D56B4"/>
    <w:rsid w:val="001D578A"/>
    <w:rsid w:val="001D580F"/>
    <w:rsid w:val="001D5C46"/>
    <w:rsid w:val="001D5D34"/>
    <w:rsid w:val="001D5F15"/>
    <w:rsid w:val="001D5FD7"/>
    <w:rsid w:val="001D62C0"/>
    <w:rsid w:val="001D6342"/>
    <w:rsid w:val="001D6671"/>
    <w:rsid w:val="001D66A1"/>
    <w:rsid w:val="001D66F9"/>
    <w:rsid w:val="001D680B"/>
    <w:rsid w:val="001D69C9"/>
    <w:rsid w:val="001D6AA7"/>
    <w:rsid w:val="001D6ADB"/>
    <w:rsid w:val="001D6CBC"/>
    <w:rsid w:val="001D702B"/>
    <w:rsid w:val="001D7069"/>
    <w:rsid w:val="001D73B9"/>
    <w:rsid w:val="001D75B3"/>
    <w:rsid w:val="001D7899"/>
    <w:rsid w:val="001D7AD1"/>
    <w:rsid w:val="001D7B23"/>
    <w:rsid w:val="001D7CD6"/>
    <w:rsid w:val="001D7CE7"/>
    <w:rsid w:val="001D7E27"/>
    <w:rsid w:val="001D7F2D"/>
    <w:rsid w:val="001D7F5A"/>
    <w:rsid w:val="001D7FDD"/>
    <w:rsid w:val="001E0120"/>
    <w:rsid w:val="001E0148"/>
    <w:rsid w:val="001E0327"/>
    <w:rsid w:val="001E03A5"/>
    <w:rsid w:val="001E0771"/>
    <w:rsid w:val="001E0810"/>
    <w:rsid w:val="001E08B2"/>
    <w:rsid w:val="001E09FB"/>
    <w:rsid w:val="001E0D3F"/>
    <w:rsid w:val="001E0D42"/>
    <w:rsid w:val="001E0EB3"/>
    <w:rsid w:val="001E0FEC"/>
    <w:rsid w:val="001E1036"/>
    <w:rsid w:val="001E10CD"/>
    <w:rsid w:val="001E1122"/>
    <w:rsid w:val="001E15FB"/>
    <w:rsid w:val="001E172C"/>
    <w:rsid w:val="001E18AA"/>
    <w:rsid w:val="001E1AC4"/>
    <w:rsid w:val="001E1B0D"/>
    <w:rsid w:val="001E1E2E"/>
    <w:rsid w:val="001E1EFE"/>
    <w:rsid w:val="001E209E"/>
    <w:rsid w:val="001E22CE"/>
    <w:rsid w:val="001E247E"/>
    <w:rsid w:val="001E2598"/>
    <w:rsid w:val="001E25ED"/>
    <w:rsid w:val="001E26E3"/>
    <w:rsid w:val="001E27A1"/>
    <w:rsid w:val="001E2820"/>
    <w:rsid w:val="001E29FD"/>
    <w:rsid w:val="001E2C96"/>
    <w:rsid w:val="001E2D1E"/>
    <w:rsid w:val="001E2D84"/>
    <w:rsid w:val="001E2DB6"/>
    <w:rsid w:val="001E2DC7"/>
    <w:rsid w:val="001E2DE6"/>
    <w:rsid w:val="001E2F5A"/>
    <w:rsid w:val="001E3072"/>
    <w:rsid w:val="001E3091"/>
    <w:rsid w:val="001E3193"/>
    <w:rsid w:val="001E326D"/>
    <w:rsid w:val="001E33C3"/>
    <w:rsid w:val="001E35FF"/>
    <w:rsid w:val="001E360E"/>
    <w:rsid w:val="001E3669"/>
    <w:rsid w:val="001E369C"/>
    <w:rsid w:val="001E3A35"/>
    <w:rsid w:val="001E3AB7"/>
    <w:rsid w:val="001E3C67"/>
    <w:rsid w:val="001E3D7D"/>
    <w:rsid w:val="001E3E08"/>
    <w:rsid w:val="001E3E6C"/>
    <w:rsid w:val="001E3E8B"/>
    <w:rsid w:val="001E3F1F"/>
    <w:rsid w:val="001E3F37"/>
    <w:rsid w:val="001E3F7A"/>
    <w:rsid w:val="001E4062"/>
    <w:rsid w:val="001E4111"/>
    <w:rsid w:val="001E41D9"/>
    <w:rsid w:val="001E421F"/>
    <w:rsid w:val="001E4374"/>
    <w:rsid w:val="001E4495"/>
    <w:rsid w:val="001E456D"/>
    <w:rsid w:val="001E487D"/>
    <w:rsid w:val="001E493D"/>
    <w:rsid w:val="001E4A7C"/>
    <w:rsid w:val="001E4BA7"/>
    <w:rsid w:val="001E4F1F"/>
    <w:rsid w:val="001E5001"/>
    <w:rsid w:val="001E50CD"/>
    <w:rsid w:val="001E5351"/>
    <w:rsid w:val="001E54F7"/>
    <w:rsid w:val="001E551F"/>
    <w:rsid w:val="001E5796"/>
    <w:rsid w:val="001E58FB"/>
    <w:rsid w:val="001E5B3B"/>
    <w:rsid w:val="001E5BC4"/>
    <w:rsid w:val="001E5C5D"/>
    <w:rsid w:val="001E5CE4"/>
    <w:rsid w:val="001E5D8E"/>
    <w:rsid w:val="001E61C6"/>
    <w:rsid w:val="001E6212"/>
    <w:rsid w:val="001E632A"/>
    <w:rsid w:val="001E64EF"/>
    <w:rsid w:val="001E65C4"/>
    <w:rsid w:val="001E6656"/>
    <w:rsid w:val="001E673C"/>
    <w:rsid w:val="001E67F0"/>
    <w:rsid w:val="001E6B2E"/>
    <w:rsid w:val="001E6D21"/>
    <w:rsid w:val="001E7349"/>
    <w:rsid w:val="001E7469"/>
    <w:rsid w:val="001E74C0"/>
    <w:rsid w:val="001E7768"/>
    <w:rsid w:val="001E79F9"/>
    <w:rsid w:val="001E7A21"/>
    <w:rsid w:val="001E7B73"/>
    <w:rsid w:val="001E7BC4"/>
    <w:rsid w:val="001E7CA2"/>
    <w:rsid w:val="001E7D41"/>
    <w:rsid w:val="001E7D56"/>
    <w:rsid w:val="001E7E50"/>
    <w:rsid w:val="001E7EE3"/>
    <w:rsid w:val="001E7FF2"/>
    <w:rsid w:val="001F01A1"/>
    <w:rsid w:val="001F02F9"/>
    <w:rsid w:val="001F03B2"/>
    <w:rsid w:val="001F04DC"/>
    <w:rsid w:val="001F06CB"/>
    <w:rsid w:val="001F0794"/>
    <w:rsid w:val="001F093A"/>
    <w:rsid w:val="001F0AA8"/>
    <w:rsid w:val="001F0B3F"/>
    <w:rsid w:val="001F0D1C"/>
    <w:rsid w:val="001F1222"/>
    <w:rsid w:val="001F122F"/>
    <w:rsid w:val="001F12B6"/>
    <w:rsid w:val="001F14BD"/>
    <w:rsid w:val="001F1759"/>
    <w:rsid w:val="001F18D1"/>
    <w:rsid w:val="001F1CA4"/>
    <w:rsid w:val="001F1E50"/>
    <w:rsid w:val="001F1EF7"/>
    <w:rsid w:val="001F23F5"/>
    <w:rsid w:val="001F24EA"/>
    <w:rsid w:val="001F2582"/>
    <w:rsid w:val="001F27AF"/>
    <w:rsid w:val="001F2910"/>
    <w:rsid w:val="001F297E"/>
    <w:rsid w:val="001F2AB4"/>
    <w:rsid w:val="001F2B16"/>
    <w:rsid w:val="001F2B67"/>
    <w:rsid w:val="001F2B98"/>
    <w:rsid w:val="001F2D51"/>
    <w:rsid w:val="001F2DCA"/>
    <w:rsid w:val="001F2DF1"/>
    <w:rsid w:val="001F2EEA"/>
    <w:rsid w:val="001F3131"/>
    <w:rsid w:val="001F3187"/>
    <w:rsid w:val="001F3266"/>
    <w:rsid w:val="001F3491"/>
    <w:rsid w:val="001F3494"/>
    <w:rsid w:val="001F3594"/>
    <w:rsid w:val="001F35EC"/>
    <w:rsid w:val="001F369F"/>
    <w:rsid w:val="001F36B6"/>
    <w:rsid w:val="001F3772"/>
    <w:rsid w:val="001F37C8"/>
    <w:rsid w:val="001F385C"/>
    <w:rsid w:val="001F3995"/>
    <w:rsid w:val="001F3C9C"/>
    <w:rsid w:val="001F3D70"/>
    <w:rsid w:val="001F3D72"/>
    <w:rsid w:val="001F3DBF"/>
    <w:rsid w:val="001F3F83"/>
    <w:rsid w:val="001F41A7"/>
    <w:rsid w:val="001F4291"/>
    <w:rsid w:val="001F42B3"/>
    <w:rsid w:val="001F4392"/>
    <w:rsid w:val="001F4610"/>
    <w:rsid w:val="001F482A"/>
    <w:rsid w:val="001F4998"/>
    <w:rsid w:val="001F4A45"/>
    <w:rsid w:val="001F4A48"/>
    <w:rsid w:val="001F4BCD"/>
    <w:rsid w:val="001F4CC4"/>
    <w:rsid w:val="001F4E27"/>
    <w:rsid w:val="001F4E67"/>
    <w:rsid w:val="001F51C3"/>
    <w:rsid w:val="001F5386"/>
    <w:rsid w:val="001F53C2"/>
    <w:rsid w:val="001F544D"/>
    <w:rsid w:val="001F57B9"/>
    <w:rsid w:val="001F5B23"/>
    <w:rsid w:val="001F5C28"/>
    <w:rsid w:val="001F5C6C"/>
    <w:rsid w:val="001F5CF4"/>
    <w:rsid w:val="001F5D21"/>
    <w:rsid w:val="001F5FB2"/>
    <w:rsid w:val="001F6047"/>
    <w:rsid w:val="001F6323"/>
    <w:rsid w:val="001F663F"/>
    <w:rsid w:val="001F67B2"/>
    <w:rsid w:val="001F6859"/>
    <w:rsid w:val="001F68DF"/>
    <w:rsid w:val="001F6914"/>
    <w:rsid w:val="001F6BC3"/>
    <w:rsid w:val="001F6DFF"/>
    <w:rsid w:val="001F6FEB"/>
    <w:rsid w:val="001F72FA"/>
    <w:rsid w:val="001F73B0"/>
    <w:rsid w:val="001F73BF"/>
    <w:rsid w:val="001F73CF"/>
    <w:rsid w:val="001F74DA"/>
    <w:rsid w:val="001F74E8"/>
    <w:rsid w:val="001F7775"/>
    <w:rsid w:val="001F77D8"/>
    <w:rsid w:val="001F7907"/>
    <w:rsid w:val="001F795E"/>
    <w:rsid w:val="001F7A00"/>
    <w:rsid w:val="001F7A44"/>
    <w:rsid w:val="001F7A63"/>
    <w:rsid w:val="001F7B18"/>
    <w:rsid w:val="001F7D22"/>
    <w:rsid w:val="001F7D38"/>
    <w:rsid w:val="00200087"/>
    <w:rsid w:val="002000E6"/>
    <w:rsid w:val="00200256"/>
    <w:rsid w:val="00200311"/>
    <w:rsid w:val="00200432"/>
    <w:rsid w:val="002006B0"/>
    <w:rsid w:val="002009E0"/>
    <w:rsid w:val="00200A44"/>
    <w:rsid w:val="00200A8D"/>
    <w:rsid w:val="00200AF5"/>
    <w:rsid w:val="00200CE5"/>
    <w:rsid w:val="00200DDE"/>
    <w:rsid w:val="002012C4"/>
    <w:rsid w:val="00201323"/>
    <w:rsid w:val="002014B5"/>
    <w:rsid w:val="002014C9"/>
    <w:rsid w:val="00201CE0"/>
    <w:rsid w:val="00201DE6"/>
    <w:rsid w:val="00201E03"/>
    <w:rsid w:val="00201F13"/>
    <w:rsid w:val="0020229D"/>
    <w:rsid w:val="00202445"/>
    <w:rsid w:val="00202497"/>
    <w:rsid w:val="002024B0"/>
    <w:rsid w:val="00202A9B"/>
    <w:rsid w:val="00202FBA"/>
    <w:rsid w:val="00203121"/>
    <w:rsid w:val="00203208"/>
    <w:rsid w:val="00203659"/>
    <w:rsid w:val="002037F7"/>
    <w:rsid w:val="00203B11"/>
    <w:rsid w:val="00203B7D"/>
    <w:rsid w:val="00203C6B"/>
    <w:rsid w:val="0020404F"/>
    <w:rsid w:val="0020421C"/>
    <w:rsid w:val="00204273"/>
    <w:rsid w:val="00204364"/>
    <w:rsid w:val="00204389"/>
    <w:rsid w:val="0020440D"/>
    <w:rsid w:val="00204460"/>
    <w:rsid w:val="002046EF"/>
    <w:rsid w:val="00204714"/>
    <w:rsid w:val="0020484A"/>
    <w:rsid w:val="002048E7"/>
    <w:rsid w:val="00204962"/>
    <w:rsid w:val="00204F06"/>
    <w:rsid w:val="002050A5"/>
    <w:rsid w:val="002050E9"/>
    <w:rsid w:val="0020510B"/>
    <w:rsid w:val="00205140"/>
    <w:rsid w:val="00205141"/>
    <w:rsid w:val="0020545A"/>
    <w:rsid w:val="0020548B"/>
    <w:rsid w:val="002057A2"/>
    <w:rsid w:val="00205AFC"/>
    <w:rsid w:val="00205B1B"/>
    <w:rsid w:val="00205BF5"/>
    <w:rsid w:val="00205D67"/>
    <w:rsid w:val="00205E42"/>
    <w:rsid w:val="00205F85"/>
    <w:rsid w:val="0020606B"/>
    <w:rsid w:val="00206093"/>
    <w:rsid w:val="0020615D"/>
    <w:rsid w:val="00206197"/>
    <w:rsid w:val="002061D0"/>
    <w:rsid w:val="002062C6"/>
    <w:rsid w:val="00206384"/>
    <w:rsid w:val="002065A1"/>
    <w:rsid w:val="002065D4"/>
    <w:rsid w:val="002069C0"/>
    <w:rsid w:val="002069CD"/>
    <w:rsid w:val="00206AD4"/>
    <w:rsid w:val="00206E2A"/>
    <w:rsid w:val="002072C7"/>
    <w:rsid w:val="002072F3"/>
    <w:rsid w:val="002074AB"/>
    <w:rsid w:val="00207591"/>
    <w:rsid w:val="00207C76"/>
    <w:rsid w:val="00207D21"/>
    <w:rsid w:val="00207EE5"/>
    <w:rsid w:val="00207FC0"/>
    <w:rsid w:val="00210155"/>
    <w:rsid w:val="002101E6"/>
    <w:rsid w:val="0021023D"/>
    <w:rsid w:val="002102AE"/>
    <w:rsid w:val="00210479"/>
    <w:rsid w:val="00210660"/>
    <w:rsid w:val="00210746"/>
    <w:rsid w:val="002109FB"/>
    <w:rsid w:val="00210CAE"/>
    <w:rsid w:val="00210FBB"/>
    <w:rsid w:val="00210FFF"/>
    <w:rsid w:val="00211248"/>
    <w:rsid w:val="002112BC"/>
    <w:rsid w:val="002112FB"/>
    <w:rsid w:val="002113F7"/>
    <w:rsid w:val="00211575"/>
    <w:rsid w:val="00211665"/>
    <w:rsid w:val="00211A5D"/>
    <w:rsid w:val="00211D21"/>
    <w:rsid w:val="00211D4F"/>
    <w:rsid w:val="00211DC5"/>
    <w:rsid w:val="00211EDF"/>
    <w:rsid w:val="00212191"/>
    <w:rsid w:val="002121B1"/>
    <w:rsid w:val="0021232D"/>
    <w:rsid w:val="002123C9"/>
    <w:rsid w:val="00212434"/>
    <w:rsid w:val="00212586"/>
    <w:rsid w:val="00212905"/>
    <w:rsid w:val="00212A06"/>
    <w:rsid w:val="00212C5C"/>
    <w:rsid w:val="00212C6C"/>
    <w:rsid w:val="00212E5E"/>
    <w:rsid w:val="00213005"/>
    <w:rsid w:val="0021305C"/>
    <w:rsid w:val="002133A1"/>
    <w:rsid w:val="002133B7"/>
    <w:rsid w:val="002134E3"/>
    <w:rsid w:val="00213677"/>
    <w:rsid w:val="00213B58"/>
    <w:rsid w:val="00214108"/>
    <w:rsid w:val="0021413F"/>
    <w:rsid w:val="00214257"/>
    <w:rsid w:val="00214490"/>
    <w:rsid w:val="002147A2"/>
    <w:rsid w:val="002147CB"/>
    <w:rsid w:val="002147DF"/>
    <w:rsid w:val="00214894"/>
    <w:rsid w:val="00214A39"/>
    <w:rsid w:val="00214AA5"/>
    <w:rsid w:val="00214E90"/>
    <w:rsid w:val="00214F58"/>
    <w:rsid w:val="0021502B"/>
    <w:rsid w:val="002151F5"/>
    <w:rsid w:val="00215240"/>
    <w:rsid w:val="0021539F"/>
    <w:rsid w:val="002154CF"/>
    <w:rsid w:val="00215661"/>
    <w:rsid w:val="0021566C"/>
    <w:rsid w:val="00215724"/>
    <w:rsid w:val="00215845"/>
    <w:rsid w:val="0021596E"/>
    <w:rsid w:val="00215C10"/>
    <w:rsid w:val="00215DC2"/>
    <w:rsid w:val="00215E13"/>
    <w:rsid w:val="00216063"/>
    <w:rsid w:val="002162B3"/>
    <w:rsid w:val="0021649C"/>
    <w:rsid w:val="00216619"/>
    <w:rsid w:val="0021673A"/>
    <w:rsid w:val="00216822"/>
    <w:rsid w:val="0021690E"/>
    <w:rsid w:val="00216A60"/>
    <w:rsid w:val="00216CF5"/>
    <w:rsid w:val="00216D0E"/>
    <w:rsid w:val="00216DF0"/>
    <w:rsid w:val="00216F6A"/>
    <w:rsid w:val="00216FAE"/>
    <w:rsid w:val="0021718A"/>
    <w:rsid w:val="0021745D"/>
    <w:rsid w:val="0021761C"/>
    <w:rsid w:val="0021762B"/>
    <w:rsid w:val="0021765F"/>
    <w:rsid w:val="0021769C"/>
    <w:rsid w:val="002176CD"/>
    <w:rsid w:val="002177EB"/>
    <w:rsid w:val="0021799E"/>
    <w:rsid w:val="00217B7D"/>
    <w:rsid w:val="00217C35"/>
    <w:rsid w:val="00217F08"/>
    <w:rsid w:val="00217FF8"/>
    <w:rsid w:val="002200B2"/>
    <w:rsid w:val="002200D8"/>
    <w:rsid w:val="0022015C"/>
    <w:rsid w:val="00220195"/>
    <w:rsid w:val="00220199"/>
    <w:rsid w:val="002201F6"/>
    <w:rsid w:val="002203E9"/>
    <w:rsid w:val="002204C1"/>
    <w:rsid w:val="00220518"/>
    <w:rsid w:val="00220757"/>
    <w:rsid w:val="00220764"/>
    <w:rsid w:val="0022087E"/>
    <w:rsid w:val="00220AB3"/>
    <w:rsid w:val="00220E24"/>
    <w:rsid w:val="00220E68"/>
    <w:rsid w:val="00220F15"/>
    <w:rsid w:val="00221219"/>
    <w:rsid w:val="00221234"/>
    <w:rsid w:val="002214E1"/>
    <w:rsid w:val="0022181D"/>
    <w:rsid w:val="0022191A"/>
    <w:rsid w:val="00221AA1"/>
    <w:rsid w:val="00221B38"/>
    <w:rsid w:val="00221B63"/>
    <w:rsid w:val="00221BF2"/>
    <w:rsid w:val="00221CA1"/>
    <w:rsid w:val="00222011"/>
    <w:rsid w:val="00222065"/>
    <w:rsid w:val="002222FD"/>
    <w:rsid w:val="00222505"/>
    <w:rsid w:val="002225A7"/>
    <w:rsid w:val="002225D9"/>
    <w:rsid w:val="00222646"/>
    <w:rsid w:val="0022287D"/>
    <w:rsid w:val="0022289D"/>
    <w:rsid w:val="00222A52"/>
    <w:rsid w:val="00222CD8"/>
    <w:rsid w:val="00222EB7"/>
    <w:rsid w:val="00222FFA"/>
    <w:rsid w:val="00223547"/>
    <w:rsid w:val="002235CB"/>
    <w:rsid w:val="00223825"/>
    <w:rsid w:val="002238D0"/>
    <w:rsid w:val="00223990"/>
    <w:rsid w:val="00223C10"/>
    <w:rsid w:val="00223CDD"/>
    <w:rsid w:val="00223CF6"/>
    <w:rsid w:val="00223D94"/>
    <w:rsid w:val="00224079"/>
    <w:rsid w:val="002243D8"/>
    <w:rsid w:val="00224961"/>
    <w:rsid w:val="00224983"/>
    <w:rsid w:val="00224C64"/>
    <w:rsid w:val="00224D4D"/>
    <w:rsid w:val="00224D6C"/>
    <w:rsid w:val="00224DD1"/>
    <w:rsid w:val="00224DF3"/>
    <w:rsid w:val="00224E26"/>
    <w:rsid w:val="00224E98"/>
    <w:rsid w:val="00225128"/>
    <w:rsid w:val="00225309"/>
    <w:rsid w:val="00225392"/>
    <w:rsid w:val="002253CB"/>
    <w:rsid w:val="002254F3"/>
    <w:rsid w:val="00225558"/>
    <w:rsid w:val="002255A2"/>
    <w:rsid w:val="00225666"/>
    <w:rsid w:val="0022566C"/>
    <w:rsid w:val="0022575E"/>
    <w:rsid w:val="002257A9"/>
    <w:rsid w:val="002258B2"/>
    <w:rsid w:val="00225941"/>
    <w:rsid w:val="00225976"/>
    <w:rsid w:val="002259C5"/>
    <w:rsid w:val="00225A23"/>
    <w:rsid w:val="00225A6A"/>
    <w:rsid w:val="00225B10"/>
    <w:rsid w:val="00225C0A"/>
    <w:rsid w:val="00225C47"/>
    <w:rsid w:val="00225DB1"/>
    <w:rsid w:val="00225DC3"/>
    <w:rsid w:val="00225E36"/>
    <w:rsid w:val="00225E6D"/>
    <w:rsid w:val="00225FC1"/>
    <w:rsid w:val="00226075"/>
    <w:rsid w:val="00226486"/>
    <w:rsid w:val="002266D0"/>
    <w:rsid w:val="00226702"/>
    <w:rsid w:val="00226740"/>
    <w:rsid w:val="0022686D"/>
    <w:rsid w:val="00226917"/>
    <w:rsid w:val="00226A36"/>
    <w:rsid w:val="00226B00"/>
    <w:rsid w:val="00226B97"/>
    <w:rsid w:val="00226D10"/>
    <w:rsid w:val="00226DAE"/>
    <w:rsid w:val="00226E6B"/>
    <w:rsid w:val="0022715E"/>
    <w:rsid w:val="0022730B"/>
    <w:rsid w:val="0022730C"/>
    <w:rsid w:val="002274D3"/>
    <w:rsid w:val="0022786A"/>
    <w:rsid w:val="00227B87"/>
    <w:rsid w:val="00227BD3"/>
    <w:rsid w:val="00227D3C"/>
    <w:rsid w:val="0023044E"/>
    <w:rsid w:val="00230468"/>
    <w:rsid w:val="00230497"/>
    <w:rsid w:val="002304A7"/>
    <w:rsid w:val="002306A6"/>
    <w:rsid w:val="002307A2"/>
    <w:rsid w:val="002307AA"/>
    <w:rsid w:val="00230A31"/>
    <w:rsid w:val="00230A5C"/>
    <w:rsid w:val="00230B55"/>
    <w:rsid w:val="00230E78"/>
    <w:rsid w:val="00230FF6"/>
    <w:rsid w:val="0023126A"/>
    <w:rsid w:val="002313EE"/>
    <w:rsid w:val="0023141D"/>
    <w:rsid w:val="00231420"/>
    <w:rsid w:val="002314E6"/>
    <w:rsid w:val="002317A7"/>
    <w:rsid w:val="00231A51"/>
    <w:rsid w:val="00231B69"/>
    <w:rsid w:val="00231E10"/>
    <w:rsid w:val="00231F57"/>
    <w:rsid w:val="002322AF"/>
    <w:rsid w:val="0023233D"/>
    <w:rsid w:val="0023250F"/>
    <w:rsid w:val="002326B9"/>
    <w:rsid w:val="002327AB"/>
    <w:rsid w:val="00232901"/>
    <w:rsid w:val="00232BA5"/>
    <w:rsid w:val="00232BE1"/>
    <w:rsid w:val="00232C7F"/>
    <w:rsid w:val="00232FE5"/>
    <w:rsid w:val="00232FEA"/>
    <w:rsid w:val="00233069"/>
    <w:rsid w:val="00233084"/>
    <w:rsid w:val="0023336F"/>
    <w:rsid w:val="002334F3"/>
    <w:rsid w:val="0023358A"/>
    <w:rsid w:val="00233819"/>
    <w:rsid w:val="00233A5B"/>
    <w:rsid w:val="00233ACB"/>
    <w:rsid w:val="00233D41"/>
    <w:rsid w:val="00233D56"/>
    <w:rsid w:val="00233E94"/>
    <w:rsid w:val="00233EBD"/>
    <w:rsid w:val="00233FD5"/>
    <w:rsid w:val="00233FFB"/>
    <w:rsid w:val="002340CA"/>
    <w:rsid w:val="0023477E"/>
    <w:rsid w:val="00234783"/>
    <w:rsid w:val="00234986"/>
    <w:rsid w:val="00234BF5"/>
    <w:rsid w:val="00234C1D"/>
    <w:rsid w:val="0023533A"/>
    <w:rsid w:val="00235430"/>
    <w:rsid w:val="00235492"/>
    <w:rsid w:val="0023570A"/>
    <w:rsid w:val="00235783"/>
    <w:rsid w:val="0023578E"/>
    <w:rsid w:val="0023587E"/>
    <w:rsid w:val="0023588E"/>
    <w:rsid w:val="002358A4"/>
    <w:rsid w:val="002359AC"/>
    <w:rsid w:val="00235A0F"/>
    <w:rsid w:val="00235A5F"/>
    <w:rsid w:val="00235B01"/>
    <w:rsid w:val="00235C85"/>
    <w:rsid w:val="00235D0B"/>
    <w:rsid w:val="00235D1C"/>
    <w:rsid w:val="00235D3C"/>
    <w:rsid w:val="00235D74"/>
    <w:rsid w:val="0023607C"/>
    <w:rsid w:val="0023615D"/>
    <w:rsid w:val="0023622E"/>
    <w:rsid w:val="00236508"/>
    <w:rsid w:val="0023659B"/>
    <w:rsid w:val="00236754"/>
    <w:rsid w:val="00236AF1"/>
    <w:rsid w:val="00236AFF"/>
    <w:rsid w:val="00236BBD"/>
    <w:rsid w:val="00236C1D"/>
    <w:rsid w:val="00236C53"/>
    <w:rsid w:val="00236CF3"/>
    <w:rsid w:val="00236E5F"/>
    <w:rsid w:val="0023720B"/>
    <w:rsid w:val="002373E2"/>
    <w:rsid w:val="002374CA"/>
    <w:rsid w:val="00237548"/>
    <w:rsid w:val="0023765B"/>
    <w:rsid w:val="00237821"/>
    <w:rsid w:val="002378ED"/>
    <w:rsid w:val="00237943"/>
    <w:rsid w:val="00237AB8"/>
    <w:rsid w:val="00237BFC"/>
    <w:rsid w:val="00237D3E"/>
    <w:rsid w:val="00237D4B"/>
    <w:rsid w:val="00237D56"/>
    <w:rsid w:val="00237E2D"/>
    <w:rsid w:val="00240081"/>
    <w:rsid w:val="00240431"/>
    <w:rsid w:val="00240550"/>
    <w:rsid w:val="002405E7"/>
    <w:rsid w:val="0024076E"/>
    <w:rsid w:val="002407B9"/>
    <w:rsid w:val="002408C9"/>
    <w:rsid w:val="00240924"/>
    <w:rsid w:val="00240967"/>
    <w:rsid w:val="00240A00"/>
    <w:rsid w:val="00240B0D"/>
    <w:rsid w:val="00240B42"/>
    <w:rsid w:val="00240B69"/>
    <w:rsid w:val="00240C35"/>
    <w:rsid w:val="00240DC5"/>
    <w:rsid w:val="00240EBC"/>
    <w:rsid w:val="00240F09"/>
    <w:rsid w:val="00241267"/>
    <w:rsid w:val="002412BF"/>
    <w:rsid w:val="00241363"/>
    <w:rsid w:val="0024143B"/>
    <w:rsid w:val="002414A0"/>
    <w:rsid w:val="00241661"/>
    <w:rsid w:val="00241791"/>
    <w:rsid w:val="002417A0"/>
    <w:rsid w:val="002417CD"/>
    <w:rsid w:val="00241894"/>
    <w:rsid w:val="00241A84"/>
    <w:rsid w:val="00241ADF"/>
    <w:rsid w:val="00241BE8"/>
    <w:rsid w:val="00241C41"/>
    <w:rsid w:val="00241D06"/>
    <w:rsid w:val="00241D13"/>
    <w:rsid w:val="00241F63"/>
    <w:rsid w:val="00242148"/>
    <w:rsid w:val="002421EB"/>
    <w:rsid w:val="0024229B"/>
    <w:rsid w:val="00242471"/>
    <w:rsid w:val="002424FC"/>
    <w:rsid w:val="002427B1"/>
    <w:rsid w:val="002428B0"/>
    <w:rsid w:val="002428C8"/>
    <w:rsid w:val="0024298A"/>
    <w:rsid w:val="00242C2F"/>
    <w:rsid w:val="00242C90"/>
    <w:rsid w:val="00242E86"/>
    <w:rsid w:val="00242FC4"/>
    <w:rsid w:val="00243078"/>
    <w:rsid w:val="0024329E"/>
    <w:rsid w:val="002432F4"/>
    <w:rsid w:val="002434DA"/>
    <w:rsid w:val="002434EF"/>
    <w:rsid w:val="0024354C"/>
    <w:rsid w:val="00243732"/>
    <w:rsid w:val="002437F2"/>
    <w:rsid w:val="00243823"/>
    <w:rsid w:val="00243D88"/>
    <w:rsid w:val="00243F68"/>
    <w:rsid w:val="002440B6"/>
    <w:rsid w:val="00244104"/>
    <w:rsid w:val="00244377"/>
    <w:rsid w:val="00244407"/>
    <w:rsid w:val="002447BB"/>
    <w:rsid w:val="00244C61"/>
    <w:rsid w:val="00244CCF"/>
    <w:rsid w:val="00244E54"/>
    <w:rsid w:val="00244ED9"/>
    <w:rsid w:val="00244F22"/>
    <w:rsid w:val="00244F28"/>
    <w:rsid w:val="00244FCE"/>
    <w:rsid w:val="002453FD"/>
    <w:rsid w:val="002454DD"/>
    <w:rsid w:val="00245617"/>
    <w:rsid w:val="0024565C"/>
    <w:rsid w:val="00245732"/>
    <w:rsid w:val="0024580A"/>
    <w:rsid w:val="00245B2F"/>
    <w:rsid w:val="00245BF1"/>
    <w:rsid w:val="00245D31"/>
    <w:rsid w:val="00245D7C"/>
    <w:rsid w:val="00245EE6"/>
    <w:rsid w:val="00245FD4"/>
    <w:rsid w:val="002467C2"/>
    <w:rsid w:val="002468CD"/>
    <w:rsid w:val="00246C24"/>
    <w:rsid w:val="00246D48"/>
    <w:rsid w:val="00246FAC"/>
    <w:rsid w:val="00246FAF"/>
    <w:rsid w:val="00247072"/>
    <w:rsid w:val="0024722C"/>
    <w:rsid w:val="002474FF"/>
    <w:rsid w:val="002479A7"/>
    <w:rsid w:val="002479E0"/>
    <w:rsid w:val="00247A3C"/>
    <w:rsid w:val="00247B23"/>
    <w:rsid w:val="00247E2F"/>
    <w:rsid w:val="00247E3D"/>
    <w:rsid w:val="00247F35"/>
    <w:rsid w:val="00247F83"/>
    <w:rsid w:val="002500CE"/>
    <w:rsid w:val="002503BD"/>
    <w:rsid w:val="00250513"/>
    <w:rsid w:val="0025067F"/>
    <w:rsid w:val="00250701"/>
    <w:rsid w:val="0025070B"/>
    <w:rsid w:val="00250745"/>
    <w:rsid w:val="0025077B"/>
    <w:rsid w:val="0025092A"/>
    <w:rsid w:val="00250986"/>
    <w:rsid w:val="00250A7F"/>
    <w:rsid w:val="00250A85"/>
    <w:rsid w:val="00250C18"/>
    <w:rsid w:val="00250E10"/>
    <w:rsid w:val="00250E25"/>
    <w:rsid w:val="00250E67"/>
    <w:rsid w:val="00250EC0"/>
    <w:rsid w:val="00250EEA"/>
    <w:rsid w:val="002513D8"/>
    <w:rsid w:val="002513F5"/>
    <w:rsid w:val="002513F8"/>
    <w:rsid w:val="0025148C"/>
    <w:rsid w:val="0025149F"/>
    <w:rsid w:val="002515DF"/>
    <w:rsid w:val="00251695"/>
    <w:rsid w:val="00251754"/>
    <w:rsid w:val="002517D6"/>
    <w:rsid w:val="00251C4F"/>
    <w:rsid w:val="00251DC9"/>
    <w:rsid w:val="00251F20"/>
    <w:rsid w:val="00251F83"/>
    <w:rsid w:val="00251F90"/>
    <w:rsid w:val="0025213D"/>
    <w:rsid w:val="002521C0"/>
    <w:rsid w:val="002522D6"/>
    <w:rsid w:val="002525EB"/>
    <w:rsid w:val="002526BD"/>
    <w:rsid w:val="00252765"/>
    <w:rsid w:val="00252833"/>
    <w:rsid w:val="00252918"/>
    <w:rsid w:val="00252933"/>
    <w:rsid w:val="00252943"/>
    <w:rsid w:val="00252B4F"/>
    <w:rsid w:val="00252B5E"/>
    <w:rsid w:val="00252BD4"/>
    <w:rsid w:val="00252C33"/>
    <w:rsid w:val="00252C7C"/>
    <w:rsid w:val="00252E1F"/>
    <w:rsid w:val="00252F86"/>
    <w:rsid w:val="0025303F"/>
    <w:rsid w:val="002530C9"/>
    <w:rsid w:val="00253236"/>
    <w:rsid w:val="00253253"/>
    <w:rsid w:val="00253359"/>
    <w:rsid w:val="0025345D"/>
    <w:rsid w:val="0025346F"/>
    <w:rsid w:val="002534D2"/>
    <w:rsid w:val="00253591"/>
    <w:rsid w:val="002537E9"/>
    <w:rsid w:val="002538C2"/>
    <w:rsid w:val="00253A80"/>
    <w:rsid w:val="00253AF5"/>
    <w:rsid w:val="00253B28"/>
    <w:rsid w:val="00253BBB"/>
    <w:rsid w:val="00253C2C"/>
    <w:rsid w:val="00253FA1"/>
    <w:rsid w:val="002540E8"/>
    <w:rsid w:val="002540F2"/>
    <w:rsid w:val="0025411C"/>
    <w:rsid w:val="00254414"/>
    <w:rsid w:val="00254476"/>
    <w:rsid w:val="002544C0"/>
    <w:rsid w:val="00254AEB"/>
    <w:rsid w:val="00254BFE"/>
    <w:rsid w:val="00254C92"/>
    <w:rsid w:val="00254D03"/>
    <w:rsid w:val="00254D19"/>
    <w:rsid w:val="00254E82"/>
    <w:rsid w:val="00254F9A"/>
    <w:rsid w:val="00254FB8"/>
    <w:rsid w:val="0025512C"/>
    <w:rsid w:val="0025517F"/>
    <w:rsid w:val="002551A0"/>
    <w:rsid w:val="0025522D"/>
    <w:rsid w:val="002556A6"/>
    <w:rsid w:val="002556A8"/>
    <w:rsid w:val="00255897"/>
    <w:rsid w:val="00255BAB"/>
    <w:rsid w:val="00255CD2"/>
    <w:rsid w:val="00255FD0"/>
    <w:rsid w:val="002561B3"/>
    <w:rsid w:val="002563A6"/>
    <w:rsid w:val="00256533"/>
    <w:rsid w:val="002566B1"/>
    <w:rsid w:val="00256A42"/>
    <w:rsid w:val="00256A6E"/>
    <w:rsid w:val="00256BD2"/>
    <w:rsid w:val="00256C6C"/>
    <w:rsid w:val="00256CFF"/>
    <w:rsid w:val="00256D12"/>
    <w:rsid w:val="00256E8D"/>
    <w:rsid w:val="00256EAB"/>
    <w:rsid w:val="00257001"/>
    <w:rsid w:val="0025727A"/>
    <w:rsid w:val="0025737F"/>
    <w:rsid w:val="0025753E"/>
    <w:rsid w:val="002575C1"/>
    <w:rsid w:val="002575C2"/>
    <w:rsid w:val="00257612"/>
    <w:rsid w:val="002576F8"/>
    <w:rsid w:val="0025770E"/>
    <w:rsid w:val="00257794"/>
    <w:rsid w:val="00257847"/>
    <w:rsid w:val="0025794F"/>
    <w:rsid w:val="00257AB3"/>
    <w:rsid w:val="00257FEC"/>
    <w:rsid w:val="0026002C"/>
    <w:rsid w:val="0026019B"/>
    <w:rsid w:val="0026023E"/>
    <w:rsid w:val="002605DB"/>
    <w:rsid w:val="002606AB"/>
    <w:rsid w:val="00260787"/>
    <w:rsid w:val="002608F5"/>
    <w:rsid w:val="0026094C"/>
    <w:rsid w:val="00260F8B"/>
    <w:rsid w:val="00261504"/>
    <w:rsid w:val="00261534"/>
    <w:rsid w:val="00261568"/>
    <w:rsid w:val="00261A3E"/>
    <w:rsid w:val="00261AC8"/>
    <w:rsid w:val="00261ACD"/>
    <w:rsid w:val="00261B20"/>
    <w:rsid w:val="00261B4D"/>
    <w:rsid w:val="00261C82"/>
    <w:rsid w:val="00261DDB"/>
    <w:rsid w:val="00261E37"/>
    <w:rsid w:val="00261FE0"/>
    <w:rsid w:val="00262218"/>
    <w:rsid w:val="00262605"/>
    <w:rsid w:val="0026271B"/>
    <w:rsid w:val="00262993"/>
    <w:rsid w:val="00262B34"/>
    <w:rsid w:val="00262C4F"/>
    <w:rsid w:val="00262C8C"/>
    <w:rsid w:val="00262E7C"/>
    <w:rsid w:val="00263019"/>
    <w:rsid w:val="00263092"/>
    <w:rsid w:val="0026315C"/>
    <w:rsid w:val="0026337E"/>
    <w:rsid w:val="002633CF"/>
    <w:rsid w:val="0026341E"/>
    <w:rsid w:val="00263462"/>
    <w:rsid w:val="0026352B"/>
    <w:rsid w:val="00263A47"/>
    <w:rsid w:val="00263C6D"/>
    <w:rsid w:val="00263E57"/>
    <w:rsid w:val="00263F29"/>
    <w:rsid w:val="0026411B"/>
    <w:rsid w:val="002642A4"/>
    <w:rsid w:val="002642E0"/>
    <w:rsid w:val="00264417"/>
    <w:rsid w:val="00264423"/>
    <w:rsid w:val="002645E6"/>
    <w:rsid w:val="0026489C"/>
    <w:rsid w:val="002649C7"/>
    <w:rsid w:val="002649FD"/>
    <w:rsid w:val="00264B05"/>
    <w:rsid w:val="00264C57"/>
    <w:rsid w:val="00264CC1"/>
    <w:rsid w:val="00264CFD"/>
    <w:rsid w:val="00264E43"/>
    <w:rsid w:val="0026501F"/>
    <w:rsid w:val="00265291"/>
    <w:rsid w:val="00265388"/>
    <w:rsid w:val="00265472"/>
    <w:rsid w:val="00265714"/>
    <w:rsid w:val="0026572C"/>
    <w:rsid w:val="00265750"/>
    <w:rsid w:val="00265847"/>
    <w:rsid w:val="002658AC"/>
    <w:rsid w:val="0026592C"/>
    <w:rsid w:val="00265BA6"/>
    <w:rsid w:val="00265D75"/>
    <w:rsid w:val="00266021"/>
    <w:rsid w:val="00266186"/>
    <w:rsid w:val="00266285"/>
    <w:rsid w:val="002665D5"/>
    <w:rsid w:val="00266696"/>
    <w:rsid w:val="0026672B"/>
    <w:rsid w:val="00266748"/>
    <w:rsid w:val="00266901"/>
    <w:rsid w:val="00266BBE"/>
    <w:rsid w:val="00266BCE"/>
    <w:rsid w:val="00266C44"/>
    <w:rsid w:val="00266D9F"/>
    <w:rsid w:val="00266DBF"/>
    <w:rsid w:val="00266FA0"/>
    <w:rsid w:val="00267003"/>
    <w:rsid w:val="0026716A"/>
    <w:rsid w:val="00267325"/>
    <w:rsid w:val="002673F5"/>
    <w:rsid w:val="0026744D"/>
    <w:rsid w:val="00267531"/>
    <w:rsid w:val="0026757A"/>
    <w:rsid w:val="00267583"/>
    <w:rsid w:val="00267760"/>
    <w:rsid w:val="002677A1"/>
    <w:rsid w:val="00267964"/>
    <w:rsid w:val="00267B79"/>
    <w:rsid w:val="00267C19"/>
    <w:rsid w:val="00267F6F"/>
    <w:rsid w:val="002700A3"/>
    <w:rsid w:val="0027018F"/>
    <w:rsid w:val="00270334"/>
    <w:rsid w:val="00270352"/>
    <w:rsid w:val="002703E2"/>
    <w:rsid w:val="002703EA"/>
    <w:rsid w:val="002706B7"/>
    <w:rsid w:val="0027073B"/>
    <w:rsid w:val="002707A5"/>
    <w:rsid w:val="002707B5"/>
    <w:rsid w:val="00270897"/>
    <w:rsid w:val="002709B5"/>
    <w:rsid w:val="00270A11"/>
    <w:rsid w:val="00270A85"/>
    <w:rsid w:val="00270EE1"/>
    <w:rsid w:val="00270F1D"/>
    <w:rsid w:val="0027108B"/>
    <w:rsid w:val="00271861"/>
    <w:rsid w:val="0027196B"/>
    <w:rsid w:val="002719B2"/>
    <w:rsid w:val="00271ADC"/>
    <w:rsid w:val="00271B16"/>
    <w:rsid w:val="00271B86"/>
    <w:rsid w:val="00271C80"/>
    <w:rsid w:val="00271D47"/>
    <w:rsid w:val="0027235A"/>
    <w:rsid w:val="0027258C"/>
    <w:rsid w:val="002727C7"/>
    <w:rsid w:val="0027292F"/>
    <w:rsid w:val="002729E7"/>
    <w:rsid w:val="002729F5"/>
    <w:rsid w:val="00272A2F"/>
    <w:rsid w:val="00272A32"/>
    <w:rsid w:val="00272A48"/>
    <w:rsid w:val="00272E29"/>
    <w:rsid w:val="00272EB2"/>
    <w:rsid w:val="00272F18"/>
    <w:rsid w:val="00272F76"/>
    <w:rsid w:val="00272F91"/>
    <w:rsid w:val="0027324C"/>
    <w:rsid w:val="0027336E"/>
    <w:rsid w:val="0027346A"/>
    <w:rsid w:val="002735A5"/>
    <w:rsid w:val="002736C5"/>
    <w:rsid w:val="0027381D"/>
    <w:rsid w:val="00273886"/>
    <w:rsid w:val="00273989"/>
    <w:rsid w:val="00273B04"/>
    <w:rsid w:val="00273DAE"/>
    <w:rsid w:val="0027416F"/>
    <w:rsid w:val="002743F3"/>
    <w:rsid w:val="0027461A"/>
    <w:rsid w:val="00274743"/>
    <w:rsid w:val="00274957"/>
    <w:rsid w:val="00274B3A"/>
    <w:rsid w:val="00274D64"/>
    <w:rsid w:val="002750D7"/>
    <w:rsid w:val="00275192"/>
    <w:rsid w:val="00275444"/>
    <w:rsid w:val="0027544F"/>
    <w:rsid w:val="002757E8"/>
    <w:rsid w:val="002759A0"/>
    <w:rsid w:val="00275BA9"/>
    <w:rsid w:val="00275D2A"/>
    <w:rsid w:val="00275E0C"/>
    <w:rsid w:val="002761A2"/>
    <w:rsid w:val="002761C3"/>
    <w:rsid w:val="0027646E"/>
    <w:rsid w:val="002764D5"/>
    <w:rsid w:val="0027686F"/>
    <w:rsid w:val="00276904"/>
    <w:rsid w:val="00276A1C"/>
    <w:rsid w:val="00276A49"/>
    <w:rsid w:val="00276A73"/>
    <w:rsid w:val="00276B15"/>
    <w:rsid w:val="00276C0C"/>
    <w:rsid w:val="00276C5C"/>
    <w:rsid w:val="00276D7B"/>
    <w:rsid w:val="00276E1D"/>
    <w:rsid w:val="0027712F"/>
    <w:rsid w:val="002772FE"/>
    <w:rsid w:val="0027736F"/>
    <w:rsid w:val="0027747D"/>
    <w:rsid w:val="002774CB"/>
    <w:rsid w:val="00277569"/>
    <w:rsid w:val="002775D2"/>
    <w:rsid w:val="0027775A"/>
    <w:rsid w:val="00277787"/>
    <w:rsid w:val="0027785B"/>
    <w:rsid w:val="00277963"/>
    <w:rsid w:val="00277CD5"/>
    <w:rsid w:val="00277DCC"/>
    <w:rsid w:val="00277E80"/>
    <w:rsid w:val="00277EED"/>
    <w:rsid w:val="0028005E"/>
    <w:rsid w:val="00280192"/>
    <w:rsid w:val="00280218"/>
    <w:rsid w:val="0028039D"/>
    <w:rsid w:val="00280473"/>
    <w:rsid w:val="002804F4"/>
    <w:rsid w:val="00280625"/>
    <w:rsid w:val="0028077E"/>
    <w:rsid w:val="00280A27"/>
    <w:rsid w:val="00280BF3"/>
    <w:rsid w:val="00280C5F"/>
    <w:rsid w:val="00280F0D"/>
    <w:rsid w:val="002811AE"/>
    <w:rsid w:val="002812EC"/>
    <w:rsid w:val="002812EF"/>
    <w:rsid w:val="0028134F"/>
    <w:rsid w:val="002813A3"/>
    <w:rsid w:val="00281693"/>
    <w:rsid w:val="002816A9"/>
    <w:rsid w:val="00281A3E"/>
    <w:rsid w:val="00281AA8"/>
    <w:rsid w:val="00281D94"/>
    <w:rsid w:val="00281DD8"/>
    <w:rsid w:val="0028205A"/>
    <w:rsid w:val="002820F6"/>
    <w:rsid w:val="002821FA"/>
    <w:rsid w:val="0028269A"/>
    <w:rsid w:val="00282916"/>
    <w:rsid w:val="00282A2A"/>
    <w:rsid w:val="00282C17"/>
    <w:rsid w:val="00282EFD"/>
    <w:rsid w:val="00282FAD"/>
    <w:rsid w:val="0028303D"/>
    <w:rsid w:val="0028316D"/>
    <w:rsid w:val="00283264"/>
    <w:rsid w:val="00283517"/>
    <w:rsid w:val="0028354D"/>
    <w:rsid w:val="0028380B"/>
    <w:rsid w:val="00283982"/>
    <w:rsid w:val="00283A55"/>
    <w:rsid w:val="00283BC9"/>
    <w:rsid w:val="00283BCE"/>
    <w:rsid w:val="00283CE1"/>
    <w:rsid w:val="00283E9F"/>
    <w:rsid w:val="002842EA"/>
    <w:rsid w:val="002843AA"/>
    <w:rsid w:val="002846EC"/>
    <w:rsid w:val="002849AE"/>
    <w:rsid w:val="002849AF"/>
    <w:rsid w:val="00284AAE"/>
    <w:rsid w:val="00284C0E"/>
    <w:rsid w:val="00284C77"/>
    <w:rsid w:val="00284DD1"/>
    <w:rsid w:val="00284EFA"/>
    <w:rsid w:val="00284FD5"/>
    <w:rsid w:val="0028517A"/>
    <w:rsid w:val="00285190"/>
    <w:rsid w:val="00285253"/>
    <w:rsid w:val="002852A1"/>
    <w:rsid w:val="002852B2"/>
    <w:rsid w:val="002857E9"/>
    <w:rsid w:val="00285857"/>
    <w:rsid w:val="00285C86"/>
    <w:rsid w:val="00285E81"/>
    <w:rsid w:val="00286338"/>
    <w:rsid w:val="00286575"/>
    <w:rsid w:val="00286736"/>
    <w:rsid w:val="00286A63"/>
    <w:rsid w:val="00286A7E"/>
    <w:rsid w:val="00286C37"/>
    <w:rsid w:val="00286DA0"/>
    <w:rsid w:val="00286F21"/>
    <w:rsid w:val="00287035"/>
    <w:rsid w:val="002875E8"/>
    <w:rsid w:val="002875F9"/>
    <w:rsid w:val="00287637"/>
    <w:rsid w:val="00287696"/>
    <w:rsid w:val="002876E7"/>
    <w:rsid w:val="0028776E"/>
    <w:rsid w:val="002878ED"/>
    <w:rsid w:val="00287A4A"/>
    <w:rsid w:val="00287B3B"/>
    <w:rsid w:val="00287E32"/>
    <w:rsid w:val="0029004D"/>
    <w:rsid w:val="002901AF"/>
    <w:rsid w:val="0029047A"/>
    <w:rsid w:val="0029047D"/>
    <w:rsid w:val="0029053A"/>
    <w:rsid w:val="00290869"/>
    <w:rsid w:val="002908E9"/>
    <w:rsid w:val="002908FF"/>
    <w:rsid w:val="0029092B"/>
    <w:rsid w:val="00290D61"/>
    <w:rsid w:val="00290E00"/>
    <w:rsid w:val="00290E5B"/>
    <w:rsid w:val="00290FAB"/>
    <w:rsid w:val="00290FC1"/>
    <w:rsid w:val="0029102F"/>
    <w:rsid w:val="0029104A"/>
    <w:rsid w:val="00291089"/>
    <w:rsid w:val="002910A5"/>
    <w:rsid w:val="00291205"/>
    <w:rsid w:val="0029124A"/>
    <w:rsid w:val="002916D8"/>
    <w:rsid w:val="00291753"/>
    <w:rsid w:val="0029198C"/>
    <w:rsid w:val="0029199B"/>
    <w:rsid w:val="00291A0E"/>
    <w:rsid w:val="00291B86"/>
    <w:rsid w:val="00291C6C"/>
    <w:rsid w:val="00291CBA"/>
    <w:rsid w:val="00291D2C"/>
    <w:rsid w:val="00291E0E"/>
    <w:rsid w:val="00291E2E"/>
    <w:rsid w:val="00291E6D"/>
    <w:rsid w:val="00292058"/>
    <w:rsid w:val="002920B1"/>
    <w:rsid w:val="00292291"/>
    <w:rsid w:val="0029235C"/>
    <w:rsid w:val="00292407"/>
    <w:rsid w:val="002925FE"/>
    <w:rsid w:val="00292647"/>
    <w:rsid w:val="00292660"/>
    <w:rsid w:val="002927F7"/>
    <w:rsid w:val="0029288B"/>
    <w:rsid w:val="00292AAD"/>
    <w:rsid w:val="00292B00"/>
    <w:rsid w:val="00292B61"/>
    <w:rsid w:val="00292C04"/>
    <w:rsid w:val="00292FEB"/>
    <w:rsid w:val="0029308F"/>
    <w:rsid w:val="0029318C"/>
    <w:rsid w:val="002931D0"/>
    <w:rsid w:val="002932D4"/>
    <w:rsid w:val="00293454"/>
    <w:rsid w:val="002935C9"/>
    <w:rsid w:val="00293796"/>
    <w:rsid w:val="00293913"/>
    <w:rsid w:val="00293B6A"/>
    <w:rsid w:val="00293BCB"/>
    <w:rsid w:val="00293C2B"/>
    <w:rsid w:val="00293C66"/>
    <w:rsid w:val="00293CA4"/>
    <w:rsid w:val="00293D4F"/>
    <w:rsid w:val="00293DE4"/>
    <w:rsid w:val="0029401A"/>
    <w:rsid w:val="002941A5"/>
    <w:rsid w:val="0029439C"/>
    <w:rsid w:val="00294566"/>
    <w:rsid w:val="00294616"/>
    <w:rsid w:val="00294779"/>
    <w:rsid w:val="002947AB"/>
    <w:rsid w:val="0029494F"/>
    <w:rsid w:val="00295014"/>
    <w:rsid w:val="00295052"/>
    <w:rsid w:val="0029518C"/>
    <w:rsid w:val="002955A6"/>
    <w:rsid w:val="002955D7"/>
    <w:rsid w:val="00295615"/>
    <w:rsid w:val="00295BF8"/>
    <w:rsid w:val="00295DC5"/>
    <w:rsid w:val="00295EFF"/>
    <w:rsid w:val="0029609D"/>
    <w:rsid w:val="002960C4"/>
    <w:rsid w:val="00296166"/>
    <w:rsid w:val="00296173"/>
    <w:rsid w:val="0029624B"/>
    <w:rsid w:val="002964CD"/>
    <w:rsid w:val="0029658C"/>
    <w:rsid w:val="0029663D"/>
    <w:rsid w:val="00296875"/>
    <w:rsid w:val="00296A1C"/>
    <w:rsid w:val="00296DF2"/>
    <w:rsid w:val="00296ED8"/>
    <w:rsid w:val="00296F3A"/>
    <w:rsid w:val="00296FC1"/>
    <w:rsid w:val="0029759B"/>
    <w:rsid w:val="002975E8"/>
    <w:rsid w:val="0029763F"/>
    <w:rsid w:val="0029783C"/>
    <w:rsid w:val="00297883"/>
    <w:rsid w:val="00297BA6"/>
    <w:rsid w:val="00297D9F"/>
    <w:rsid w:val="002A003D"/>
    <w:rsid w:val="002A013C"/>
    <w:rsid w:val="002A023D"/>
    <w:rsid w:val="002A07E7"/>
    <w:rsid w:val="002A09B6"/>
    <w:rsid w:val="002A0A35"/>
    <w:rsid w:val="002A0B1C"/>
    <w:rsid w:val="002A0B41"/>
    <w:rsid w:val="002A0B48"/>
    <w:rsid w:val="002A0C3F"/>
    <w:rsid w:val="002A0CE0"/>
    <w:rsid w:val="002A0E7D"/>
    <w:rsid w:val="002A0E92"/>
    <w:rsid w:val="002A10E0"/>
    <w:rsid w:val="002A1117"/>
    <w:rsid w:val="002A126E"/>
    <w:rsid w:val="002A1349"/>
    <w:rsid w:val="002A14D0"/>
    <w:rsid w:val="002A1504"/>
    <w:rsid w:val="002A179E"/>
    <w:rsid w:val="002A17B9"/>
    <w:rsid w:val="002A182E"/>
    <w:rsid w:val="002A1916"/>
    <w:rsid w:val="002A1B03"/>
    <w:rsid w:val="002A1CCA"/>
    <w:rsid w:val="002A1DCA"/>
    <w:rsid w:val="002A20E4"/>
    <w:rsid w:val="002A21C9"/>
    <w:rsid w:val="002A2329"/>
    <w:rsid w:val="002A2592"/>
    <w:rsid w:val="002A2820"/>
    <w:rsid w:val="002A288C"/>
    <w:rsid w:val="002A2A04"/>
    <w:rsid w:val="002A2C2E"/>
    <w:rsid w:val="002A2C30"/>
    <w:rsid w:val="002A2D8C"/>
    <w:rsid w:val="002A3073"/>
    <w:rsid w:val="002A328C"/>
    <w:rsid w:val="002A32A0"/>
    <w:rsid w:val="002A32B5"/>
    <w:rsid w:val="002A332E"/>
    <w:rsid w:val="002A3421"/>
    <w:rsid w:val="002A34B2"/>
    <w:rsid w:val="002A35D1"/>
    <w:rsid w:val="002A35D4"/>
    <w:rsid w:val="002A360E"/>
    <w:rsid w:val="002A361F"/>
    <w:rsid w:val="002A3BC8"/>
    <w:rsid w:val="002A3EC0"/>
    <w:rsid w:val="002A3EFA"/>
    <w:rsid w:val="002A407A"/>
    <w:rsid w:val="002A417D"/>
    <w:rsid w:val="002A427B"/>
    <w:rsid w:val="002A443F"/>
    <w:rsid w:val="002A4481"/>
    <w:rsid w:val="002A44DB"/>
    <w:rsid w:val="002A46E1"/>
    <w:rsid w:val="002A484D"/>
    <w:rsid w:val="002A4CF4"/>
    <w:rsid w:val="002A4DFB"/>
    <w:rsid w:val="002A4EB5"/>
    <w:rsid w:val="002A4F9A"/>
    <w:rsid w:val="002A51B5"/>
    <w:rsid w:val="002A53D8"/>
    <w:rsid w:val="002A556C"/>
    <w:rsid w:val="002A55DD"/>
    <w:rsid w:val="002A56A1"/>
    <w:rsid w:val="002A56F9"/>
    <w:rsid w:val="002A573A"/>
    <w:rsid w:val="002A596E"/>
    <w:rsid w:val="002A5A6A"/>
    <w:rsid w:val="002A5BDF"/>
    <w:rsid w:val="002A5BF9"/>
    <w:rsid w:val="002A5D4D"/>
    <w:rsid w:val="002A5D74"/>
    <w:rsid w:val="002A5EB8"/>
    <w:rsid w:val="002A5F62"/>
    <w:rsid w:val="002A609C"/>
    <w:rsid w:val="002A61A2"/>
    <w:rsid w:val="002A62D7"/>
    <w:rsid w:val="002A6591"/>
    <w:rsid w:val="002A668D"/>
    <w:rsid w:val="002A688F"/>
    <w:rsid w:val="002A68FD"/>
    <w:rsid w:val="002A68FE"/>
    <w:rsid w:val="002A69C1"/>
    <w:rsid w:val="002A6A0E"/>
    <w:rsid w:val="002A6AD7"/>
    <w:rsid w:val="002A6CB6"/>
    <w:rsid w:val="002A704B"/>
    <w:rsid w:val="002A70A7"/>
    <w:rsid w:val="002A70F3"/>
    <w:rsid w:val="002A713B"/>
    <w:rsid w:val="002A71F6"/>
    <w:rsid w:val="002A7264"/>
    <w:rsid w:val="002A72CF"/>
    <w:rsid w:val="002A7383"/>
    <w:rsid w:val="002A738C"/>
    <w:rsid w:val="002A73A4"/>
    <w:rsid w:val="002A73F8"/>
    <w:rsid w:val="002A7550"/>
    <w:rsid w:val="002A7570"/>
    <w:rsid w:val="002A75E8"/>
    <w:rsid w:val="002A7644"/>
    <w:rsid w:val="002A76A4"/>
    <w:rsid w:val="002A76CF"/>
    <w:rsid w:val="002A76D5"/>
    <w:rsid w:val="002A793B"/>
    <w:rsid w:val="002A79E5"/>
    <w:rsid w:val="002A7A69"/>
    <w:rsid w:val="002A7A74"/>
    <w:rsid w:val="002A7AB2"/>
    <w:rsid w:val="002A7AE8"/>
    <w:rsid w:val="002A7DF0"/>
    <w:rsid w:val="002A7DF4"/>
    <w:rsid w:val="002B0086"/>
    <w:rsid w:val="002B060C"/>
    <w:rsid w:val="002B081F"/>
    <w:rsid w:val="002B0A92"/>
    <w:rsid w:val="002B0BD1"/>
    <w:rsid w:val="002B0C47"/>
    <w:rsid w:val="002B0D08"/>
    <w:rsid w:val="002B108B"/>
    <w:rsid w:val="002B1123"/>
    <w:rsid w:val="002B14CB"/>
    <w:rsid w:val="002B15E9"/>
    <w:rsid w:val="002B19FC"/>
    <w:rsid w:val="002B1AFD"/>
    <w:rsid w:val="002B1B5B"/>
    <w:rsid w:val="002B1D74"/>
    <w:rsid w:val="002B1D9E"/>
    <w:rsid w:val="002B1F0E"/>
    <w:rsid w:val="002B1FC3"/>
    <w:rsid w:val="002B201E"/>
    <w:rsid w:val="002B22D5"/>
    <w:rsid w:val="002B2448"/>
    <w:rsid w:val="002B24A8"/>
    <w:rsid w:val="002B2999"/>
    <w:rsid w:val="002B2B26"/>
    <w:rsid w:val="002B2BD2"/>
    <w:rsid w:val="002B2F3B"/>
    <w:rsid w:val="002B3669"/>
    <w:rsid w:val="002B371D"/>
    <w:rsid w:val="002B3B0B"/>
    <w:rsid w:val="002B3CB5"/>
    <w:rsid w:val="002B3D69"/>
    <w:rsid w:val="002B3ED1"/>
    <w:rsid w:val="002B3F8C"/>
    <w:rsid w:val="002B3FDE"/>
    <w:rsid w:val="002B4094"/>
    <w:rsid w:val="002B40D2"/>
    <w:rsid w:val="002B42F8"/>
    <w:rsid w:val="002B44D4"/>
    <w:rsid w:val="002B497D"/>
    <w:rsid w:val="002B4A2A"/>
    <w:rsid w:val="002B4AA6"/>
    <w:rsid w:val="002B4C30"/>
    <w:rsid w:val="002B4CC2"/>
    <w:rsid w:val="002B4F17"/>
    <w:rsid w:val="002B4F19"/>
    <w:rsid w:val="002B5199"/>
    <w:rsid w:val="002B53EB"/>
    <w:rsid w:val="002B54B4"/>
    <w:rsid w:val="002B5580"/>
    <w:rsid w:val="002B5591"/>
    <w:rsid w:val="002B5595"/>
    <w:rsid w:val="002B55A1"/>
    <w:rsid w:val="002B584A"/>
    <w:rsid w:val="002B59BB"/>
    <w:rsid w:val="002B5AAE"/>
    <w:rsid w:val="002B5B9F"/>
    <w:rsid w:val="002B5DCE"/>
    <w:rsid w:val="002B60A7"/>
    <w:rsid w:val="002B6194"/>
    <w:rsid w:val="002B624E"/>
    <w:rsid w:val="002B6436"/>
    <w:rsid w:val="002B662A"/>
    <w:rsid w:val="002B66A1"/>
    <w:rsid w:val="002B6831"/>
    <w:rsid w:val="002B68A0"/>
    <w:rsid w:val="002B6ACA"/>
    <w:rsid w:val="002B6C3C"/>
    <w:rsid w:val="002B6E4C"/>
    <w:rsid w:val="002B717F"/>
    <w:rsid w:val="002B71FD"/>
    <w:rsid w:val="002B7213"/>
    <w:rsid w:val="002B723F"/>
    <w:rsid w:val="002B7467"/>
    <w:rsid w:val="002B75B9"/>
    <w:rsid w:val="002B770A"/>
    <w:rsid w:val="002B7920"/>
    <w:rsid w:val="002B7A91"/>
    <w:rsid w:val="002B7B2C"/>
    <w:rsid w:val="002B7B2F"/>
    <w:rsid w:val="002B7C1A"/>
    <w:rsid w:val="002B7D39"/>
    <w:rsid w:val="002C027D"/>
    <w:rsid w:val="002C0285"/>
    <w:rsid w:val="002C02B3"/>
    <w:rsid w:val="002C06D9"/>
    <w:rsid w:val="002C07F4"/>
    <w:rsid w:val="002C07F7"/>
    <w:rsid w:val="002C08C1"/>
    <w:rsid w:val="002C0980"/>
    <w:rsid w:val="002C0EB9"/>
    <w:rsid w:val="002C0F74"/>
    <w:rsid w:val="002C0FE0"/>
    <w:rsid w:val="002C0FE6"/>
    <w:rsid w:val="002C1044"/>
    <w:rsid w:val="002C1056"/>
    <w:rsid w:val="002C1163"/>
    <w:rsid w:val="002C15AC"/>
    <w:rsid w:val="002C179C"/>
    <w:rsid w:val="002C1863"/>
    <w:rsid w:val="002C1BC9"/>
    <w:rsid w:val="002C1FC4"/>
    <w:rsid w:val="002C201C"/>
    <w:rsid w:val="002C20B7"/>
    <w:rsid w:val="002C20EA"/>
    <w:rsid w:val="002C212C"/>
    <w:rsid w:val="002C246E"/>
    <w:rsid w:val="002C29BB"/>
    <w:rsid w:val="002C2B9C"/>
    <w:rsid w:val="002C2D8A"/>
    <w:rsid w:val="002C2DBC"/>
    <w:rsid w:val="002C2FE5"/>
    <w:rsid w:val="002C306A"/>
    <w:rsid w:val="002C311A"/>
    <w:rsid w:val="002C3190"/>
    <w:rsid w:val="002C31A1"/>
    <w:rsid w:val="002C31D7"/>
    <w:rsid w:val="002C343A"/>
    <w:rsid w:val="002C35A1"/>
    <w:rsid w:val="002C3883"/>
    <w:rsid w:val="002C3CC1"/>
    <w:rsid w:val="002C3DF8"/>
    <w:rsid w:val="002C3F8B"/>
    <w:rsid w:val="002C443D"/>
    <w:rsid w:val="002C4489"/>
    <w:rsid w:val="002C451C"/>
    <w:rsid w:val="002C461D"/>
    <w:rsid w:val="002C4641"/>
    <w:rsid w:val="002C4696"/>
    <w:rsid w:val="002C46F6"/>
    <w:rsid w:val="002C4754"/>
    <w:rsid w:val="002C47E7"/>
    <w:rsid w:val="002C498F"/>
    <w:rsid w:val="002C4A5B"/>
    <w:rsid w:val="002C4CE2"/>
    <w:rsid w:val="002C4DE5"/>
    <w:rsid w:val="002C4FAB"/>
    <w:rsid w:val="002C4FE2"/>
    <w:rsid w:val="002C51E9"/>
    <w:rsid w:val="002C523B"/>
    <w:rsid w:val="002C52FA"/>
    <w:rsid w:val="002C552E"/>
    <w:rsid w:val="002C5AC0"/>
    <w:rsid w:val="002C5EA8"/>
    <w:rsid w:val="002C5FB4"/>
    <w:rsid w:val="002C6173"/>
    <w:rsid w:val="002C64E5"/>
    <w:rsid w:val="002C65ED"/>
    <w:rsid w:val="002C6694"/>
    <w:rsid w:val="002C69EB"/>
    <w:rsid w:val="002C6C3C"/>
    <w:rsid w:val="002C6CE1"/>
    <w:rsid w:val="002C6DBA"/>
    <w:rsid w:val="002C6E16"/>
    <w:rsid w:val="002C6E96"/>
    <w:rsid w:val="002C6FC2"/>
    <w:rsid w:val="002C718B"/>
    <w:rsid w:val="002C7204"/>
    <w:rsid w:val="002C7328"/>
    <w:rsid w:val="002C7560"/>
    <w:rsid w:val="002C76D7"/>
    <w:rsid w:val="002C7892"/>
    <w:rsid w:val="002C7AB5"/>
    <w:rsid w:val="002C7B0D"/>
    <w:rsid w:val="002C7C6C"/>
    <w:rsid w:val="002C7E99"/>
    <w:rsid w:val="002C9A45"/>
    <w:rsid w:val="002D00C1"/>
    <w:rsid w:val="002D0157"/>
    <w:rsid w:val="002D0412"/>
    <w:rsid w:val="002D059E"/>
    <w:rsid w:val="002D06C1"/>
    <w:rsid w:val="002D0777"/>
    <w:rsid w:val="002D09F1"/>
    <w:rsid w:val="002D0B8D"/>
    <w:rsid w:val="002D0B95"/>
    <w:rsid w:val="002D0DD5"/>
    <w:rsid w:val="002D0E3C"/>
    <w:rsid w:val="002D15C2"/>
    <w:rsid w:val="002D16FA"/>
    <w:rsid w:val="002D17AF"/>
    <w:rsid w:val="002D185B"/>
    <w:rsid w:val="002D1C70"/>
    <w:rsid w:val="002D1CF7"/>
    <w:rsid w:val="002D1FAF"/>
    <w:rsid w:val="002D2013"/>
    <w:rsid w:val="002D2089"/>
    <w:rsid w:val="002D2152"/>
    <w:rsid w:val="002D2439"/>
    <w:rsid w:val="002D2465"/>
    <w:rsid w:val="002D24BA"/>
    <w:rsid w:val="002D24E7"/>
    <w:rsid w:val="002D25A3"/>
    <w:rsid w:val="002D25BF"/>
    <w:rsid w:val="002D2768"/>
    <w:rsid w:val="002D284B"/>
    <w:rsid w:val="002D2AB8"/>
    <w:rsid w:val="002D2DB6"/>
    <w:rsid w:val="002D2E9B"/>
    <w:rsid w:val="002D2FE4"/>
    <w:rsid w:val="002D305F"/>
    <w:rsid w:val="002D31BC"/>
    <w:rsid w:val="002D31E1"/>
    <w:rsid w:val="002D34F4"/>
    <w:rsid w:val="002D369A"/>
    <w:rsid w:val="002D37BE"/>
    <w:rsid w:val="002D3808"/>
    <w:rsid w:val="002D3842"/>
    <w:rsid w:val="002D39AD"/>
    <w:rsid w:val="002D3A40"/>
    <w:rsid w:val="002D3E6F"/>
    <w:rsid w:val="002D3FA2"/>
    <w:rsid w:val="002D3FBC"/>
    <w:rsid w:val="002D4087"/>
    <w:rsid w:val="002D4144"/>
    <w:rsid w:val="002D4198"/>
    <w:rsid w:val="002D442F"/>
    <w:rsid w:val="002D4608"/>
    <w:rsid w:val="002D4635"/>
    <w:rsid w:val="002D46A1"/>
    <w:rsid w:val="002D488C"/>
    <w:rsid w:val="002D4AA4"/>
    <w:rsid w:val="002D4AB9"/>
    <w:rsid w:val="002D4B03"/>
    <w:rsid w:val="002D4B71"/>
    <w:rsid w:val="002D4BBC"/>
    <w:rsid w:val="002D4CBB"/>
    <w:rsid w:val="002D4EFE"/>
    <w:rsid w:val="002D4F7F"/>
    <w:rsid w:val="002D5036"/>
    <w:rsid w:val="002D5147"/>
    <w:rsid w:val="002D52C3"/>
    <w:rsid w:val="002D5338"/>
    <w:rsid w:val="002D547D"/>
    <w:rsid w:val="002D5499"/>
    <w:rsid w:val="002D5546"/>
    <w:rsid w:val="002D5618"/>
    <w:rsid w:val="002D598E"/>
    <w:rsid w:val="002D5995"/>
    <w:rsid w:val="002D5DC0"/>
    <w:rsid w:val="002D5EB1"/>
    <w:rsid w:val="002D5F82"/>
    <w:rsid w:val="002D6222"/>
    <w:rsid w:val="002D623F"/>
    <w:rsid w:val="002D6351"/>
    <w:rsid w:val="002D63D9"/>
    <w:rsid w:val="002D64E6"/>
    <w:rsid w:val="002D668D"/>
    <w:rsid w:val="002D66B1"/>
    <w:rsid w:val="002D67B5"/>
    <w:rsid w:val="002D67BF"/>
    <w:rsid w:val="002D6825"/>
    <w:rsid w:val="002D6920"/>
    <w:rsid w:val="002D6995"/>
    <w:rsid w:val="002D6A14"/>
    <w:rsid w:val="002D6B23"/>
    <w:rsid w:val="002D6C43"/>
    <w:rsid w:val="002D6C7B"/>
    <w:rsid w:val="002D6C8A"/>
    <w:rsid w:val="002D6CBA"/>
    <w:rsid w:val="002D6DF5"/>
    <w:rsid w:val="002D6F73"/>
    <w:rsid w:val="002D7008"/>
    <w:rsid w:val="002D7043"/>
    <w:rsid w:val="002D70E1"/>
    <w:rsid w:val="002D73EE"/>
    <w:rsid w:val="002D7640"/>
    <w:rsid w:val="002D7934"/>
    <w:rsid w:val="002D7972"/>
    <w:rsid w:val="002D7BFF"/>
    <w:rsid w:val="002D7C19"/>
    <w:rsid w:val="002D7C77"/>
    <w:rsid w:val="002E021E"/>
    <w:rsid w:val="002E02D3"/>
    <w:rsid w:val="002E0314"/>
    <w:rsid w:val="002E047E"/>
    <w:rsid w:val="002E077D"/>
    <w:rsid w:val="002E0829"/>
    <w:rsid w:val="002E0830"/>
    <w:rsid w:val="002E088F"/>
    <w:rsid w:val="002E0DB5"/>
    <w:rsid w:val="002E0F0D"/>
    <w:rsid w:val="002E110E"/>
    <w:rsid w:val="002E1113"/>
    <w:rsid w:val="002E114E"/>
    <w:rsid w:val="002E1299"/>
    <w:rsid w:val="002E13E4"/>
    <w:rsid w:val="002E140C"/>
    <w:rsid w:val="002E15B6"/>
    <w:rsid w:val="002E15EB"/>
    <w:rsid w:val="002E1788"/>
    <w:rsid w:val="002E1A06"/>
    <w:rsid w:val="002E1A35"/>
    <w:rsid w:val="002E1EA3"/>
    <w:rsid w:val="002E2032"/>
    <w:rsid w:val="002E209D"/>
    <w:rsid w:val="002E20B4"/>
    <w:rsid w:val="002E2330"/>
    <w:rsid w:val="002E2483"/>
    <w:rsid w:val="002E27C3"/>
    <w:rsid w:val="002E2892"/>
    <w:rsid w:val="002E28B2"/>
    <w:rsid w:val="002E2DEB"/>
    <w:rsid w:val="002E2DF9"/>
    <w:rsid w:val="002E2F13"/>
    <w:rsid w:val="002E30AA"/>
    <w:rsid w:val="002E3118"/>
    <w:rsid w:val="002E3293"/>
    <w:rsid w:val="002E357C"/>
    <w:rsid w:val="002E36D3"/>
    <w:rsid w:val="002E3A60"/>
    <w:rsid w:val="002E3AD7"/>
    <w:rsid w:val="002E3DCE"/>
    <w:rsid w:val="002E4026"/>
    <w:rsid w:val="002E40F4"/>
    <w:rsid w:val="002E41ED"/>
    <w:rsid w:val="002E45A6"/>
    <w:rsid w:val="002E45F3"/>
    <w:rsid w:val="002E4734"/>
    <w:rsid w:val="002E47A7"/>
    <w:rsid w:val="002E4824"/>
    <w:rsid w:val="002E4A71"/>
    <w:rsid w:val="002E4D64"/>
    <w:rsid w:val="002E4EB5"/>
    <w:rsid w:val="002E503F"/>
    <w:rsid w:val="002E5043"/>
    <w:rsid w:val="002E51CF"/>
    <w:rsid w:val="002E5674"/>
    <w:rsid w:val="002E5684"/>
    <w:rsid w:val="002E57D3"/>
    <w:rsid w:val="002E582D"/>
    <w:rsid w:val="002E5A3A"/>
    <w:rsid w:val="002E5B12"/>
    <w:rsid w:val="002E5F04"/>
    <w:rsid w:val="002E6090"/>
    <w:rsid w:val="002E60A2"/>
    <w:rsid w:val="002E60E4"/>
    <w:rsid w:val="002E645E"/>
    <w:rsid w:val="002E653B"/>
    <w:rsid w:val="002E6769"/>
    <w:rsid w:val="002E6AF1"/>
    <w:rsid w:val="002E6D6A"/>
    <w:rsid w:val="002E71E9"/>
    <w:rsid w:val="002E7287"/>
    <w:rsid w:val="002E74BA"/>
    <w:rsid w:val="002E7786"/>
    <w:rsid w:val="002E77BD"/>
    <w:rsid w:val="002E7871"/>
    <w:rsid w:val="002E7948"/>
    <w:rsid w:val="002E7A97"/>
    <w:rsid w:val="002E7B48"/>
    <w:rsid w:val="002E7C6C"/>
    <w:rsid w:val="002E7E33"/>
    <w:rsid w:val="002E7F52"/>
    <w:rsid w:val="002F03C1"/>
    <w:rsid w:val="002F0447"/>
    <w:rsid w:val="002F0479"/>
    <w:rsid w:val="002F04E2"/>
    <w:rsid w:val="002F088E"/>
    <w:rsid w:val="002F0950"/>
    <w:rsid w:val="002F0A8A"/>
    <w:rsid w:val="002F100A"/>
    <w:rsid w:val="002F1050"/>
    <w:rsid w:val="002F1174"/>
    <w:rsid w:val="002F11CF"/>
    <w:rsid w:val="002F1341"/>
    <w:rsid w:val="002F1374"/>
    <w:rsid w:val="002F140B"/>
    <w:rsid w:val="002F144F"/>
    <w:rsid w:val="002F1487"/>
    <w:rsid w:val="002F14F7"/>
    <w:rsid w:val="002F169B"/>
    <w:rsid w:val="002F173C"/>
    <w:rsid w:val="002F1968"/>
    <w:rsid w:val="002F19FC"/>
    <w:rsid w:val="002F1A5D"/>
    <w:rsid w:val="002F1E6B"/>
    <w:rsid w:val="002F1E8E"/>
    <w:rsid w:val="002F1F61"/>
    <w:rsid w:val="002F1F66"/>
    <w:rsid w:val="002F1F7D"/>
    <w:rsid w:val="002F2288"/>
    <w:rsid w:val="002F254A"/>
    <w:rsid w:val="002F2658"/>
    <w:rsid w:val="002F265B"/>
    <w:rsid w:val="002F2707"/>
    <w:rsid w:val="002F2813"/>
    <w:rsid w:val="002F28C7"/>
    <w:rsid w:val="002F29BC"/>
    <w:rsid w:val="002F2EB7"/>
    <w:rsid w:val="002F2F75"/>
    <w:rsid w:val="002F31DA"/>
    <w:rsid w:val="002F348C"/>
    <w:rsid w:val="002F358F"/>
    <w:rsid w:val="002F37DC"/>
    <w:rsid w:val="002F389F"/>
    <w:rsid w:val="002F3987"/>
    <w:rsid w:val="002F39EC"/>
    <w:rsid w:val="002F3A32"/>
    <w:rsid w:val="002F3B16"/>
    <w:rsid w:val="002F3B2E"/>
    <w:rsid w:val="002F3CB0"/>
    <w:rsid w:val="002F3CD5"/>
    <w:rsid w:val="002F3D94"/>
    <w:rsid w:val="002F3E23"/>
    <w:rsid w:val="002F3ED3"/>
    <w:rsid w:val="002F4184"/>
    <w:rsid w:val="002F426F"/>
    <w:rsid w:val="002F4325"/>
    <w:rsid w:val="002F4430"/>
    <w:rsid w:val="002F4578"/>
    <w:rsid w:val="002F4743"/>
    <w:rsid w:val="002F47AA"/>
    <w:rsid w:val="002F4879"/>
    <w:rsid w:val="002F4BC0"/>
    <w:rsid w:val="002F4C6E"/>
    <w:rsid w:val="002F4D8B"/>
    <w:rsid w:val="002F5313"/>
    <w:rsid w:val="002F5767"/>
    <w:rsid w:val="002F576A"/>
    <w:rsid w:val="002F58FA"/>
    <w:rsid w:val="002F5988"/>
    <w:rsid w:val="002F5AD6"/>
    <w:rsid w:val="002F5BF6"/>
    <w:rsid w:val="002F6371"/>
    <w:rsid w:val="002F63AC"/>
    <w:rsid w:val="002F64FC"/>
    <w:rsid w:val="002F6627"/>
    <w:rsid w:val="002F6784"/>
    <w:rsid w:val="002F68B7"/>
    <w:rsid w:val="002F692D"/>
    <w:rsid w:val="002F6B8F"/>
    <w:rsid w:val="002F6C1B"/>
    <w:rsid w:val="002F6D7B"/>
    <w:rsid w:val="002F6D85"/>
    <w:rsid w:val="002F715D"/>
    <w:rsid w:val="002F722D"/>
    <w:rsid w:val="002F73AF"/>
    <w:rsid w:val="002F7470"/>
    <w:rsid w:val="002F747F"/>
    <w:rsid w:val="002F752C"/>
    <w:rsid w:val="002F7540"/>
    <w:rsid w:val="002F75AC"/>
    <w:rsid w:val="002F7624"/>
    <w:rsid w:val="002F7666"/>
    <w:rsid w:val="002F788E"/>
    <w:rsid w:val="002F79D7"/>
    <w:rsid w:val="002F7E97"/>
    <w:rsid w:val="003000D7"/>
    <w:rsid w:val="003002C2"/>
    <w:rsid w:val="0030068F"/>
    <w:rsid w:val="0030071D"/>
    <w:rsid w:val="003007A9"/>
    <w:rsid w:val="0030080C"/>
    <w:rsid w:val="00300C10"/>
    <w:rsid w:val="00300EBE"/>
    <w:rsid w:val="00300F70"/>
    <w:rsid w:val="00300FAC"/>
    <w:rsid w:val="00301228"/>
    <w:rsid w:val="003012D4"/>
    <w:rsid w:val="003013AD"/>
    <w:rsid w:val="00301673"/>
    <w:rsid w:val="00301746"/>
    <w:rsid w:val="0030182A"/>
    <w:rsid w:val="003018DA"/>
    <w:rsid w:val="00301AA1"/>
    <w:rsid w:val="00301D18"/>
    <w:rsid w:val="00301D48"/>
    <w:rsid w:val="00302003"/>
    <w:rsid w:val="00302368"/>
    <w:rsid w:val="003024AA"/>
    <w:rsid w:val="00302615"/>
    <w:rsid w:val="003028CB"/>
    <w:rsid w:val="0030291C"/>
    <w:rsid w:val="0030298D"/>
    <w:rsid w:val="003029C1"/>
    <w:rsid w:val="00302B40"/>
    <w:rsid w:val="00302BBA"/>
    <w:rsid w:val="00302DB1"/>
    <w:rsid w:val="00302ED8"/>
    <w:rsid w:val="00302FA0"/>
    <w:rsid w:val="0030337D"/>
    <w:rsid w:val="00303478"/>
    <w:rsid w:val="0030363D"/>
    <w:rsid w:val="0030364E"/>
    <w:rsid w:val="00303817"/>
    <w:rsid w:val="003038BC"/>
    <w:rsid w:val="0030396C"/>
    <w:rsid w:val="00303A38"/>
    <w:rsid w:val="00303A58"/>
    <w:rsid w:val="00303CCB"/>
    <w:rsid w:val="00303E76"/>
    <w:rsid w:val="00303F55"/>
    <w:rsid w:val="003043A6"/>
    <w:rsid w:val="003043C2"/>
    <w:rsid w:val="00304679"/>
    <w:rsid w:val="003046CB"/>
    <w:rsid w:val="003046D4"/>
    <w:rsid w:val="00304995"/>
    <w:rsid w:val="003049DA"/>
    <w:rsid w:val="00304BC6"/>
    <w:rsid w:val="00304CF4"/>
    <w:rsid w:val="00304D30"/>
    <w:rsid w:val="00305313"/>
    <w:rsid w:val="0030536D"/>
    <w:rsid w:val="0030537C"/>
    <w:rsid w:val="003053F4"/>
    <w:rsid w:val="0030540A"/>
    <w:rsid w:val="003054AF"/>
    <w:rsid w:val="00305656"/>
    <w:rsid w:val="00305A71"/>
    <w:rsid w:val="00305A79"/>
    <w:rsid w:val="00305A98"/>
    <w:rsid w:val="00305B1A"/>
    <w:rsid w:val="00305B52"/>
    <w:rsid w:val="00305B9A"/>
    <w:rsid w:val="00305CF7"/>
    <w:rsid w:val="00306075"/>
    <w:rsid w:val="003062CB"/>
    <w:rsid w:val="003065D1"/>
    <w:rsid w:val="003065DB"/>
    <w:rsid w:val="00306AF9"/>
    <w:rsid w:val="00306E5D"/>
    <w:rsid w:val="00306ED1"/>
    <w:rsid w:val="00307008"/>
    <w:rsid w:val="0030704F"/>
    <w:rsid w:val="003070ED"/>
    <w:rsid w:val="00307190"/>
    <w:rsid w:val="003073FD"/>
    <w:rsid w:val="003077F3"/>
    <w:rsid w:val="00307855"/>
    <w:rsid w:val="003078C9"/>
    <w:rsid w:val="00307B73"/>
    <w:rsid w:val="00307C42"/>
    <w:rsid w:val="00307CFF"/>
    <w:rsid w:val="00307F5D"/>
    <w:rsid w:val="00310136"/>
    <w:rsid w:val="003101D0"/>
    <w:rsid w:val="00310263"/>
    <w:rsid w:val="0031054F"/>
    <w:rsid w:val="0031085B"/>
    <w:rsid w:val="00310882"/>
    <w:rsid w:val="00310A0A"/>
    <w:rsid w:val="00310A86"/>
    <w:rsid w:val="00310C57"/>
    <w:rsid w:val="00311039"/>
    <w:rsid w:val="003113B0"/>
    <w:rsid w:val="003114FD"/>
    <w:rsid w:val="003116AE"/>
    <w:rsid w:val="00311C31"/>
    <w:rsid w:val="00311FD0"/>
    <w:rsid w:val="00311FD9"/>
    <w:rsid w:val="00312359"/>
    <w:rsid w:val="0031238F"/>
    <w:rsid w:val="003125D7"/>
    <w:rsid w:val="00312675"/>
    <w:rsid w:val="0031268E"/>
    <w:rsid w:val="0031277E"/>
    <w:rsid w:val="0031298A"/>
    <w:rsid w:val="00312ECC"/>
    <w:rsid w:val="00312EEC"/>
    <w:rsid w:val="00312F2C"/>
    <w:rsid w:val="00312F39"/>
    <w:rsid w:val="00312F9E"/>
    <w:rsid w:val="00313051"/>
    <w:rsid w:val="00313155"/>
    <w:rsid w:val="00313202"/>
    <w:rsid w:val="00313367"/>
    <w:rsid w:val="00313370"/>
    <w:rsid w:val="00313374"/>
    <w:rsid w:val="0031344C"/>
    <w:rsid w:val="003134F6"/>
    <w:rsid w:val="003135E3"/>
    <w:rsid w:val="0031361F"/>
    <w:rsid w:val="00313680"/>
    <w:rsid w:val="00313867"/>
    <w:rsid w:val="00313A37"/>
    <w:rsid w:val="00313A8E"/>
    <w:rsid w:val="00313F9C"/>
    <w:rsid w:val="00314186"/>
    <w:rsid w:val="00314373"/>
    <w:rsid w:val="0031439B"/>
    <w:rsid w:val="00314820"/>
    <w:rsid w:val="00314C17"/>
    <w:rsid w:val="00314C26"/>
    <w:rsid w:val="00314F42"/>
    <w:rsid w:val="00314FEB"/>
    <w:rsid w:val="003150A6"/>
    <w:rsid w:val="003150DC"/>
    <w:rsid w:val="003150F2"/>
    <w:rsid w:val="003150F4"/>
    <w:rsid w:val="00315224"/>
    <w:rsid w:val="003154C1"/>
    <w:rsid w:val="0031565B"/>
    <w:rsid w:val="00315710"/>
    <w:rsid w:val="0031585A"/>
    <w:rsid w:val="00315D35"/>
    <w:rsid w:val="00315DB4"/>
    <w:rsid w:val="00315F34"/>
    <w:rsid w:val="003161FB"/>
    <w:rsid w:val="00316244"/>
    <w:rsid w:val="00316403"/>
    <w:rsid w:val="00316428"/>
    <w:rsid w:val="00316543"/>
    <w:rsid w:val="00316667"/>
    <w:rsid w:val="00316848"/>
    <w:rsid w:val="0031687C"/>
    <w:rsid w:val="003168D1"/>
    <w:rsid w:val="003168EC"/>
    <w:rsid w:val="0031698F"/>
    <w:rsid w:val="00316A22"/>
    <w:rsid w:val="00316A56"/>
    <w:rsid w:val="00316AA3"/>
    <w:rsid w:val="00316D99"/>
    <w:rsid w:val="00316DE4"/>
    <w:rsid w:val="00316E0F"/>
    <w:rsid w:val="00316FA0"/>
    <w:rsid w:val="00317059"/>
    <w:rsid w:val="003170A9"/>
    <w:rsid w:val="003170BA"/>
    <w:rsid w:val="0031713B"/>
    <w:rsid w:val="0031717A"/>
    <w:rsid w:val="003172A3"/>
    <w:rsid w:val="00317559"/>
    <w:rsid w:val="00317724"/>
    <w:rsid w:val="003178A0"/>
    <w:rsid w:val="003178A6"/>
    <w:rsid w:val="00317B0B"/>
    <w:rsid w:val="00317D5B"/>
    <w:rsid w:val="00320060"/>
    <w:rsid w:val="0032008D"/>
    <w:rsid w:val="00320353"/>
    <w:rsid w:val="00320523"/>
    <w:rsid w:val="00320645"/>
    <w:rsid w:val="003206D2"/>
    <w:rsid w:val="00320735"/>
    <w:rsid w:val="00320D01"/>
    <w:rsid w:val="00320E7D"/>
    <w:rsid w:val="00320E96"/>
    <w:rsid w:val="00320F9A"/>
    <w:rsid w:val="003210F9"/>
    <w:rsid w:val="0032110C"/>
    <w:rsid w:val="003211AE"/>
    <w:rsid w:val="00321644"/>
    <w:rsid w:val="00321674"/>
    <w:rsid w:val="003216AE"/>
    <w:rsid w:val="003216D2"/>
    <w:rsid w:val="003216D7"/>
    <w:rsid w:val="0032176D"/>
    <w:rsid w:val="0032186F"/>
    <w:rsid w:val="003218EC"/>
    <w:rsid w:val="00321928"/>
    <w:rsid w:val="00321ADF"/>
    <w:rsid w:val="00321C36"/>
    <w:rsid w:val="00321CF9"/>
    <w:rsid w:val="00321D81"/>
    <w:rsid w:val="00321D82"/>
    <w:rsid w:val="00321EB1"/>
    <w:rsid w:val="0032229B"/>
    <w:rsid w:val="00322325"/>
    <w:rsid w:val="003224E5"/>
    <w:rsid w:val="003227E7"/>
    <w:rsid w:val="0032296F"/>
    <w:rsid w:val="0032298A"/>
    <w:rsid w:val="00322996"/>
    <w:rsid w:val="003229B5"/>
    <w:rsid w:val="00322A53"/>
    <w:rsid w:val="00322A7D"/>
    <w:rsid w:val="00322BAC"/>
    <w:rsid w:val="00322F39"/>
    <w:rsid w:val="0032316A"/>
    <w:rsid w:val="0032316C"/>
    <w:rsid w:val="003231D4"/>
    <w:rsid w:val="003231EA"/>
    <w:rsid w:val="003232AD"/>
    <w:rsid w:val="0032335A"/>
    <w:rsid w:val="0032338D"/>
    <w:rsid w:val="0032353F"/>
    <w:rsid w:val="00323561"/>
    <w:rsid w:val="0032371B"/>
    <w:rsid w:val="0032376B"/>
    <w:rsid w:val="00323803"/>
    <w:rsid w:val="00323A4D"/>
    <w:rsid w:val="00323D24"/>
    <w:rsid w:val="00323EE2"/>
    <w:rsid w:val="00323F2D"/>
    <w:rsid w:val="003242CB"/>
    <w:rsid w:val="003242F9"/>
    <w:rsid w:val="003243DC"/>
    <w:rsid w:val="00324572"/>
    <w:rsid w:val="003245E1"/>
    <w:rsid w:val="003248FF"/>
    <w:rsid w:val="00324A4E"/>
    <w:rsid w:val="00324C76"/>
    <w:rsid w:val="00324E27"/>
    <w:rsid w:val="00325069"/>
    <w:rsid w:val="003251AE"/>
    <w:rsid w:val="003252DD"/>
    <w:rsid w:val="0032530F"/>
    <w:rsid w:val="00325556"/>
    <w:rsid w:val="00325800"/>
    <w:rsid w:val="00325A4A"/>
    <w:rsid w:val="00325BAC"/>
    <w:rsid w:val="00325D6E"/>
    <w:rsid w:val="00325F05"/>
    <w:rsid w:val="0032636A"/>
    <w:rsid w:val="0032637B"/>
    <w:rsid w:val="00326397"/>
    <w:rsid w:val="003263D6"/>
    <w:rsid w:val="00326593"/>
    <w:rsid w:val="00326B0B"/>
    <w:rsid w:val="00326DE3"/>
    <w:rsid w:val="00326DF1"/>
    <w:rsid w:val="00326DFA"/>
    <w:rsid w:val="00326E56"/>
    <w:rsid w:val="00326EC5"/>
    <w:rsid w:val="00327390"/>
    <w:rsid w:val="003273C5"/>
    <w:rsid w:val="003275DF"/>
    <w:rsid w:val="00327815"/>
    <w:rsid w:val="00327A6D"/>
    <w:rsid w:val="00327C0D"/>
    <w:rsid w:val="00327CFB"/>
    <w:rsid w:val="00327D30"/>
    <w:rsid w:val="00327E34"/>
    <w:rsid w:val="00327FEA"/>
    <w:rsid w:val="00330319"/>
    <w:rsid w:val="00330559"/>
    <w:rsid w:val="00330853"/>
    <w:rsid w:val="003309DB"/>
    <w:rsid w:val="00330C64"/>
    <w:rsid w:val="00330CA7"/>
    <w:rsid w:val="00330CF1"/>
    <w:rsid w:val="00330D9D"/>
    <w:rsid w:val="00330E52"/>
    <w:rsid w:val="00330E84"/>
    <w:rsid w:val="00330EE3"/>
    <w:rsid w:val="0033147F"/>
    <w:rsid w:val="0033168E"/>
    <w:rsid w:val="0033171A"/>
    <w:rsid w:val="0033176A"/>
    <w:rsid w:val="00331793"/>
    <w:rsid w:val="00331AA1"/>
    <w:rsid w:val="00331AC2"/>
    <w:rsid w:val="00331B45"/>
    <w:rsid w:val="00331BB8"/>
    <w:rsid w:val="00331C26"/>
    <w:rsid w:val="00331D5E"/>
    <w:rsid w:val="00331F93"/>
    <w:rsid w:val="00332103"/>
    <w:rsid w:val="00332214"/>
    <w:rsid w:val="00332411"/>
    <w:rsid w:val="0033265C"/>
    <w:rsid w:val="0033273F"/>
    <w:rsid w:val="00332769"/>
    <w:rsid w:val="00332A4F"/>
    <w:rsid w:val="00332AB7"/>
    <w:rsid w:val="00332EE8"/>
    <w:rsid w:val="00333047"/>
    <w:rsid w:val="003330BA"/>
    <w:rsid w:val="0033332F"/>
    <w:rsid w:val="00333365"/>
    <w:rsid w:val="003333A1"/>
    <w:rsid w:val="0033346D"/>
    <w:rsid w:val="00333491"/>
    <w:rsid w:val="0033354D"/>
    <w:rsid w:val="00333717"/>
    <w:rsid w:val="003339A1"/>
    <w:rsid w:val="00333B89"/>
    <w:rsid w:val="00333CEF"/>
    <w:rsid w:val="00333E16"/>
    <w:rsid w:val="00333E24"/>
    <w:rsid w:val="00333F72"/>
    <w:rsid w:val="00334023"/>
    <w:rsid w:val="0033406A"/>
    <w:rsid w:val="003340E2"/>
    <w:rsid w:val="003340F2"/>
    <w:rsid w:val="00334282"/>
    <w:rsid w:val="003342C8"/>
    <w:rsid w:val="00334410"/>
    <w:rsid w:val="0033460E"/>
    <w:rsid w:val="00334712"/>
    <w:rsid w:val="00334862"/>
    <w:rsid w:val="003348E2"/>
    <w:rsid w:val="00334D2E"/>
    <w:rsid w:val="00334D89"/>
    <w:rsid w:val="00335036"/>
    <w:rsid w:val="00335062"/>
    <w:rsid w:val="0033506F"/>
    <w:rsid w:val="003350C2"/>
    <w:rsid w:val="003351CF"/>
    <w:rsid w:val="00335431"/>
    <w:rsid w:val="003354E6"/>
    <w:rsid w:val="00335585"/>
    <w:rsid w:val="003355FB"/>
    <w:rsid w:val="00335630"/>
    <w:rsid w:val="003356F0"/>
    <w:rsid w:val="003357FC"/>
    <w:rsid w:val="0033596D"/>
    <w:rsid w:val="00335A97"/>
    <w:rsid w:val="00335AB5"/>
    <w:rsid w:val="00335D80"/>
    <w:rsid w:val="00335D92"/>
    <w:rsid w:val="00335F2C"/>
    <w:rsid w:val="003360A2"/>
    <w:rsid w:val="00336545"/>
    <w:rsid w:val="003365FC"/>
    <w:rsid w:val="003366D5"/>
    <w:rsid w:val="003369E2"/>
    <w:rsid w:val="003369EC"/>
    <w:rsid w:val="00336CC6"/>
    <w:rsid w:val="00336E2B"/>
    <w:rsid w:val="00336F41"/>
    <w:rsid w:val="00336FD2"/>
    <w:rsid w:val="003370C5"/>
    <w:rsid w:val="003375B1"/>
    <w:rsid w:val="0033767B"/>
    <w:rsid w:val="003376BE"/>
    <w:rsid w:val="0033787E"/>
    <w:rsid w:val="00337DAE"/>
    <w:rsid w:val="00337E73"/>
    <w:rsid w:val="00337E95"/>
    <w:rsid w:val="00337EEF"/>
    <w:rsid w:val="00340316"/>
    <w:rsid w:val="00340405"/>
    <w:rsid w:val="00340529"/>
    <w:rsid w:val="003406EC"/>
    <w:rsid w:val="003407BC"/>
    <w:rsid w:val="00340CB6"/>
    <w:rsid w:val="00340E3C"/>
    <w:rsid w:val="00340F92"/>
    <w:rsid w:val="0034137E"/>
    <w:rsid w:val="003414A9"/>
    <w:rsid w:val="0034150E"/>
    <w:rsid w:val="00341548"/>
    <w:rsid w:val="003415E1"/>
    <w:rsid w:val="0034177C"/>
    <w:rsid w:val="00341792"/>
    <w:rsid w:val="00341902"/>
    <w:rsid w:val="00341935"/>
    <w:rsid w:val="00341EB2"/>
    <w:rsid w:val="00342081"/>
    <w:rsid w:val="003420F3"/>
    <w:rsid w:val="00342371"/>
    <w:rsid w:val="00342375"/>
    <w:rsid w:val="0034247D"/>
    <w:rsid w:val="0034256B"/>
    <w:rsid w:val="00342651"/>
    <w:rsid w:val="003426DE"/>
    <w:rsid w:val="003426F5"/>
    <w:rsid w:val="00342CFD"/>
    <w:rsid w:val="00342DBE"/>
    <w:rsid w:val="0034306D"/>
    <w:rsid w:val="0034307D"/>
    <w:rsid w:val="0034327F"/>
    <w:rsid w:val="00343380"/>
    <w:rsid w:val="0034354F"/>
    <w:rsid w:val="003435E4"/>
    <w:rsid w:val="00343867"/>
    <w:rsid w:val="0034386E"/>
    <w:rsid w:val="003438A7"/>
    <w:rsid w:val="00343C40"/>
    <w:rsid w:val="00343C8D"/>
    <w:rsid w:val="00343E0D"/>
    <w:rsid w:val="00343ED7"/>
    <w:rsid w:val="00344526"/>
    <w:rsid w:val="003446E1"/>
    <w:rsid w:val="00344706"/>
    <w:rsid w:val="00344992"/>
    <w:rsid w:val="00344A01"/>
    <w:rsid w:val="00344A6B"/>
    <w:rsid w:val="00344B22"/>
    <w:rsid w:val="00344B39"/>
    <w:rsid w:val="00344B9C"/>
    <w:rsid w:val="00344C55"/>
    <w:rsid w:val="00344D14"/>
    <w:rsid w:val="00344DA2"/>
    <w:rsid w:val="003450A3"/>
    <w:rsid w:val="0034545B"/>
    <w:rsid w:val="00345549"/>
    <w:rsid w:val="00345760"/>
    <w:rsid w:val="003457D1"/>
    <w:rsid w:val="003457DC"/>
    <w:rsid w:val="00345933"/>
    <w:rsid w:val="00345BDE"/>
    <w:rsid w:val="00345D07"/>
    <w:rsid w:val="00345E24"/>
    <w:rsid w:val="00345E5F"/>
    <w:rsid w:val="00345FF4"/>
    <w:rsid w:val="0034601E"/>
    <w:rsid w:val="00346061"/>
    <w:rsid w:val="003461D3"/>
    <w:rsid w:val="003461EA"/>
    <w:rsid w:val="003461F9"/>
    <w:rsid w:val="003464A8"/>
    <w:rsid w:val="003469E0"/>
    <w:rsid w:val="00346AF3"/>
    <w:rsid w:val="00346BD3"/>
    <w:rsid w:val="00346C37"/>
    <w:rsid w:val="00346C6D"/>
    <w:rsid w:val="00346C80"/>
    <w:rsid w:val="0034700D"/>
    <w:rsid w:val="0034719B"/>
    <w:rsid w:val="00347886"/>
    <w:rsid w:val="00347981"/>
    <w:rsid w:val="00347A42"/>
    <w:rsid w:val="00347AF8"/>
    <w:rsid w:val="00347BF7"/>
    <w:rsid w:val="00347D36"/>
    <w:rsid w:val="00347D80"/>
    <w:rsid w:val="00347E6F"/>
    <w:rsid w:val="003500A0"/>
    <w:rsid w:val="0035016E"/>
    <w:rsid w:val="0035018C"/>
    <w:rsid w:val="00350234"/>
    <w:rsid w:val="00350305"/>
    <w:rsid w:val="0035045F"/>
    <w:rsid w:val="003506D5"/>
    <w:rsid w:val="00350982"/>
    <w:rsid w:val="00350ACA"/>
    <w:rsid w:val="00350B79"/>
    <w:rsid w:val="00350D3B"/>
    <w:rsid w:val="00350D7D"/>
    <w:rsid w:val="00351052"/>
    <w:rsid w:val="0035131F"/>
    <w:rsid w:val="00351340"/>
    <w:rsid w:val="0035134B"/>
    <w:rsid w:val="0035142A"/>
    <w:rsid w:val="0035154E"/>
    <w:rsid w:val="00351749"/>
    <w:rsid w:val="00351754"/>
    <w:rsid w:val="003517F7"/>
    <w:rsid w:val="003518CC"/>
    <w:rsid w:val="00351B01"/>
    <w:rsid w:val="00351D31"/>
    <w:rsid w:val="00351DCD"/>
    <w:rsid w:val="00351DEE"/>
    <w:rsid w:val="00351E9A"/>
    <w:rsid w:val="00351FB4"/>
    <w:rsid w:val="00352197"/>
    <w:rsid w:val="003522A5"/>
    <w:rsid w:val="00352398"/>
    <w:rsid w:val="00352480"/>
    <w:rsid w:val="00352524"/>
    <w:rsid w:val="00352790"/>
    <w:rsid w:val="003528A2"/>
    <w:rsid w:val="00352AC9"/>
    <w:rsid w:val="00352DD4"/>
    <w:rsid w:val="00352EE3"/>
    <w:rsid w:val="0035305F"/>
    <w:rsid w:val="003530B8"/>
    <w:rsid w:val="003530DE"/>
    <w:rsid w:val="00353167"/>
    <w:rsid w:val="0035329B"/>
    <w:rsid w:val="0035332A"/>
    <w:rsid w:val="003534A0"/>
    <w:rsid w:val="0035356D"/>
    <w:rsid w:val="00353791"/>
    <w:rsid w:val="00353A61"/>
    <w:rsid w:val="00353C99"/>
    <w:rsid w:val="00353F60"/>
    <w:rsid w:val="00353F74"/>
    <w:rsid w:val="00353F77"/>
    <w:rsid w:val="0035421F"/>
    <w:rsid w:val="0035483A"/>
    <w:rsid w:val="00354924"/>
    <w:rsid w:val="00354A26"/>
    <w:rsid w:val="00354AEE"/>
    <w:rsid w:val="00354B9E"/>
    <w:rsid w:val="003551F7"/>
    <w:rsid w:val="00355378"/>
    <w:rsid w:val="00355629"/>
    <w:rsid w:val="003556F4"/>
    <w:rsid w:val="00355776"/>
    <w:rsid w:val="00355803"/>
    <w:rsid w:val="00355BE8"/>
    <w:rsid w:val="00355C29"/>
    <w:rsid w:val="00355CB6"/>
    <w:rsid w:val="00355D69"/>
    <w:rsid w:val="00355EA8"/>
    <w:rsid w:val="0035632B"/>
    <w:rsid w:val="00356469"/>
    <w:rsid w:val="003564B8"/>
    <w:rsid w:val="00356630"/>
    <w:rsid w:val="0035678E"/>
    <w:rsid w:val="00356A3D"/>
    <w:rsid w:val="00356A54"/>
    <w:rsid w:val="00356A8D"/>
    <w:rsid w:val="00356B3A"/>
    <w:rsid w:val="00356BAD"/>
    <w:rsid w:val="00356E24"/>
    <w:rsid w:val="00356FB1"/>
    <w:rsid w:val="0035713D"/>
    <w:rsid w:val="00357553"/>
    <w:rsid w:val="0035766B"/>
    <w:rsid w:val="003576F0"/>
    <w:rsid w:val="0035788B"/>
    <w:rsid w:val="00357BAF"/>
    <w:rsid w:val="00357E2E"/>
    <w:rsid w:val="00360061"/>
    <w:rsid w:val="00360076"/>
    <w:rsid w:val="003601C7"/>
    <w:rsid w:val="00360211"/>
    <w:rsid w:val="0036039C"/>
    <w:rsid w:val="00360930"/>
    <w:rsid w:val="003609A2"/>
    <w:rsid w:val="003609F1"/>
    <w:rsid w:val="00360A26"/>
    <w:rsid w:val="00360BD1"/>
    <w:rsid w:val="00360D2A"/>
    <w:rsid w:val="00360DC8"/>
    <w:rsid w:val="00360DE9"/>
    <w:rsid w:val="00360F17"/>
    <w:rsid w:val="0036107D"/>
    <w:rsid w:val="00361202"/>
    <w:rsid w:val="0036129C"/>
    <w:rsid w:val="00361362"/>
    <w:rsid w:val="003613A8"/>
    <w:rsid w:val="003615E9"/>
    <w:rsid w:val="00361709"/>
    <w:rsid w:val="00361863"/>
    <w:rsid w:val="00361B05"/>
    <w:rsid w:val="00361D1E"/>
    <w:rsid w:val="00361DBE"/>
    <w:rsid w:val="00361E32"/>
    <w:rsid w:val="00361F95"/>
    <w:rsid w:val="003620F9"/>
    <w:rsid w:val="00362179"/>
    <w:rsid w:val="00362225"/>
    <w:rsid w:val="00362278"/>
    <w:rsid w:val="003623E3"/>
    <w:rsid w:val="0036246D"/>
    <w:rsid w:val="00362590"/>
    <w:rsid w:val="003625F1"/>
    <w:rsid w:val="003626D2"/>
    <w:rsid w:val="003627D5"/>
    <w:rsid w:val="00362976"/>
    <w:rsid w:val="003629BB"/>
    <w:rsid w:val="00362B7C"/>
    <w:rsid w:val="00362C27"/>
    <w:rsid w:val="00362C78"/>
    <w:rsid w:val="00362CA5"/>
    <w:rsid w:val="00362DBE"/>
    <w:rsid w:val="00362F1B"/>
    <w:rsid w:val="003631A2"/>
    <w:rsid w:val="0036322C"/>
    <w:rsid w:val="003632E3"/>
    <w:rsid w:val="003632F4"/>
    <w:rsid w:val="00363330"/>
    <w:rsid w:val="0036399C"/>
    <w:rsid w:val="00363B2B"/>
    <w:rsid w:val="00363D07"/>
    <w:rsid w:val="00363D8A"/>
    <w:rsid w:val="00363EAA"/>
    <w:rsid w:val="00363F27"/>
    <w:rsid w:val="00363F34"/>
    <w:rsid w:val="00363F7B"/>
    <w:rsid w:val="00364007"/>
    <w:rsid w:val="0036420C"/>
    <w:rsid w:val="0036461F"/>
    <w:rsid w:val="003647C1"/>
    <w:rsid w:val="003647F6"/>
    <w:rsid w:val="00364812"/>
    <w:rsid w:val="00364857"/>
    <w:rsid w:val="0036493C"/>
    <w:rsid w:val="00364A46"/>
    <w:rsid w:val="00364DB5"/>
    <w:rsid w:val="00364DC9"/>
    <w:rsid w:val="00364E19"/>
    <w:rsid w:val="00364E2D"/>
    <w:rsid w:val="00365235"/>
    <w:rsid w:val="00365502"/>
    <w:rsid w:val="00365755"/>
    <w:rsid w:val="00365A7A"/>
    <w:rsid w:val="00365BCE"/>
    <w:rsid w:val="00365C9A"/>
    <w:rsid w:val="00365DAB"/>
    <w:rsid w:val="00365DB5"/>
    <w:rsid w:val="00365E58"/>
    <w:rsid w:val="00366259"/>
    <w:rsid w:val="00366506"/>
    <w:rsid w:val="0036677F"/>
    <w:rsid w:val="003667DD"/>
    <w:rsid w:val="003667F0"/>
    <w:rsid w:val="00366AA6"/>
    <w:rsid w:val="00366C6E"/>
    <w:rsid w:val="00366D67"/>
    <w:rsid w:val="00366E4F"/>
    <w:rsid w:val="00366ED3"/>
    <w:rsid w:val="00366ED6"/>
    <w:rsid w:val="00366F2C"/>
    <w:rsid w:val="00366F75"/>
    <w:rsid w:val="0036704A"/>
    <w:rsid w:val="003672F4"/>
    <w:rsid w:val="00367797"/>
    <w:rsid w:val="0036785B"/>
    <w:rsid w:val="00367B11"/>
    <w:rsid w:val="00367BC8"/>
    <w:rsid w:val="00367FB9"/>
    <w:rsid w:val="0037007C"/>
    <w:rsid w:val="003700D7"/>
    <w:rsid w:val="0037010F"/>
    <w:rsid w:val="00370190"/>
    <w:rsid w:val="00370258"/>
    <w:rsid w:val="00370325"/>
    <w:rsid w:val="0037033C"/>
    <w:rsid w:val="00370494"/>
    <w:rsid w:val="003704AE"/>
    <w:rsid w:val="003704EC"/>
    <w:rsid w:val="00370545"/>
    <w:rsid w:val="003707AA"/>
    <w:rsid w:val="003707FF"/>
    <w:rsid w:val="00370890"/>
    <w:rsid w:val="003708B7"/>
    <w:rsid w:val="0037095A"/>
    <w:rsid w:val="00370C43"/>
    <w:rsid w:val="00370ECC"/>
    <w:rsid w:val="00370F92"/>
    <w:rsid w:val="00371353"/>
    <w:rsid w:val="00371588"/>
    <w:rsid w:val="00371A06"/>
    <w:rsid w:val="00371B95"/>
    <w:rsid w:val="00371D68"/>
    <w:rsid w:val="00371DB9"/>
    <w:rsid w:val="00371E01"/>
    <w:rsid w:val="00371E6B"/>
    <w:rsid w:val="00372173"/>
    <w:rsid w:val="003721E1"/>
    <w:rsid w:val="00372296"/>
    <w:rsid w:val="003723CE"/>
    <w:rsid w:val="00372567"/>
    <w:rsid w:val="00372918"/>
    <w:rsid w:val="0037295F"/>
    <w:rsid w:val="00372A0F"/>
    <w:rsid w:val="00372AD5"/>
    <w:rsid w:val="00372D1F"/>
    <w:rsid w:val="00372F85"/>
    <w:rsid w:val="0037302A"/>
    <w:rsid w:val="00373136"/>
    <w:rsid w:val="00373169"/>
    <w:rsid w:val="00373275"/>
    <w:rsid w:val="00373376"/>
    <w:rsid w:val="0037343A"/>
    <w:rsid w:val="00373476"/>
    <w:rsid w:val="003734D9"/>
    <w:rsid w:val="00373589"/>
    <w:rsid w:val="003736A8"/>
    <w:rsid w:val="003738BD"/>
    <w:rsid w:val="00373CD6"/>
    <w:rsid w:val="00373E0C"/>
    <w:rsid w:val="00374053"/>
    <w:rsid w:val="003740A0"/>
    <w:rsid w:val="003740E5"/>
    <w:rsid w:val="003742E6"/>
    <w:rsid w:val="003746E0"/>
    <w:rsid w:val="00374786"/>
    <w:rsid w:val="0037498C"/>
    <w:rsid w:val="00374B0E"/>
    <w:rsid w:val="00374B6A"/>
    <w:rsid w:val="00374C12"/>
    <w:rsid w:val="00374CEB"/>
    <w:rsid w:val="00374DC1"/>
    <w:rsid w:val="00374E9F"/>
    <w:rsid w:val="003750E3"/>
    <w:rsid w:val="003751AB"/>
    <w:rsid w:val="003753BA"/>
    <w:rsid w:val="00375563"/>
    <w:rsid w:val="00375708"/>
    <w:rsid w:val="003757A5"/>
    <w:rsid w:val="00375CB6"/>
    <w:rsid w:val="00375F1B"/>
    <w:rsid w:val="00375FE2"/>
    <w:rsid w:val="003761D8"/>
    <w:rsid w:val="0037630D"/>
    <w:rsid w:val="00376338"/>
    <w:rsid w:val="003763C5"/>
    <w:rsid w:val="0037652F"/>
    <w:rsid w:val="003765BC"/>
    <w:rsid w:val="00376614"/>
    <w:rsid w:val="00376717"/>
    <w:rsid w:val="0037684F"/>
    <w:rsid w:val="003769AD"/>
    <w:rsid w:val="00376C22"/>
    <w:rsid w:val="00376C32"/>
    <w:rsid w:val="00376C7A"/>
    <w:rsid w:val="00376D6D"/>
    <w:rsid w:val="00377023"/>
    <w:rsid w:val="00377081"/>
    <w:rsid w:val="003770DC"/>
    <w:rsid w:val="003772B2"/>
    <w:rsid w:val="0037745F"/>
    <w:rsid w:val="003774DD"/>
    <w:rsid w:val="003775CF"/>
    <w:rsid w:val="0037775A"/>
    <w:rsid w:val="003777A3"/>
    <w:rsid w:val="003778C8"/>
    <w:rsid w:val="00377B1D"/>
    <w:rsid w:val="00377C65"/>
    <w:rsid w:val="00377D5C"/>
    <w:rsid w:val="00377DA3"/>
    <w:rsid w:val="00377FF0"/>
    <w:rsid w:val="003800A6"/>
    <w:rsid w:val="00380555"/>
    <w:rsid w:val="00380565"/>
    <w:rsid w:val="00380A26"/>
    <w:rsid w:val="00380B5B"/>
    <w:rsid w:val="00380C94"/>
    <w:rsid w:val="00380CC4"/>
    <w:rsid w:val="00380DB1"/>
    <w:rsid w:val="003812B4"/>
    <w:rsid w:val="003812C2"/>
    <w:rsid w:val="003814A7"/>
    <w:rsid w:val="003814BE"/>
    <w:rsid w:val="003814FB"/>
    <w:rsid w:val="00381A2C"/>
    <w:rsid w:val="00381A84"/>
    <w:rsid w:val="00381B20"/>
    <w:rsid w:val="00381B53"/>
    <w:rsid w:val="003820D8"/>
    <w:rsid w:val="00382113"/>
    <w:rsid w:val="0038211D"/>
    <w:rsid w:val="003822DD"/>
    <w:rsid w:val="00382479"/>
    <w:rsid w:val="003825B4"/>
    <w:rsid w:val="003827DB"/>
    <w:rsid w:val="003827E7"/>
    <w:rsid w:val="00382857"/>
    <w:rsid w:val="00382A5A"/>
    <w:rsid w:val="00382B93"/>
    <w:rsid w:val="00382E38"/>
    <w:rsid w:val="00382EDA"/>
    <w:rsid w:val="00383179"/>
    <w:rsid w:val="00383458"/>
    <w:rsid w:val="00383548"/>
    <w:rsid w:val="003835B4"/>
    <w:rsid w:val="00383696"/>
    <w:rsid w:val="0038386C"/>
    <w:rsid w:val="00383A7D"/>
    <w:rsid w:val="00383D74"/>
    <w:rsid w:val="00383ECB"/>
    <w:rsid w:val="00383EEA"/>
    <w:rsid w:val="00383F38"/>
    <w:rsid w:val="00384042"/>
    <w:rsid w:val="003840EA"/>
    <w:rsid w:val="00384102"/>
    <w:rsid w:val="0038418E"/>
    <w:rsid w:val="00384216"/>
    <w:rsid w:val="003843CA"/>
    <w:rsid w:val="00384696"/>
    <w:rsid w:val="00384A03"/>
    <w:rsid w:val="003851A6"/>
    <w:rsid w:val="003852A7"/>
    <w:rsid w:val="003852C9"/>
    <w:rsid w:val="0038547E"/>
    <w:rsid w:val="003854F7"/>
    <w:rsid w:val="0038561C"/>
    <w:rsid w:val="0038568F"/>
    <w:rsid w:val="003859ED"/>
    <w:rsid w:val="00385C1F"/>
    <w:rsid w:val="00385DD9"/>
    <w:rsid w:val="0038626B"/>
    <w:rsid w:val="003864A8"/>
    <w:rsid w:val="003864FB"/>
    <w:rsid w:val="00386622"/>
    <w:rsid w:val="00386718"/>
    <w:rsid w:val="00386891"/>
    <w:rsid w:val="00386BB4"/>
    <w:rsid w:val="00386BC1"/>
    <w:rsid w:val="00386E22"/>
    <w:rsid w:val="00387267"/>
    <w:rsid w:val="003872FC"/>
    <w:rsid w:val="0038752D"/>
    <w:rsid w:val="00387580"/>
    <w:rsid w:val="00387676"/>
    <w:rsid w:val="0038775D"/>
    <w:rsid w:val="00387791"/>
    <w:rsid w:val="00387809"/>
    <w:rsid w:val="0038782B"/>
    <w:rsid w:val="003878A7"/>
    <w:rsid w:val="003878B1"/>
    <w:rsid w:val="0038793A"/>
    <w:rsid w:val="00387A66"/>
    <w:rsid w:val="00387AA3"/>
    <w:rsid w:val="00387CCF"/>
    <w:rsid w:val="00387CF7"/>
    <w:rsid w:val="00387D40"/>
    <w:rsid w:val="00387D73"/>
    <w:rsid w:val="00387EEB"/>
    <w:rsid w:val="00390193"/>
    <w:rsid w:val="00390228"/>
    <w:rsid w:val="00390239"/>
    <w:rsid w:val="003903D1"/>
    <w:rsid w:val="0039048D"/>
    <w:rsid w:val="0039051C"/>
    <w:rsid w:val="00390707"/>
    <w:rsid w:val="00390A65"/>
    <w:rsid w:val="00390AA8"/>
    <w:rsid w:val="00390D8E"/>
    <w:rsid w:val="0039112E"/>
    <w:rsid w:val="00391195"/>
    <w:rsid w:val="0039134F"/>
    <w:rsid w:val="00391429"/>
    <w:rsid w:val="003915DF"/>
    <w:rsid w:val="00391950"/>
    <w:rsid w:val="00391B06"/>
    <w:rsid w:val="00391C47"/>
    <w:rsid w:val="00391E4B"/>
    <w:rsid w:val="00391FCB"/>
    <w:rsid w:val="003921D9"/>
    <w:rsid w:val="0039253F"/>
    <w:rsid w:val="00392704"/>
    <w:rsid w:val="00392994"/>
    <w:rsid w:val="00392B16"/>
    <w:rsid w:val="00392B1C"/>
    <w:rsid w:val="00392B1E"/>
    <w:rsid w:val="00392BE2"/>
    <w:rsid w:val="00392C11"/>
    <w:rsid w:val="00392D4A"/>
    <w:rsid w:val="00392D8A"/>
    <w:rsid w:val="00393088"/>
    <w:rsid w:val="0039311B"/>
    <w:rsid w:val="0039315D"/>
    <w:rsid w:val="0039329B"/>
    <w:rsid w:val="003932B1"/>
    <w:rsid w:val="00393367"/>
    <w:rsid w:val="00393508"/>
    <w:rsid w:val="00393516"/>
    <w:rsid w:val="003935A0"/>
    <w:rsid w:val="0039388C"/>
    <w:rsid w:val="00393A94"/>
    <w:rsid w:val="00393A9C"/>
    <w:rsid w:val="00393AC3"/>
    <w:rsid w:val="00393D1A"/>
    <w:rsid w:val="00393DE0"/>
    <w:rsid w:val="003941B4"/>
    <w:rsid w:val="0039475C"/>
    <w:rsid w:val="0039496D"/>
    <w:rsid w:val="003949BF"/>
    <w:rsid w:val="00394A0C"/>
    <w:rsid w:val="00394BB6"/>
    <w:rsid w:val="00394BC7"/>
    <w:rsid w:val="00394CB1"/>
    <w:rsid w:val="00394D3A"/>
    <w:rsid w:val="00394EC0"/>
    <w:rsid w:val="00394FA0"/>
    <w:rsid w:val="00394FAD"/>
    <w:rsid w:val="00394FE4"/>
    <w:rsid w:val="003950E0"/>
    <w:rsid w:val="003954D4"/>
    <w:rsid w:val="003955EB"/>
    <w:rsid w:val="00395627"/>
    <w:rsid w:val="0039578E"/>
    <w:rsid w:val="00395871"/>
    <w:rsid w:val="00395AB9"/>
    <w:rsid w:val="00395DB7"/>
    <w:rsid w:val="00395F31"/>
    <w:rsid w:val="00395F7E"/>
    <w:rsid w:val="00395FE4"/>
    <w:rsid w:val="0039617C"/>
    <w:rsid w:val="0039628B"/>
    <w:rsid w:val="003964F8"/>
    <w:rsid w:val="00396A2A"/>
    <w:rsid w:val="00396CB3"/>
    <w:rsid w:val="00396F46"/>
    <w:rsid w:val="00396FD2"/>
    <w:rsid w:val="003970D8"/>
    <w:rsid w:val="003970F7"/>
    <w:rsid w:val="003971AF"/>
    <w:rsid w:val="00397234"/>
    <w:rsid w:val="003972BE"/>
    <w:rsid w:val="003972D9"/>
    <w:rsid w:val="00397565"/>
    <w:rsid w:val="0039776E"/>
    <w:rsid w:val="00397812"/>
    <w:rsid w:val="00397993"/>
    <w:rsid w:val="00397CD5"/>
    <w:rsid w:val="00397DB3"/>
    <w:rsid w:val="00397E96"/>
    <w:rsid w:val="00397FA3"/>
    <w:rsid w:val="003A0100"/>
    <w:rsid w:val="003A0169"/>
    <w:rsid w:val="003A040F"/>
    <w:rsid w:val="003A08B4"/>
    <w:rsid w:val="003A0AB4"/>
    <w:rsid w:val="003A0C39"/>
    <w:rsid w:val="003A0C84"/>
    <w:rsid w:val="003A1073"/>
    <w:rsid w:val="003A139D"/>
    <w:rsid w:val="003A15E8"/>
    <w:rsid w:val="003A165A"/>
    <w:rsid w:val="003A1816"/>
    <w:rsid w:val="003A181A"/>
    <w:rsid w:val="003A1920"/>
    <w:rsid w:val="003A1A6C"/>
    <w:rsid w:val="003A1C6F"/>
    <w:rsid w:val="003A1DAB"/>
    <w:rsid w:val="003A2008"/>
    <w:rsid w:val="003A21C7"/>
    <w:rsid w:val="003A2499"/>
    <w:rsid w:val="003A27EE"/>
    <w:rsid w:val="003A2A65"/>
    <w:rsid w:val="003A2B6A"/>
    <w:rsid w:val="003A2BFD"/>
    <w:rsid w:val="003A3159"/>
    <w:rsid w:val="003A318A"/>
    <w:rsid w:val="003A3205"/>
    <w:rsid w:val="003A32F0"/>
    <w:rsid w:val="003A336A"/>
    <w:rsid w:val="003A35BE"/>
    <w:rsid w:val="003A36B5"/>
    <w:rsid w:val="003A3976"/>
    <w:rsid w:val="003A3A87"/>
    <w:rsid w:val="003A3B19"/>
    <w:rsid w:val="003A3B74"/>
    <w:rsid w:val="003A3C5D"/>
    <w:rsid w:val="003A3CAD"/>
    <w:rsid w:val="003A3E63"/>
    <w:rsid w:val="003A40DB"/>
    <w:rsid w:val="003A41A7"/>
    <w:rsid w:val="003A41E8"/>
    <w:rsid w:val="003A44B9"/>
    <w:rsid w:val="003A4548"/>
    <w:rsid w:val="003A47E1"/>
    <w:rsid w:val="003A4CFA"/>
    <w:rsid w:val="003A4EEB"/>
    <w:rsid w:val="003A5032"/>
    <w:rsid w:val="003A5090"/>
    <w:rsid w:val="003A523D"/>
    <w:rsid w:val="003A5265"/>
    <w:rsid w:val="003A5497"/>
    <w:rsid w:val="003A5510"/>
    <w:rsid w:val="003A5556"/>
    <w:rsid w:val="003A55C7"/>
    <w:rsid w:val="003A56B2"/>
    <w:rsid w:val="003A56E9"/>
    <w:rsid w:val="003A5839"/>
    <w:rsid w:val="003A58AE"/>
    <w:rsid w:val="003A5918"/>
    <w:rsid w:val="003A59E9"/>
    <w:rsid w:val="003A5A78"/>
    <w:rsid w:val="003A5C82"/>
    <w:rsid w:val="003A5E4A"/>
    <w:rsid w:val="003A6036"/>
    <w:rsid w:val="003A614B"/>
    <w:rsid w:val="003A61C5"/>
    <w:rsid w:val="003A6371"/>
    <w:rsid w:val="003A65C1"/>
    <w:rsid w:val="003A665D"/>
    <w:rsid w:val="003A6887"/>
    <w:rsid w:val="003A6A86"/>
    <w:rsid w:val="003A6BBD"/>
    <w:rsid w:val="003A6BC2"/>
    <w:rsid w:val="003A6E49"/>
    <w:rsid w:val="003A6F8A"/>
    <w:rsid w:val="003A6F97"/>
    <w:rsid w:val="003A6FCF"/>
    <w:rsid w:val="003A70A1"/>
    <w:rsid w:val="003A70C9"/>
    <w:rsid w:val="003A70E7"/>
    <w:rsid w:val="003A72D2"/>
    <w:rsid w:val="003A74AF"/>
    <w:rsid w:val="003A7607"/>
    <w:rsid w:val="003A76E5"/>
    <w:rsid w:val="003A77D6"/>
    <w:rsid w:val="003A7824"/>
    <w:rsid w:val="003A79DD"/>
    <w:rsid w:val="003A7A08"/>
    <w:rsid w:val="003A7B31"/>
    <w:rsid w:val="003A7BEF"/>
    <w:rsid w:val="003A7D40"/>
    <w:rsid w:val="003A7D77"/>
    <w:rsid w:val="003A7D84"/>
    <w:rsid w:val="003B001D"/>
    <w:rsid w:val="003B00FA"/>
    <w:rsid w:val="003B0134"/>
    <w:rsid w:val="003B0493"/>
    <w:rsid w:val="003B065E"/>
    <w:rsid w:val="003B0802"/>
    <w:rsid w:val="003B095B"/>
    <w:rsid w:val="003B09A5"/>
    <w:rsid w:val="003B0D6E"/>
    <w:rsid w:val="003B0E53"/>
    <w:rsid w:val="003B0E94"/>
    <w:rsid w:val="003B10C8"/>
    <w:rsid w:val="003B12C3"/>
    <w:rsid w:val="003B13F5"/>
    <w:rsid w:val="003B1598"/>
    <w:rsid w:val="003B15CF"/>
    <w:rsid w:val="003B1655"/>
    <w:rsid w:val="003B175E"/>
    <w:rsid w:val="003B186F"/>
    <w:rsid w:val="003B1CF3"/>
    <w:rsid w:val="003B1DAB"/>
    <w:rsid w:val="003B1FAF"/>
    <w:rsid w:val="003B1FB4"/>
    <w:rsid w:val="003B20EA"/>
    <w:rsid w:val="003B2128"/>
    <w:rsid w:val="003B213E"/>
    <w:rsid w:val="003B243A"/>
    <w:rsid w:val="003B26B9"/>
    <w:rsid w:val="003B271B"/>
    <w:rsid w:val="003B28EF"/>
    <w:rsid w:val="003B2F26"/>
    <w:rsid w:val="003B2F29"/>
    <w:rsid w:val="003B2F5E"/>
    <w:rsid w:val="003B2F7C"/>
    <w:rsid w:val="003B316C"/>
    <w:rsid w:val="003B323C"/>
    <w:rsid w:val="003B3240"/>
    <w:rsid w:val="003B347F"/>
    <w:rsid w:val="003B370B"/>
    <w:rsid w:val="003B37A5"/>
    <w:rsid w:val="003B3917"/>
    <w:rsid w:val="003B3C74"/>
    <w:rsid w:val="003B3DBD"/>
    <w:rsid w:val="003B3DFB"/>
    <w:rsid w:val="003B4252"/>
    <w:rsid w:val="003B43EF"/>
    <w:rsid w:val="003B45CF"/>
    <w:rsid w:val="003B4614"/>
    <w:rsid w:val="003B46F8"/>
    <w:rsid w:val="003B4841"/>
    <w:rsid w:val="003B4B1F"/>
    <w:rsid w:val="003B4C58"/>
    <w:rsid w:val="003B4E61"/>
    <w:rsid w:val="003B4E8B"/>
    <w:rsid w:val="003B50B3"/>
    <w:rsid w:val="003B536C"/>
    <w:rsid w:val="003B5492"/>
    <w:rsid w:val="003B551F"/>
    <w:rsid w:val="003B5523"/>
    <w:rsid w:val="003B5962"/>
    <w:rsid w:val="003B5E57"/>
    <w:rsid w:val="003B5EF6"/>
    <w:rsid w:val="003B5F1C"/>
    <w:rsid w:val="003B5FFB"/>
    <w:rsid w:val="003B6213"/>
    <w:rsid w:val="003B6471"/>
    <w:rsid w:val="003B64F2"/>
    <w:rsid w:val="003B657B"/>
    <w:rsid w:val="003B6760"/>
    <w:rsid w:val="003B67E3"/>
    <w:rsid w:val="003B68B4"/>
    <w:rsid w:val="003B69D4"/>
    <w:rsid w:val="003B6A3E"/>
    <w:rsid w:val="003B6A50"/>
    <w:rsid w:val="003B6B96"/>
    <w:rsid w:val="003B6BC1"/>
    <w:rsid w:val="003B6BE3"/>
    <w:rsid w:val="003B6D13"/>
    <w:rsid w:val="003B6FCD"/>
    <w:rsid w:val="003B70CB"/>
    <w:rsid w:val="003B7185"/>
    <w:rsid w:val="003B728D"/>
    <w:rsid w:val="003B75F3"/>
    <w:rsid w:val="003B76CA"/>
    <w:rsid w:val="003B780F"/>
    <w:rsid w:val="003B7B7F"/>
    <w:rsid w:val="003B7BAA"/>
    <w:rsid w:val="003B7BD2"/>
    <w:rsid w:val="003B7F55"/>
    <w:rsid w:val="003C0077"/>
    <w:rsid w:val="003C0204"/>
    <w:rsid w:val="003C037B"/>
    <w:rsid w:val="003C04BB"/>
    <w:rsid w:val="003C0541"/>
    <w:rsid w:val="003C0578"/>
    <w:rsid w:val="003C0B85"/>
    <w:rsid w:val="003C0BEA"/>
    <w:rsid w:val="003C0C05"/>
    <w:rsid w:val="003C0D9D"/>
    <w:rsid w:val="003C0DB9"/>
    <w:rsid w:val="003C11EA"/>
    <w:rsid w:val="003C1239"/>
    <w:rsid w:val="003C12AF"/>
    <w:rsid w:val="003C1349"/>
    <w:rsid w:val="003C13D2"/>
    <w:rsid w:val="003C15C1"/>
    <w:rsid w:val="003C17E4"/>
    <w:rsid w:val="003C1865"/>
    <w:rsid w:val="003C1E98"/>
    <w:rsid w:val="003C1F30"/>
    <w:rsid w:val="003C1FA5"/>
    <w:rsid w:val="003C201D"/>
    <w:rsid w:val="003C2286"/>
    <w:rsid w:val="003C230A"/>
    <w:rsid w:val="003C2321"/>
    <w:rsid w:val="003C2428"/>
    <w:rsid w:val="003C2469"/>
    <w:rsid w:val="003C2579"/>
    <w:rsid w:val="003C2909"/>
    <w:rsid w:val="003C2AAF"/>
    <w:rsid w:val="003C2AE6"/>
    <w:rsid w:val="003C2CDD"/>
    <w:rsid w:val="003C2E7B"/>
    <w:rsid w:val="003C2EE1"/>
    <w:rsid w:val="003C2F44"/>
    <w:rsid w:val="003C2FA8"/>
    <w:rsid w:val="003C2FC7"/>
    <w:rsid w:val="003C3115"/>
    <w:rsid w:val="003C3579"/>
    <w:rsid w:val="003C36E7"/>
    <w:rsid w:val="003C3750"/>
    <w:rsid w:val="003C3811"/>
    <w:rsid w:val="003C3918"/>
    <w:rsid w:val="003C3BF0"/>
    <w:rsid w:val="003C41D3"/>
    <w:rsid w:val="003C41FF"/>
    <w:rsid w:val="003C42F6"/>
    <w:rsid w:val="003C445B"/>
    <w:rsid w:val="003C44B7"/>
    <w:rsid w:val="003C44DA"/>
    <w:rsid w:val="003C45CA"/>
    <w:rsid w:val="003C4A83"/>
    <w:rsid w:val="003C4AE9"/>
    <w:rsid w:val="003C4C52"/>
    <w:rsid w:val="003C4C9C"/>
    <w:rsid w:val="003C4CBD"/>
    <w:rsid w:val="003C4DC3"/>
    <w:rsid w:val="003C4E15"/>
    <w:rsid w:val="003C4EA0"/>
    <w:rsid w:val="003C5150"/>
    <w:rsid w:val="003C529C"/>
    <w:rsid w:val="003C5777"/>
    <w:rsid w:val="003C57DD"/>
    <w:rsid w:val="003C57E6"/>
    <w:rsid w:val="003C5888"/>
    <w:rsid w:val="003C58DE"/>
    <w:rsid w:val="003C5A97"/>
    <w:rsid w:val="003C5CC4"/>
    <w:rsid w:val="003C5F77"/>
    <w:rsid w:val="003C6006"/>
    <w:rsid w:val="003C62B6"/>
    <w:rsid w:val="003C6579"/>
    <w:rsid w:val="003C65F4"/>
    <w:rsid w:val="003C666C"/>
    <w:rsid w:val="003C697E"/>
    <w:rsid w:val="003C6B84"/>
    <w:rsid w:val="003C6C44"/>
    <w:rsid w:val="003C6D36"/>
    <w:rsid w:val="003C6E7C"/>
    <w:rsid w:val="003C6EE5"/>
    <w:rsid w:val="003C6F0A"/>
    <w:rsid w:val="003C6F33"/>
    <w:rsid w:val="003C70F8"/>
    <w:rsid w:val="003C710C"/>
    <w:rsid w:val="003C71F5"/>
    <w:rsid w:val="003C7212"/>
    <w:rsid w:val="003C73F9"/>
    <w:rsid w:val="003C7C3B"/>
    <w:rsid w:val="003C7DAC"/>
    <w:rsid w:val="003C7DBF"/>
    <w:rsid w:val="003C7F07"/>
    <w:rsid w:val="003C7F82"/>
    <w:rsid w:val="003C7FCB"/>
    <w:rsid w:val="003D02E1"/>
    <w:rsid w:val="003D045B"/>
    <w:rsid w:val="003D050D"/>
    <w:rsid w:val="003D05C9"/>
    <w:rsid w:val="003D05CE"/>
    <w:rsid w:val="003D08DA"/>
    <w:rsid w:val="003D09B9"/>
    <w:rsid w:val="003D0C09"/>
    <w:rsid w:val="003D0CDB"/>
    <w:rsid w:val="003D0D9A"/>
    <w:rsid w:val="003D11B3"/>
    <w:rsid w:val="003D11E4"/>
    <w:rsid w:val="003D11EA"/>
    <w:rsid w:val="003D16B0"/>
    <w:rsid w:val="003D16E2"/>
    <w:rsid w:val="003D16F0"/>
    <w:rsid w:val="003D1783"/>
    <w:rsid w:val="003D181D"/>
    <w:rsid w:val="003D1C25"/>
    <w:rsid w:val="003D1D82"/>
    <w:rsid w:val="003D216E"/>
    <w:rsid w:val="003D2323"/>
    <w:rsid w:val="003D2644"/>
    <w:rsid w:val="003D2704"/>
    <w:rsid w:val="003D2748"/>
    <w:rsid w:val="003D278A"/>
    <w:rsid w:val="003D27F6"/>
    <w:rsid w:val="003D2A1B"/>
    <w:rsid w:val="003D2A9E"/>
    <w:rsid w:val="003D2D48"/>
    <w:rsid w:val="003D2F20"/>
    <w:rsid w:val="003D2F4D"/>
    <w:rsid w:val="003D2FF4"/>
    <w:rsid w:val="003D316A"/>
    <w:rsid w:val="003D3361"/>
    <w:rsid w:val="003D3435"/>
    <w:rsid w:val="003D3504"/>
    <w:rsid w:val="003D36B5"/>
    <w:rsid w:val="003D3970"/>
    <w:rsid w:val="003D3BAE"/>
    <w:rsid w:val="003D3D43"/>
    <w:rsid w:val="003D3D4A"/>
    <w:rsid w:val="003D3D56"/>
    <w:rsid w:val="003D41D9"/>
    <w:rsid w:val="003D425E"/>
    <w:rsid w:val="003D4553"/>
    <w:rsid w:val="003D4C21"/>
    <w:rsid w:val="003D4C43"/>
    <w:rsid w:val="003D4D1D"/>
    <w:rsid w:val="003D4D80"/>
    <w:rsid w:val="003D4DA0"/>
    <w:rsid w:val="003D4DC0"/>
    <w:rsid w:val="003D4DC7"/>
    <w:rsid w:val="003D4E47"/>
    <w:rsid w:val="003D4F0C"/>
    <w:rsid w:val="003D4F39"/>
    <w:rsid w:val="003D506D"/>
    <w:rsid w:val="003D5222"/>
    <w:rsid w:val="003D529F"/>
    <w:rsid w:val="003D5627"/>
    <w:rsid w:val="003D59FC"/>
    <w:rsid w:val="003D5A17"/>
    <w:rsid w:val="003D5DFA"/>
    <w:rsid w:val="003D5E7E"/>
    <w:rsid w:val="003D5F0F"/>
    <w:rsid w:val="003D6119"/>
    <w:rsid w:val="003D64B2"/>
    <w:rsid w:val="003D68D8"/>
    <w:rsid w:val="003D6BCB"/>
    <w:rsid w:val="003D6F37"/>
    <w:rsid w:val="003D6F70"/>
    <w:rsid w:val="003D70AC"/>
    <w:rsid w:val="003D70E5"/>
    <w:rsid w:val="003D717A"/>
    <w:rsid w:val="003D7234"/>
    <w:rsid w:val="003D72FA"/>
    <w:rsid w:val="003D74F1"/>
    <w:rsid w:val="003D74F9"/>
    <w:rsid w:val="003D7555"/>
    <w:rsid w:val="003D757F"/>
    <w:rsid w:val="003D7813"/>
    <w:rsid w:val="003D7A03"/>
    <w:rsid w:val="003D7A53"/>
    <w:rsid w:val="003D7A7B"/>
    <w:rsid w:val="003D7B82"/>
    <w:rsid w:val="003D7CF5"/>
    <w:rsid w:val="003D7D07"/>
    <w:rsid w:val="003D7E49"/>
    <w:rsid w:val="003D7ED0"/>
    <w:rsid w:val="003D7F9C"/>
    <w:rsid w:val="003E004F"/>
    <w:rsid w:val="003E00AC"/>
    <w:rsid w:val="003E0135"/>
    <w:rsid w:val="003E031E"/>
    <w:rsid w:val="003E097C"/>
    <w:rsid w:val="003E0B42"/>
    <w:rsid w:val="003E0D67"/>
    <w:rsid w:val="003E0DA4"/>
    <w:rsid w:val="003E0DCB"/>
    <w:rsid w:val="003E0E7A"/>
    <w:rsid w:val="003E0F68"/>
    <w:rsid w:val="003E108F"/>
    <w:rsid w:val="003E11B3"/>
    <w:rsid w:val="003E11EA"/>
    <w:rsid w:val="003E124D"/>
    <w:rsid w:val="003E12D8"/>
    <w:rsid w:val="003E1355"/>
    <w:rsid w:val="003E13AF"/>
    <w:rsid w:val="003E1631"/>
    <w:rsid w:val="003E16F5"/>
    <w:rsid w:val="003E185F"/>
    <w:rsid w:val="003E1A54"/>
    <w:rsid w:val="003E1BA3"/>
    <w:rsid w:val="003E1BF0"/>
    <w:rsid w:val="003E1C50"/>
    <w:rsid w:val="003E1C68"/>
    <w:rsid w:val="003E1D3A"/>
    <w:rsid w:val="003E1DD4"/>
    <w:rsid w:val="003E1E04"/>
    <w:rsid w:val="003E206D"/>
    <w:rsid w:val="003E2147"/>
    <w:rsid w:val="003E22F2"/>
    <w:rsid w:val="003E2745"/>
    <w:rsid w:val="003E2B4A"/>
    <w:rsid w:val="003E2D30"/>
    <w:rsid w:val="003E2E37"/>
    <w:rsid w:val="003E2EFA"/>
    <w:rsid w:val="003E2F72"/>
    <w:rsid w:val="003E3016"/>
    <w:rsid w:val="003E3269"/>
    <w:rsid w:val="003E3303"/>
    <w:rsid w:val="003E3407"/>
    <w:rsid w:val="003E352B"/>
    <w:rsid w:val="003E367F"/>
    <w:rsid w:val="003E37AF"/>
    <w:rsid w:val="003E39A0"/>
    <w:rsid w:val="003E3A8B"/>
    <w:rsid w:val="003E3C25"/>
    <w:rsid w:val="003E3D65"/>
    <w:rsid w:val="003E3D9D"/>
    <w:rsid w:val="003E3F12"/>
    <w:rsid w:val="003E4097"/>
    <w:rsid w:val="003E42B0"/>
    <w:rsid w:val="003E432D"/>
    <w:rsid w:val="003E4425"/>
    <w:rsid w:val="003E4787"/>
    <w:rsid w:val="003E48BB"/>
    <w:rsid w:val="003E4908"/>
    <w:rsid w:val="003E4A3F"/>
    <w:rsid w:val="003E4AE4"/>
    <w:rsid w:val="003E4C21"/>
    <w:rsid w:val="003E4EB0"/>
    <w:rsid w:val="003E4F02"/>
    <w:rsid w:val="003E5062"/>
    <w:rsid w:val="003E5206"/>
    <w:rsid w:val="003E5271"/>
    <w:rsid w:val="003E52C8"/>
    <w:rsid w:val="003E5484"/>
    <w:rsid w:val="003E560D"/>
    <w:rsid w:val="003E5622"/>
    <w:rsid w:val="003E5768"/>
    <w:rsid w:val="003E5B5A"/>
    <w:rsid w:val="003E5BB6"/>
    <w:rsid w:val="003E5C0C"/>
    <w:rsid w:val="003E5CEE"/>
    <w:rsid w:val="003E5D9B"/>
    <w:rsid w:val="003E6272"/>
    <w:rsid w:val="003E62D9"/>
    <w:rsid w:val="003E64FB"/>
    <w:rsid w:val="003E6524"/>
    <w:rsid w:val="003E655D"/>
    <w:rsid w:val="003E659D"/>
    <w:rsid w:val="003E665C"/>
    <w:rsid w:val="003E66E4"/>
    <w:rsid w:val="003E6746"/>
    <w:rsid w:val="003E68BE"/>
    <w:rsid w:val="003E6A55"/>
    <w:rsid w:val="003E6A76"/>
    <w:rsid w:val="003E6CDE"/>
    <w:rsid w:val="003E6D13"/>
    <w:rsid w:val="003E6DE1"/>
    <w:rsid w:val="003E6EF2"/>
    <w:rsid w:val="003E6FC7"/>
    <w:rsid w:val="003E7158"/>
    <w:rsid w:val="003E71A8"/>
    <w:rsid w:val="003E71B5"/>
    <w:rsid w:val="003E72A4"/>
    <w:rsid w:val="003E7713"/>
    <w:rsid w:val="003E7722"/>
    <w:rsid w:val="003E780C"/>
    <w:rsid w:val="003E792D"/>
    <w:rsid w:val="003E7B02"/>
    <w:rsid w:val="003E7DE5"/>
    <w:rsid w:val="003E7E2D"/>
    <w:rsid w:val="003E7FC7"/>
    <w:rsid w:val="003F053F"/>
    <w:rsid w:val="003F05B1"/>
    <w:rsid w:val="003F05D2"/>
    <w:rsid w:val="003F067F"/>
    <w:rsid w:val="003F0AD9"/>
    <w:rsid w:val="003F0AE4"/>
    <w:rsid w:val="003F0B04"/>
    <w:rsid w:val="003F0BBD"/>
    <w:rsid w:val="003F0DF7"/>
    <w:rsid w:val="003F0DFF"/>
    <w:rsid w:val="003F0E75"/>
    <w:rsid w:val="003F0F04"/>
    <w:rsid w:val="003F106B"/>
    <w:rsid w:val="003F1209"/>
    <w:rsid w:val="003F1342"/>
    <w:rsid w:val="003F146B"/>
    <w:rsid w:val="003F1657"/>
    <w:rsid w:val="003F1747"/>
    <w:rsid w:val="003F17C0"/>
    <w:rsid w:val="003F17D8"/>
    <w:rsid w:val="003F18C6"/>
    <w:rsid w:val="003F1A8D"/>
    <w:rsid w:val="003F1B90"/>
    <w:rsid w:val="003F1C01"/>
    <w:rsid w:val="003F1C2A"/>
    <w:rsid w:val="003F1F05"/>
    <w:rsid w:val="003F2420"/>
    <w:rsid w:val="003F258B"/>
    <w:rsid w:val="003F2975"/>
    <w:rsid w:val="003F297F"/>
    <w:rsid w:val="003F2B14"/>
    <w:rsid w:val="003F2C9E"/>
    <w:rsid w:val="003F2CC2"/>
    <w:rsid w:val="003F2D40"/>
    <w:rsid w:val="003F2D70"/>
    <w:rsid w:val="003F3020"/>
    <w:rsid w:val="003F362A"/>
    <w:rsid w:val="003F36E2"/>
    <w:rsid w:val="003F3A71"/>
    <w:rsid w:val="003F3A7F"/>
    <w:rsid w:val="003F3DD1"/>
    <w:rsid w:val="003F3E66"/>
    <w:rsid w:val="003F40CF"/>
    <w:rsid w:val="003F44B9"/>
    <w:rsid w:val="003F4509"/>
    <w:rsid w:val="003F4631"/>
    <w:rsid w:val="003F46C4"/>
    <w:rsid w:val="003F471C"/>
    <w:rsid w:val="003F48E2"/>
    <w:rsid w:val="003F4AFF"/>
    <w:rsid w:val="003F4BE1"/>
    <w:rsid w:val="003F4C14"/>
    <w:rsid w:val="003F4DA6"/>
    <w:rsid w:val="003F4E91"/>
    <w:rsid w:val="003F4F0B"/>
    <w:rsid w:val="003F4FBA"/>
    <w:rsid w:val="003F5413"/>
    <w:rsid w:val="003F5536"/>
    <w:rsid w:val="003F5625"/>
    <w:rsid w:val="003F56C0"/>
    <w:rsid w:val="003F58E1"/>
    <w:rsid w:val="003F59C3"/>
    <w:rsid w:val="003F59E4"/>
    <w:rsid w:val="003F5A6F"/>
    <w:rsid w:val="003F5CFF"/>
    <w:rsid w:val="003F5DC6"/>
    <w:rsid w:val="003F5F08"/>
    <w:rsid w:val="003F6035"/>
    <w:rsid w:val="003F6103"/>
    <w:rsid w:val="003F6189"/>
    <w:rsid w:val="003F6397"/>
    <w:rsid w:val="003F652D"/>
    <w:rsid w:val="003F6645"/>
    <w:rsid w:val="003F66F9"/>
    <w:rsid w:val="003F686E"/>
    <w:rsid w:val="003F6876"/>
    <w:rsid w:val="003F6A00"/>
    <w:rsid w:val="003F6D5C"/>
    <w:rsid w:val="003F6F32"/>
    <w:rsid w:val="003F6FD9"/>
    <w:rsid w:val="003F70C6"/>
    <w:rsid w:val="003F73C4"/>
    <w:rsid w:val="003F7613"/>
    <w:rsid w:val="003F7668"/>
    <w:rsid w:val="003F76D0"/>
    <w:rsid w:val="003F7752"/>
    <w:rsid w:val="003F7A48"/>
    <w:rsid w:val="004000E6"/>
    <w:rsid w:val="00400219"/>
    <w:rsid w:val="00400393"/>
    <w:rsid w:val="00400578"/>
    <w:rsid w:val="004005C7"/>
    <w:rsid w:val="0040067D"/>
    <w:rsid w:val="0040084D"/>
    <w:rsid w:val="004008E0"/>
    <w:rsid w:val="004008FB"/>
    <w:rsid w:val="0040098B"/>
    <w:rsid w:val="00400A37"/>
    <w:rsid w:val="00400A5E"/>
    <w:rsid w:val="00400C88"/>
    <w:rsid w:val="00400CB5"/>
    <w:rsid w:val="00400D12"/>
    <w:rsid w:val="00400D35"/>
    <w:rsid w:val="00400E62"/>
    <w:rsid w:val="00400E77"/>
    <w:rsid w:val="00401479"/>
    <w:rsid w:val="004014C8"/>
    <w:rsid w:val="00401938"/>
    <w:rsid w:val="00401C98"/>
    <w:rsid w:val="00401D45"/>
    <w:rsid w:val="00401EA9"/>
    <w:rsid w:val="004020FE"/>
    <w:rsid w:val="004021EF"/>
    <w:rsid w:val="004025B8"/>
    <w:rsid w:val="004025E8"/>
    <w:rsid w:val="0040281A"/>
    <w:rsid w:val="00402A81"/>
    <w:rsid w:val="00402A8C"/>
    <w:rsid w:val="00402FA5"/>
    <w:rsid w:val="0040315D"/>
    <w:rsid w:val="0040327D"/>
    <w:rsid w:val="004032B7"/>
    <w:rsid w:val="004034AD"/>
    <w:rsid w:val="004034B6"/>
    <w:rsid w:val="00403923"/>
    <w:rsid w:val="00403A50"/>
    <w:rsid w:val="00403B49"/>
    <w:rsid w:val="00403BF2"/>
    <w:rsid w:val="00403CC1"/>
    <w:rsid w:val="00403E18"/>
    <w:rsid w:val="00403EFD"/>
    <w:rsid w:val="00404105"/>
    <w:rsid w:val="004041BB"/>
    <w:rsid w:val="0040423B"/>
    <w:rsid w:val="00404290"/>
    <w:rsid w:val="00404671"/>
    <w:rsid w:val="0040471C"/>
    <w:rsid w:val="004048D1"/>
    <w:rsid w:val="00404A7E"/>
    <w:rsid w:val="00404C42"/>
    <w:rsid w:val="00404CF8"/>
    <w:rsid w:val="00404E30"/>
    <w:rsid w:val="00404ED5"/>
    <w:rsid w:val="00405085"/>
    <w:rsid w:val="004054A9"/>
    <w:rsid w:val="00405782"/>
    <w:rsid w:val="004057F7"/>
    <w:rsid w:val="00405984"/>
    <w:rsid w:val="004059F4"/>
    <w:rsid w:val="00405A1A"/>
    <w:rsid w:val="00405A77"/>
    <w:rsid w:val="00405E30"/>
    <w:rsid w:val="00406337"/>
    <w:rsid w:val="0040649D"/>
    <w:rsid w:val="00406595"/>
    <w:rsid w:val="004067F0"/>
    <w:rsid w:val="00406985"/>
    <w:rsid w:val="00406A62"/>
    <w:rsid w:val="00406AEF"/>
    <w:rsid w:val="00406B4A"/>
    <w:rsid w:val="00406DDB"/>
    <w:rsid w:val="00406E19"/>
    <w:rsid w:val="00406F7D"/>
    <w:rsid w:val="00407108"/>
    <w:rsid w:val="004071CA"/>
    <w:rsid w:val="00407253"/>
    <w:rsid w:val="00407389"/>
    <w:rsid w:val="004073E7"/>
    <w:rsid w:val="0040752B"/>
    <w:rsid w:val="0040759D"/>
    <w:rsid w:val="0040769A"/>
    <w:rsid w:val="00407845"/>
    <w:rsid w:val="00407977"/>
    <w:rsid w:val="00407AEA"/>
    <w:rsid w:val="00407BC8"/>
    <w:rsid w:val="00407DC2"/>
    <w:rsid w:val="00407E86"/>
    <w:rsid w:val="00407ED7"/>
    <w:rsid w:val="00407F28"/>
    <w:rsid w:val="00407F5A"/>
    <w:rsid w:val="00407FAD"/>
    <w:rsid w:val="00407FB3"/>
    <w:rsid w:val="0041008B"/>
    <w:rsid w:val="0041016C"/>
    <w:rsid w:val="00410285"/>
    <w:rsid w:val="004102EA"/>
    <w:rsid w:val="004102EE"/>
    <w:rsid w:val="004102FE"/>
    <w:rsid w:val="004103DF"/>
    <w:rsid w:val="004103FD"/>
    <w:rsid w:val="00410406"/>
    <w:rsid w:val="004106D9"/>
    <w:rsid w:val="00410701"/>
    <w:rsid w:val="00410876"/>
    <w:rsid w:val="00410917"/>
    <w:rsid w:val="004109E5"/>
    <w:rsid w:val="00410A52"/>
    <w:rsid w:val="00410B90"/>
    <w:rsid w:val="00410C8E"/>
    <w:rsid w:val="00410CBC"/>
    <w:rsid w:val="00410DAE"/>
    <w:rsid w:val="00410E8F"/>
    <w:rsid w:val="004110E7"/>
    <w:rsid w:val="0041114B"/>
    <w:rsid w:val="00411682"/>
    <w:rsid w:val="004116CE"/>
    <w:rsid w:val="004116D5"/>
    <w:rsid w:val="00411792"/>
    <w:rsid w:val="004118AB"/>
    <w:rsid w:val="0041198E"/>
    <w:rsid w:val="00411A80"/>
    <w:rsid w:val="00411AC6"/>
    <w:rsid w:val="00411D46"/>
    <w:rsid w:val="00411D68"/>
    <w:rsid w:val="004122F1"/>
    <w:rsid w:val="00412322"/>
    <w:rsid w:val="00412346"/>
    <w:rsid w:val="00412485"/>
    <w:rsid w:val="004124E0"/>
    <w:rsid w:val="004124FC"/>
    <w:rsid w:val="004126C2"/>
    <w:rsid w:val="0041292B"/>
    <w:rsid w:val="00412B2B"/>
    <w:rsid w:val="00412C43"/>
    <w:rsid w:val="00412CB4"/>
    <w:rsid w:val="00412CC5"/>
    <w:rsid w:val="00412DA3"/>
    <w:rsid w:val="00412E21"/>
    <w:rsid w:val="00412ECE"/>
    <w:rsid w:val="00412FEC"/>
    <w:rsid w:val="0041304F"/>
    <w:rsid w:val="00413508"/>
    <w:rsid w:val="0041352A"/>
    <w:rsid w:val="004137B1"/>
    <w:rsid w:val="004138EC"/>
    <w:rsid w:val="00413909"/>
    <w:rsid w:val="00413B2F"/>
    <w:rsid w:val="00413D38"/>
    <w:rsid w:val="00413DE0"/>
    <w:rsid w:val="004140C4"/>
    <w:rsid w:val="004141CB"/>
    <w:rsid w:val="0041422A"/>
    <w:rsid w:val="00414428"/>
    <w:rsid w:val="004145D7"/>
    <w:rsid w:val="0041477A"/>
    <w:rsid w:val="00414884"/>
    <w:rsid w:val="00414A71"/>
    <w:rsid w:val="00414CE9"/>
    <w:rsid w:val="004150A5"/>
    <w:rsid w:val="004150F5"/>
    <w:rsid w:val="00415590"/>
    <w:rsid w:val="00415A11"/>
    <w:rsid w:val="00415ABF"/>
    <w:rsid w:val="00415C28"/>
    <w:rsid w:val="00415DF9"/>
    <w:rsid w:val="00415E25"/>
    <w:rsid w:val="00415ED4"/>
    <w:rsid w:val="00415F7F"/>
    <w:rsid w:val="00415F8C"/>
    <w:rsid w:val="00415F8F"/>
    <w:rsid w:val="0041614F"/>
    <w:rsid w:val="00416230"/>
    <w:rsid w:val="00416331"/>
    <w:rsid w:val="0041645A"/>
    <w:rsid w:val="00416588"/>
    <w:rsid w:val="0041698B"/>
    <w:rsid w:val="00416ACE"/>
    <w:rsid w:val="00416B02"/>
    <w:rsid w:val="00416BB4"/>
    <w:rsid w:val="00416C06"/>
    <w:rsid w:val="00416E22"/>
    <w:rsid w:val="00416E62"/>
    <w:rsid w:val="00416F7F"/>
    <w:rsid w:val="004172D6"/>
    <w:rsid w:val="0041766A"/>
    <w:rsid w:val="00417825"/>
    <w:rsid w:val="0041784F"/>
    <w:rsid w:val="0041787E"/>
    <w:rsid w:val="00417904"/>
    <w:rsid w:val="00417AE7"/>
    <w:rsid w:val="00417C02"/>
    <w:rsid w:val="00417C39"/>
    <w:rsid w:val="00417FA5"/>
    <w:rsid w:val="004201C7"/>
    <w:rsid w:val="0042027C"/>
    <w:rsid w:val="004202D7"/>
    <w:rsid w:val="00420585"/>
    <w:rsid w:val="00420595"/>
    <w:rsid w:val="0042060C"/>
    <w:rsid w:val="00420666"/>
    <w:rsid w:val="00420723"/>
    <w:rsid w:val="0042085D"/>
    <w:rsid w:val="00420BC3"/>
    <w:rsid w:val="00420C45"/>
    <w:rsid w:val="00420C7B"/>
    <w:rsid w:val="00420CE3"/>
    <w:rsid w:val="00420CF7"/>
    <w:rsid w:val="00420E1A"/>
    <w:rsid w:val="00420E9A"/>
    <w:rsid w:val="00420F39"/>
    <w:rsid w:val="00420F7B"/>
    <w:rsid w:val="00420F83"/>
    <w:rsid w:val="00420FA4"/>
    <w:rsid w:val="00421056"/>
    <w:rsid w:val="004212BF"/>
    <w:rsid w:val="0042146C"/>
    <w:rsid w:val="004215D6"/>
    <w:rsid w:val="00421600"/>
    <w:rsid w:val="00421617"/>
    <w:rsid w:val="00421888"/>
    <w:rsid w:val="004218F7"/>
    <w:rsid w:val="00421A3A"/>
    <w:rsid w:val="00421AF0"/>
    <w:rsid w:val="00421BDD"/>
    <w:rsid w:val="00421C33"/>
    <w:rsid w:val="00421F4B"/>
    <w:rsid w:val="0042212D"/>
    <w:rsid w:val="0042220E"/>
    <w:rsid w:val="0042231E"/>
    <w:rsid w:val="004225E7"/>
    <w:rsid w:val="004226FA"/>
    <w:rsid w:val="0042295C"/>
    <w:rsid w:val="004229EF"/>
    <w:rsid w:val="00422A7A"/>
    <w:rsid w:val="00422CE0"/>
    <w:rsid w:val="00422F0B"/>
    <w:rsid w:val="00422FEB"/>
    <w:rsid w:val="0042300B"/>
    <w:rsid w:val="00423020"/>
    <w:rsid w:val="00423050"/>
    <w:rsid w:val="00423092"/>
    <w:rsid w:val="00423157"/>
    <w:rsid w:val="004231E3"/>
    <w:rsid w:val="00423320"/>
    <w:rsid w:val="004234C0"/>
    <w:rsid w:val="0042382A"/>
    <w:rsid w:val="0042390F"/>
    <w:rsid w:val="0042391D"/>
    <w:rsid w:val="00423B57"/>
    <w:rsid w:val="00423D64"/>
    <w:rsid w:val="0042400A"/>
    <w:rsid w:val="00424016"/>
    <w:rsid w:val="0042402B"/>
    <w:rsid w:val="004240D1"/>
    <w:rsid w:val="00424441"/>
    <w:rsid w:val="00424637"/>
    <w:rsid w:val="0042468D"/>
    <w:rsid w:val="004249A8"/>
    <w:rsid w:val="004249C4"/>
    <w:rsid w:val="00424A0D"/>
    <w:rsid w:val="00424ABF"/>
    <w:rsid w:val="00424CD8"/>
    <w:rsid w:val="00424DAA"/>
    <w:rsid w:val="00424DE5"/>
    <w:rsid w:val="0042514C"/>
    <w:rsid w:val="004252C4"/>
    <w:rsid w:val="00425360"/>
    <w:rsid w:val="00425610"/>
    <w:rsid w:val="004256E6"/>
    <w:rsid w:val="004257DC"/>
    <w:rsid w:val="00425930"/>
    <w:rsid w:val="00425954"/>
    <w:rsid w:val="00425982"/>
    <w:rsid w:val="004259D7"/>
    <w:rsid w:val="00425A5B"/>
    <w:rsid w:val="00425B97"/>
    <w:rsid w:val="00425BE3"/>
    <w:rsid w:val="00425E53"/>
    <w:rsid w:val="00425E92"/>
    <w:rsid w:val="00425F18"/>
    <w:rsid w:val="00426029"/>
    <w:rsid w:val="00426256"/>
    <w:rsid w:val="00426321"/>
    <w:rsid w:val="004263FE"/>
    <w:rsid w:val="00426561"/>
    <w:rsid w:val="0042668E"/>
    <w:rsid w:val="004266AF"/>
    <w:rsid w:val="00426B7C"/>
    <w:rsid w:val="00426C16"/>
    <w:rsid w:val="00426C38"/>
    <w:rsid w:val="00426C8B"/>
    <w:rsid w:val="00426D13"/>
    <w:rsid w:val="00426DDE"/>
    <w:rsid w:val="0042700C"/>
    <w:rsid w:val="00427096"/>
    <w:rsid w:val="004272FF"/>
    <w:rsid w:val="00427351"/>
    <w:rsid w:val="004274B2"/>
    <w:rsid w:val="004274B9"/>
    <w:rsid w:val="004274EB"/>
    <w:rsid w:val="004276E7"/>
    <w:rsid w:val="00427761"/>
    <w:rsid w:val="00427764"/>
    <w:rsid w:val="004279D9"/>
    <w:rsid w:val="00427ADB"/>
    <w:rsid w:val="00427AF3"/>
    <w:rsid w:val="00427B89"/>
    <w:rsid w:val="00427E03"/>
    <w:rsid w:val="00427E67"/>
    <w:rsid w:val="004300ED"/>
    <w:rsid w:val="00430200"/>
    <w:rsid w:val="004302B2"/>
    <w:rsid w:val="004306A8"/>
    <w:rsid w:val="00430846"/>
    <w:rsid w:val="004308DA"/>
    <w:rsid w:val="00430A22"/>
    <w:rsid w:val="00430A46"/>
    <w:rsid w:val="00430BD1"/>
    <w:rsid w:val="00430C45"/>
    <w:rsid w:val="004312F7"/>
    <w:rsid w:val="00431396"/>
    <w:rsid w:val="004314B2"/>
    <w:rsid w:val="0043169A"/>
    <w:rsid w:val="004316DA"/>
    <w:rsid w:val="004318A7"/>
    <w:rsid w:val="00431A46"/>
    <w:rsid w:val="00431B32"/>
    <w:rsid w:val="00431E65"/>
    <w:rsid w:val="00431EEE"/>
    <w:rsid w:val="00431FE8"/>
    <w:rsid w:val="00432059"/>
    <w:rsid w:val="00432277"/>
    <w:rsid w:val="0043248A"/>
    <w:rsid w:val="0043254E"/>
    <w:rsid w:val="00432638"/>
    <w:rsid w:val="00432878"/>
    <w:rsid w:val="004329DF"/>
    <w:rsid w:val="00432A1E"/>
    <w:rsid w:val="00432ABE"/>
    <w:rsid w:val="00432BD4"/>
    <w:rsid w:val="00432EAB"/>
    <w:rsid w:val="004331DD"/>
    <w:rsid w:val="00433218"/>
    <w:rsid w:val="00433452"/>
    <w:rsid w:val="00433629"/>
    <w:rsid w:val="00433669"/>
    <w:rsid w:val="00433848"/>
    <w:rsid w:val="004338F1"/>
    <w:rsid w:val="00433AC0"/>
    <w:rsid w:val="00433BA8"/>
    <w:rsid w:val="00433D12"/>
    <w:rsid w:val="00433D19"/>
    <w:rsid w:val="00433E2A"/>
    <w:rsid w:val="004340D9"/>
    <w:rsid w:val="004340DF"/>
    <w:rsid w:val="004341D7"/>
    <w:rsid w:val="00434350"/>
    <w:rsid w:val="004343C5"/>
    <w:rsid w:val="004344D0"/>
    <w:rsid w:val="004346D1"/>
    <w:rsid w:val="00434721"/>
    <w:rsid w:val="004347F0"/>
    <w:rsid w:val="00434872"/>
    <w:rsid w:val="004349B6"/>
    <w:rsid w:val="004349DA"/>
    <w:rsid w:val="00434B35"/>
    <w:rsid w:val="00434C1D"/>
    <w:rsid w:val="00434D18"/>
    <w:rsid w:val="00434D35"/>
    <w:rsid w:val="00434E6E"/>
    <w:rsid w:val="00434FC7"/>
    <w:rsid w:val="004350E6"/>
    <w:rsid w:val="0043532F"/>
    <w:rsid w:val="004353B2"/>
    <w:rsid w:val="004353B6"/>
    <w:rsid w:val="004353CF"/>
    <w:rsid w:val="004353D9"/>
    <w:rsid w:val="00435A1B"/>
    <w:rsid w:val="00435A86"/>
    <w:rsid w:val="00435A95"/>
    <w:rsid w:val="00435B16"/>
    <w:rsid w:val="00435C55"/>
    <w:rsid w:val="00435C9E"/>
    <w:rsid w:val="00435D3A"/>
    <w:rsid w:val="00435D6F"/>
    <w:rsid w:val="00435D7D"/>
    <w:rsid w:val="00436033"/>
    <w:rsid w:val="00436177"/>
    <w:rsid w:val="00436608"/>
    <w:rsid w:val="0043672D"/>
    <w:rsid w:val="004368EC"/>
    <w:rsid w:val="00436908"/>
    <w:rsid w:val="00436CED"/>
    <w:rsid w:val="00436E07"/>
    <w:rsid w:val="00436E71"/>
    <w:rsid w:val="00437126"/>
    <w:rsid w:val="004371CE"/>
    <w:rsid w:val="0043729D"/>
    <w:rsid w:val="004372E0"/>
    <w:rsid w:val="004373A7"/>
    <w:rsid w:val="00437727"/>
    <w:rsid w:val="00437994"/>
    <w:rsid w:val="00437A61"/>
    <w:rsid w:val="00437B0B"/>
    <w:rsid w:val="00437CE8"/>
    <w:rsid w:val="00437D0E"/>
    <w:rsid w:val="00437D58"/>
    <w:rsid w:val="00440473"/>
    <w:rsid w:val="00440476"/>
    <w:rsid w:val="0044051B"/>
    <w:rsid w:val="00440847"/>
    <w:rsid w:val="00440868"/>
    <w:rsid w:val="004409CA"/>
    <w:rsid w:val="00440A40"/>
    <w:rsid w:val="00440C19"/>
    <w:rsid w:val="00440E58"/>
    <w:rsid w:val="00441150"/>
    <w:rsid w:val="0044124B"/>
    <w:rsid w:val="00441448"/>
    <w:rsid w:val="00441451"/>
    <w:rsid w:val="00441488"/>
    <w:rsid w:val="004414A8"/>
    <w:rsid w:val="004415DE"/>
    <w:rsid w:val="0044173A"/>
    <w:rsid w:val="004418F5"/>
    <w:rsid w:val="0044195B"/>
    <w:rsid w:val="00441ACA"/>
    <w:rsid w:val="00441D1D"/>
    <w:rsid w:val="00441E26"/>
    <w:rsid w:val="00441F84"/>
    <w:rsid w:val="0044208B"/>
    <w:rsid w:val="00442406"/>
    <w:rsid w:val="004425D8"/>
    <w:rsid w:val="004426C8"/>
    <w:rsid w:val="004427A3"/>
    <w:rsid w:val="004427A4"/>
    <w:rsid w:val="004427E3"/>
    <w:rsid w:val="00442B44"/>
    <w:rsid w:val="00442BD2"/>
    <w:rsid w:val="00442C97"/>
    <w:rsid w:val="00442DDF"/>
    <w:rsid w:val="00442F23"/>
    <w:rsid w:val="00443105"/>
    <w:rsid w:val="0044310F"/>
    <w:rsid w:val="00443199"/>
    <w:rsid w:val="0044321C"/>
    <w:rsid w:val="004432A1"/>
    <w:rsid w:val="00443562"/>
    <w:rsid w:val="0044363F"/>
    <w:rsid w:val="00443640"/>
    <w:rsid w:val="004436BC"/>
    <w:rsid w:val="004436E0"/>
    <w:rsid w:val="004437EB"/>
    <w:rsid w:val="0044381C"/>
    <w:rsid w:val="004439DA"/>
    <w:rsid w:val="00443A15"/>
    <w:rsid w:val="00443C7E"/>
    <w:rsid w:val="00443D16"/>
    <w:rsid w:val="00443EA5"/>
    <w:rsid w:val="00443F33"/>
    <w:rsid w:val="0044402D"/>
    <w:rsid w:val="0044403A"/>
    <w:rsid w:val="004443A6"/>
    <w:rsid w:val="004443CC"/>
    <w:rsid w:val="004443E9"/>
    <w:rsid w:val="00444624"/>
    <w:rsid w:val="004447AD"/>
    <w:rsid w:val="00444816"/>
    <w:rsid w:val="0044497C"/>
    <w:rsid w:val="004449BF"/>
    <w:rsid w:val="00444A49"/>
    <w:rsid w:val="00444B0F"/>
    <w:rsid w:val="00444DB8"/>
    <w:rsid w:val="00444FBC"/>
    <w:rsid w:val="00445130"/>
    <w:rsid w:val="0044514F"/>
    <w:rsid w:val="00445320"/>
    <w:rsid w:val="0044535F"/>
    <w:rsid w:val="00445361"/>
    <w:rsid w:val="00445382"/>
    <w:rsid w:val="00445397"/>
    <w:rsid w:val="00445502"/>
    <w:rsid w:val="00445773"/>
    <w:rsid w:val="0044577E"/>
    <w:rsid w:val="00445857"/>
    <w:rsid w:val="00445B11"/>
    <w:rsid w:val="00445C0A"/>
    <w:rsid w:val="00445C7D"/>
    <w:rsid w:val="00445C9D"/>
    <w:rsid w:val="00445D7A"/>
    <w:rsid w:val="00445E06"/>
    <w:rsid w:val="00445E11"/>
    <w:rsid w:val="00445ED4"/>
    <w:rsid w:val="00445FCD"/>
    <w:rsid w:val="00446166"/>
    <w:rsid w:val="00446BC8"/>
    <w:rsid w:val="00446C7D"/>
    <w:rsid w:val="00446D4E"/>
    <w:rsid w:val="00446E35"/>
    <w:rsid w:val="00446E6C"/>
    <w:rsid w:val="00446F73"/>
    <w:rsid w:val="0044702C"/>
    <w:rsid w:val="004477FD"/>
    <w:rsid w:val="00447AF9"/>
    <w:rsid w:val="00447CEA"/>
    <w:rsid w:val="00447F14"/>
    <w:rsid w:val="00450091"/>
    <w:rsid w:val="004501EB"/>
    <w:rsid w:val="00450715"/>
    <w:rsid w:val="004508C5"/>
    <w:rsid w:val="00450980"/>
    <w:rsid w:val="00450993"/>
    <w:rsid w:val="00450AC0"/>
    <w:rsid w:val="00450EEE"/>
    <w:rsid w:val="00450F99"/>
    <w:rsid w:val="00451454"/>
    <w:rsid w:val="00451467"/>
    <w:rsid w:val="00451816"/>
    <w:rsid w:val="0045197F"/>
    <w:rsid w:val="00451A95"/>
    <w:rsid w:val="00451B35"/>
    <w:rsid w:val="00451D01"/>
    <w:rsid w:val="00451F13"/>
    <w:rsid w:val="00451F3D"/>
    <w:rsid w:val="00451F7E"/>
    <w:rsid w:val="00451FE5"/>
    <w:rsid w:val="00452017"/>
    <w:rsid w:val="0045205D"/>
    <w:rsid w:val="00452171"/>
    <w:rsid w:val="004521C2"/>
    <w:rsid w:val="00452321"/>
    <w:rsid w:val="004523AF"/>
    <w:rsid w:val="004526F3"/>
    <w:rsid w:val="004527C7"/>
    <w:rsid w:val="0045287E"/>
    <w:rsid w:val="00452935"/>
    <w:rsid w:val="0045298E"/>
    <w:rsid w:val="004529AE"/>
    <w:rsid w:val="004529B8"/>
    <w:rsid w:val="00452A55"/>
    <w:rsid w:val="00452B39"/>
    <w:rsid w:val="00452CE6"/>
    <w:rsid w:val="00452E88"/>
    <w:rsid w:val="00452F52"/>
    <w:rsid w:val="00452FD6"/>
    <w:rsid w:val="004534FA"/>
    <w:rsid w:val="00453730"/>
    <w:rsid w:val="00453791"/>
    <w:rsid w:val="004537E4"/>
    <w:rsid w:val="004537EB"/>
    <w:rsid w:val="00453B38"/>
    <w:rsid w:val="00453B5A"/>
    <w:rsid w:val="00453CD6"/>
    <w:rsid w:val="00453CFE"/>
    <w:rsid w:val="00453D74"/>
    <w:rsid w:val="00453FAF"/>
    <w:rsid w:val="0045409A"/>
    <w:rsid w:val="004540C5"/>
    <w:rsid w:val="00454198"/>
    <w:rsid w:val="004542DF"/>
    <w:rsid w:val="004543C8"/>
    <w:rsid w:val="00454433"/>
    <w:rsid w:val="00454451"/>
    <w:rsid w:val="0045471B"/>
    <w:rsid w:val="00454D5C"/>
    <w:rsid w:val="00454D69"/>
    <w:rsid w:val="00454F60"/>
    <w:rsid w:val="004551FE"/>
    <w:rsid w:val="00455264"/>
    <w:rsid w:val="004552FA"/>
    <w:rsid w:val="00455435"/>
    <w:rsid w:val="0045567B"/>
    <w:rsid w:val="00455732"/>
    <w:rsid w:val="00455858"/>
    <w:rsid w:val="00455A03"/>
    <w:rsid w:val="00455AFF"/>
    <w:rsid w:val="00455B43"/>
    <w:rsid w:val="00455C32"/>
    <w:rsid w:val="00455F8E"/>
    <w:rsid w:val="0045604D"/>
    <w:rsid w:val="00456145"/>
    <w:rsid w:val="0045618F"/>
    <w:rsid w:val="004561C2"/>
    <w:rsid w:val="0045625A"/>
    <w:rsid w:val="004563BD"/>
    <w:rsid w:val="00456446"/>
    <w:rsid w:val="004564FF"/>
    <w:rsid w:val="004566DA"/>
    <w:rsid w:val="00456882"/>
    <w:rsid w:val="004569A3"/>
    <w:rsid w:val="00456B25"/>
    <w:rsid w:val="00456C18"/>
    <w:rsid w:val="00456E0C"/>
    <w:rsid w:val="00456FD5"/>
    <w:rsid w:val="004570C2"/>
    <w:rsid w:val="004570EE"/>
    <w:rsid w:val="00457216"/>
    <w:rsid w:val="004572D7"/>
    <w:rsid w:val="00457364"/>
    <w:rsid w:val="00457690"/>
    <w:rsid w:val="004578DC"/>
    <w:rsid w:val="00457974"/>
    <w:rsid w:val="00457C4B"/>
    <w:rsid w:val="00457C5D"/>
    <w:rsid w:val="00460009"/>
    <w:rsid w:val="0046024A"/>
    <w:rsid w:val="00460482"/>
    <w:rsid w:val="004608C0"/>
    <w:rsid w:val="004608EA"/>
    <w:rsid w:val="00460A35"/>
    <w:rsid w:val="00460CE0"/>
    <w:rsid w:val="00460E6A"/>
    <w:rsid w:val="00460EBA"/>
    <w:rsid w:val="00460EF9"/>
    <w:rsid w:val="00460F82"/>
    <w:rsid w:val="0046138F"/>
    <w:rsid w:val="00461446"/>
    <w:rsid w:val="004614EB"/>
    <w:rsid w:val="004615D8"/>
    <w:rsid w:val="00461853"/>
    <w:rsid w:val="004618C7"/>
    <w:rsid w:val="00461A79"/>
    <w:rsid w:val="00461C00"/>
    <w:rsid w:val="00461D51"/>
    <w:rsid w:val="00461E05"/>
    <w:rsid w:val="00461EA5"/>
    <w:rsid w:val="00461F5E"/>
    <w:rsid w:val="004622E0"/>
    <w:rsid w:val="00462463"/>
    <w:rsid w:val="004625A2"/>
    <w:rsid w:val="00462609"/>
    <w:rsid w:val="00462610"/>
    <w:rsid w:val="004626E3"/>
    <w:rsid w:val="00462812"/>
    <w:rsid w:val="00462A43"/>
    <w:rsid w:val="00462A7B"/>
    <w:rsid w:val="00462A8F"/>
    <w:rsid w:val="00462EDA"/>
    <w:rsid w:val="00463016"/>
    <w:rsid w:val="00463271"/>
    <w:rsid w:val="004632B0"/>
    <w:rsid w:val="00463358"/>
    <w:rsid w:val="00463509"/>
    <w:rsid w:val="0046360A"/>
    <w:rsid w:val="004636B9"/>
    <w:rsid w:val="004637FB"/>
    <w:rsid w:val="00463991"/>
    <w:rsid w:val="00463BA0"/>
    <w:rsid w:val="00464090"/>
    <w:rsid w:val="0046433B"/>
    <w:rsid w:val="0046438A"/>
    <w:rsid w:val="004643F8"/>
    <w:rsid w:val="004645DE"/>
    <w:rsid w:val="00464652"/>
    <w:rsid w:val="0046486D"/>
    <w:rsid w:val="00464930"/>
    <w:rsid w:val="004649EE"/>
    <w:rsid w:val="00464ACB"/>
    <w:rsid w:val="00464B4A"/>
    <w:rsid w:val="00464C02"/>
    <w:rsid w:val="00464CA4"/>
    <w:rsid w:val="00464CDD"/>
    <w:rsid w:val="00464D43"/>
    <w:rsid w:val="00464D9C"/>
    <w:rsid w:val="00464EA3"/>
    <w:rsid w:val="00465067"/>
    <w:rsid w:val="004653EF"/>
    <w:rsid w:val="004653FB"/>
    <w:rsid w:val="00465409"/>
    <w:rsid w:val="00465424"/>
    <w:rsid w:val="00465637"/>
    <w:rsid w:val="0046592F"/>
    <w:rsid w:val="004659F2"/>
    <w:rsid w:val="00465A92"/>
    <w:rsid w:val="00465B85"/>
    <w:rsid w:val="00465F71"/>
    <w:rsid w:val="00466018"/>
    <w:rsid w:val="004660AD"/>
    <w:rsid w:val="004665AA"/>
    <w:rsid w:val="00466768"/>
    <w:rsid w:val="00466822"/>
    <w:rsid w:val="004668D5"/>
    <w:rsid w:val="00466929"/>
    <w:rsid w:val="00466A60"/>
    <w:rsid w:val="00466AAA"/>
    <w:rsid w:val="00466AEA"/>
    <w:rsid w:val="00466AF7"/>
    <w:rsid w:val="00466BDD"/>
    <w:rsid w:val="00466D07"/>
    <w:rsid w:val="00466F74"/>
    <w:rsid w:val="0046755A"/>
    <w:rsid w:val="0046768A"/>
    <w:rsid w:val="00467794"/>
    <w:rsid w:val="00467845"/>
    <w:rsid w:val="004679BC"/>
    <w:rsid w:val="00467A7A"/>
    <w:rsid w:val="00467B49"/>
    <w:rsid w:val="00467B57"/>
    <w:rsid w:val="00467F61"/>
    <w:rsid w:val="00470096"/>
    <w:rsid w:val="004701E3"/>
    <w:rsid w:val="004701E4"/>
    <w:rsid w:val="00470336"/>
    <w:rsid w:val="004703FF"/>
    <w:rsid w:val="00470806"/>
    <w:rsid w:val="00470899"/>
    <w:rsid w:val="00470A06"/>
    <w:rsid w:val="00470B09"/>
    <w:rsid w:val="00470BAB"/>
    <w:rsid w:val="00470C4E"/>
    <w:rsid w:val="00470CE5"/>
    <w:rsid w:val="00470E47"/>
    <w:rsid w:val="00470EF9"/>
    <w:rsid w:val="00471060"/>
    <w:rsid w:val="004710C5"/>
    <w:rsid w:val="0047121A"/>
    <w:rsid w:val="00471230"/>
    <w:rsid w:val="00471492"/>
    <w:rsid w:val="0047157F"/>
    <w:rsid w:val="0047189F"/>
    <w:rsid w:val="00471BF1"/>
    <w:rsid w:val="00471F21"/>
    <w:rsid w:val="00471F8F"/>
    <w:rsid w:val="00472142"/>
    <w:rsid w:val="004721E3"/>
    <w:rsid w:val="00472235"/>
    <w:rsid w:val="004722F0"/>
    <w:rsid w:val="00472391"/>
    <w:rsid w:val="0047246D"/>
    <w:rsid w:val="00472669"/>
    <w:rsid w:val="0047274F"/>
    <w:rsid w:val="0047277D"/>
    <w:rsid w:val="00472966"/>
    <w:rsid w:val="00472DD8"/>
    <w:rsid w:val="00472FB5"/>
    <w:rsid w:val="00473166"/>
    <w:rsid w:val="004734DE"/>
    <w:rsid w:val="00473529"/>
    <w:rsid w:val="004735AF"/>
    <w:rsid w:val="00473617"/>
    <w:rsid w:val="00473976"/>
    <w:rsid w:val="00473AEF"/>
    <w:rsid w:val="00473B79"/>
    <w:rsid w:val="00473F6E"/>
    <w:rsid w:val="00474052"/>
    <w:rsid w:val="004740D1"/>
    <w:rsid w:val="004740D5"/>
    <w:rsid w:val="00474108"/>
    <w:rsid w:val="0047427B"/>
    <w:rsid w:val="004742AC"/>
    <w:rsid w:val="004746B2"/>
    <w:rsid w:val="004746D9"/>
    <w:rsid w:val="0047475C"/>
    <w:rsid w:val="00474827"/>
    <w:rsid w:val="004749F6"/>
    <w:rsid w:val="00474AD0"/>
    <w:rsid w:val="00474B57"/>
    <w:rsid w:val="00474B87"/>
    <w:rsid w:val="00474D05"/>
    <w:rsid w:val="00474DCF"/>
    <w:rsid w:val="00474E00"/>
    <w:rsid w:val="00475053"/>
    <w:rsid w:val="004750CB"/>
    <w:rsid w:val="00475210"/>
    <w:rsid w:val="00475214"/>
    <w:rsid w:val="00475601"/>
    <w:rsid w:val="00475B35"/>
    <w:rsid w:val="00475B55"/>
    <w:rsid w:val="00475D80"/>
    <w:rsid w:val="00475E16"/>
    <w:rsid w:val="00475EFC"/>
    <w:rsid w:val="00476137"/>
    <w:rsid w:val="004762FE"/>
    <w:rsid w:val="0047632A"/>
    <w:rsid w:val="00476437"/>
    <w:rsid w:val="004764AF"/>
    <w:rsid w:val="0047650E"/>
    <w:rsid w:val="00476735"/>
    <w:rsid w:val="004767A6"/>
    <w:rsid w:val="004767CB"/>
    <w:rsid w:val="0047684E"/>
    <w:rsid w:val="00476A66"/>
    <w:rsid w:val="00476C32"/>
    <w:rsid w:val="00476CB2"/>
    <w:rsid w:val="00476F6F"/>
    <w:rsid w:val="00476FCA"/>
    <w:rsid w:val="004770DB"/>
    <w:rsid w:val="00477212"/>
    <w:rsid w:val="00477238"/>
    <w:rsid w:val="00477375"/>
    <w:rsid w:val="004775E5"/>
    <w:rsid w:val="0047798D"/>
    <w:rsid w:val="004779BF"/>
    <w:rsid w:val="00477A68"/>
    <w:rsid w:val="00477A91"/>
    <w:rsid w:val="00477CEE"/>
    <w:rsid w:val="00477DE6"/>
    <w:rsid w:val="00477EDD"/>
    <w:rsid w:val="00477F53"/>
    <w:rsid w:val="00480264"/>
    <w:rsid w:val="00480348"/>
    <w:rsid w:val="004806B8"/>
    <w:rsid w:val="00480770"/>
    <w:rsid w:val="00480896"/>
    <w:rsid w:val="00480A97"/>
    <w:rsid w:val="00480BC8"/>
    <w:rsid w:val="00480C4A"/>
    <w:rsid w:val="00480C97"/>
    <w:rsid w:val="00480E25"/>
    <w:rsid w:val="00480ED2"/>
    <w:rsid w:val="00480EFE"/>
    <w:rsid w:val="00481120"/>
    <w:rsid w:val="00481573"/>
    <w:rsid w:val="0048183E"/>
    <w:rsid w:val="00481A4A"/>
    <w:rsid w:val="00481A95"/>
    <w:rsid w:val="00481B32"/>
    <w:rsid w:val="00481C95"/>
    <w:rsid w:val="00481EFE"/>
    <w:rsid w:val="0048227E"/>
    <w:rsid w:val="00482415"/>
    <w:rsid w:val="004824DA"/>
    <w:rsid w:val="004825F5"/>
    <w:rsid w:val="00482670"/>
    <w:rsid w:val="004826EA"/>
    <w:rsid w:val="00482702"/>
    <w:rsid w:val="00482781"/>
    <w:rsid w:val="00482FBE"/>
    <w:rsid w:val="00483050"/>
    <w:rsid w:val="004830B8"/>
    <w:rsid w:val="004832B7"/>
    <w:rsid w:val="00483338"/>
    <w:rsid w:val="00483CF7"/>
    <w:rsid w:val="00483D4D"/>
    <w:rsid w:val="00483E15"/>
    <w:rsid w:val="00483E86"/>
    <w:rsid w:val="00484160"/>
    <w:rsid w:val="00484283"/>
    <w:rsid w:val="004842EE"/>
    <w:rsid w:val="0048438C"/>
    <w:rsid w:val="004844CB"/>
    <w:rsid w:val="004844CE"/>
    <w:rsid w:val="004846C2"/>
    <w:rsid w:val="00484727"/>
    <w:rsid w:val="004848F6"/>
    <w:rsid w:val="00484B9E"/>
    <w:rsid w:val="00484D10"/>
    <w:rsid w:val="00484DF9"/>
    <w:rsid w:val="00484ED9"/>
    <w:rsid w:val="00484EE8"/>
    <w:rsid w:val="0048520C"/>
    <w:rsid w:val="0048533E"/>
    <w:rsid w:val="00485763"/>
    <w:rsid w:val="004859AD"/>
    <w:rsid w:val="004859DA"/>
    <w:rsid w:val="00485A50"/>
    <w:rsid w:val="00485BE0"/>
    <w:rsid w:val="00485D14"/>
    <w:rsid w:val="00485DC0"/>
    <w:rsid w:val="00485F25"/>
    <w:rsid w:val="004861B6"/>
    <w:rsid w:val="004863E4"/>
    <w:rsid w:val="00486439"/>
    <w:rsid w:val="00486645"/>
    <w:rsid w:val="00486873"/>
    <w:rsid w:val="00486889"/>
    <w:rsid w:val="00486913"/>
    <w:rsid w:val="00486A51"/>
    <w:rsid w:val="00486DEB"/>
    <w:rsid w:val="00487059"/>
    <w:rsid w:val="004870B6"/>
    <w:rsid w:val="004873E0"/>
    <w:rsid w:val="0048762D"/>
    <w:rsid w:val="0048766E"/>
    <w:rsid w:val="0048774F"/>
    <w:rsid w:val="0048784B"/>
    <w:rsid w:val="00487C28"/>
    <w:rsid w:val="00487CC5"/>
    <w:rsid w:val="00487D99"/>
    <w:rsid w:val="00487EC3"/>
    <w:rsid w:val="00487F08"/>
    <w:rsid w:val="004903FC"/>
    <w:rsid w:val="00490594"/>
    <w:rsid w:val="004906F9"/>
    <w:rsid w:val="004908A9"/>
    <w:rsid w:val="004908FB"/>
    <w:rsid w:val="00490963"/>
    <w:rsid w:val="00490965"/>
    <w:rsid w:val="00490B76"/>
    <w:rsid w:val="00490BCB"/>
    <w:rsid w:val="00490C97"/>
    <w:rsid w:val="00490CB5"/>
    <w:rsid w:val="00490D1C"/>
    <w:rsid w:val="00490EF9"/>
    <w:rsid w:val="0049135A"/>
    <w:rsid w:val="004915D8"/>
    <w:rsid w:val="00491A0D"/>
    <w:rsid w:val="00491AD3"/>
    <w:rsid w:val="00491C71"/>
    <w:rsid w:val="00491DA3"/>
    <w:rsid w:val="00491E20"/>
    <w:rsid w:val="00491EA4"/>
    <w:rsid w:val="00491F26"/>
    <w:rsid w:val="004923B7"/>
    <w:rsid w:val="004924BA"/>
    <w:rsid w:val="004924D7"/>
    <w:rsid w:val="00492569"/>
    <w:rsid w:val="0049270A"/>
    <w:rsid w:val="004929A6"/>
    <w:rsid w:val="00492B19"/>
    <w:rsid w:val="00492B3D"/>
    <w:rsid w:val="00492BA5"/>
    <w:rsid w:val="00492C87"/>
    <w:rsid w:val="00492D2B"/>
    <w:rsid w:val="00492E3F"/>
    <w:rsid w:val="00493373"/>
    <w:rsid w:val="00493401"/>
    <w:rsid w:val="00493520"/>
    <w:rsid w:val="0049354A"/>
    <w:rsid w:val="004936D7"/>
    <w:rsid w:val="00493730"/>
    <w:rsid w:val="0049376E"/>
    <w:rsid w:val="00493820"/>
    <w:rsid w:val="0049387C"/>
    <w:rsid w:val="00493A8E"/>
    <w:rsid w:val="00493C57"/>
    <w:rsid w:val="00493CDD"/>
    <w:rsid w:val="00493CF3"/>
    <w:rsid w:val="00493D8D"/>
    <w:rsid w:val="00493E23"/>
    <w:rsid w:val="00493EC0"/>
    <w:rsid w:val="004940FC"/>
    <w:rsid w:val="0049432F"/>
    <w:rsid w:val="004944FD"/>
    <w:rsid w:val="0049452B"/>
    <w:rsid w:val="004945C1"/>
    <w:rsid w:val="0049468C"/>
    <w:rsid w:val="00494894"/>
    <w:rsid w:val="00494B19"/>
    <w:rsid w:val="00494CEC"/>
    <w:rsid w:val="00494D33"/>
    <w:rsid w:val="00494EC7"/>
    <w:rsid w:val="00494F7A"/>
    <w:rsid w:val="00494F89"/>
    <w:rsid w:val="00495053"/>
    <w:rsid w:val="004950B6"/>
    <w:rsid w:val="00495145"/>
    <w:rsid w:val="004955CA"/>
    <w:rsid w:val="00495A98"/>
    <w:rsid w:val="00495C59"/>
    <w:rsid w:val="00495CE9"/>
    <w:rsid w:val="00495DBE"/>
    <w:rsid w:val="00495DC0"/>
    <w:rsid w:val="00495DF1"/>
    <w:rsid w:val="00495DFF"/>
    <w:rsid w:val="00496908"/>
    <w:rsid w:val="004969F5"/>
    <w:rsid w:val="00496A81"/>
    <w:rsid w:val="00496C13"/>
    <w:rsid w:val="004971ED"/>
    <w:rsid w:val="00497203"/>
    <w:rsid w:val="00497373"/>
    <w:rsid w:val="00497721"/>
    <w:rsid w:val="0049776D"/>
    <w:rsid w:val="004977F1"/>
    <w:rsid w:val="004977FB"/>
    <w:rsid w:val="00497AA0"/>
    <w:rsid w:val="00497B4D"/>
    <w:rsid w:val="00497C75"/>
    <w:rsid w:val="004A005D"/>
    <w:rsid w:val="004A0150"/>
    <w:rsid w:val="004A0402"/>
    <w:rsid w:val="004A060D"/>
    <w:rsid w:val="004A070C"/>
    <w:rsid w:val="004A07CE"/>
    <w:rsid w:val="004A0981"/>
    <w:rsid w:val="004A09D3"/>
    <w:rsid w:val="004A0C85"/>
    <w:rsid w:val="004A0E9E"/>
    <w:rsid w:val="004A101E"/>
    <w:rsid w:val="004A111B"/>
    <w:rsid w:val="004A1149"/>
    <w:rsid w:val="004A121F"/>
    <w:rsid w:val="004A1268"/>
    <w:rsid w:val="004A130A"/>
    <w:rsid w:val="004A1352"/>
    <w:rsid w:val="004A1405"/>
    <w:rsid w:val="004A1AAF"/>
    <w:rsid w:val="004A1C67"/>
    <w:rsid w:val="004A1D7B"/>
    <w:rsid w:val="004A1E36"/>
    <w:rsid w:val="004A2207"/>
    <w:rsid w:val="004A2680"/>
    <w:rsid w:val="004A2902"/>
    <w:rsid w:val="004A2921"/>
    <w:rsid w:val="004A2998"/>
    <w:rsid w:val="004A29AC"/>
    <w:rsid w:val="004A2B5C"/>
    <w:rsid w:val="004A2C44"/>
    <w:rsid w:val="004A2C5B"/>
    <w:rsid w:val="004A2DF3"/>
    <w:rsid w:val="004A2EEA"/>
    <w:rsid w:val="004A3334"/>
    <w:rsid w:val="004A3394"/>
    <w:rsid w:val="004A3466"/>
    <w:rsid w:val="004A34F9"/>
    <w:rsid w:val="004A360F"/>
    <w:rsid w:val="004A3659"/>
    <w:rsid w:val="004A36FA"/>
    <w:rsid w:val="004A37EB"/>
    <w:rsid w:val="004A3810"/>
    <w:rsid w:val="004A3993"/>
    <w:rsid w:val="004A39F8"/>
    <w:rsid w:val="004A3E83"/>
    <w:rsid w:val="004A3EE2"/>
    <w:rsid w:val="004A3F89"/>
    <w:rsid w:val="004A3FB9"/>
    <w:rsid w:val="004A4115"/>
    <w:rsid w:val="004A41D6"/>
    <w:rsid w:val="004A42EF"/>
    <w:rsid w:val="004A4334"/>
    <w:rsid w:val="004A47A2"/>
    <w:rsid w:val="004A4823"/>
    <w:rsid w:val="004A48B2"/>
    <w:rsid w:val="004A4972"/>
    <w:rsid w:val="004A49BF"/>
    <w:rsid w:val="004A4A12"/>
    <w:rsid w:val="004A4A16"/>
    <w:rsid w:val="004A4B08"/>
    <w:rsid w:val="004A4B14"/>
    <w:rsid w:val="004A4C90"/>
    <w:rsid w:val="004A4DC8"/>
    <w:rsid w:val="004A4EC7"/>
    <w:rsid w:val="004A4F9B"/>
    <w:rsid w:val="004A4FCF"/>
    <w:rsid w:val="004A5186"/>
    <w:rsid w:val="004A5189"/>
    <w:rsid w:val="004A52F9"/>
    <w:rsid w:val="004A54F6"/>
    <w:rsid w:val="004A574B"/>
    <w:rsid w:val="004A5841"/>
    <w:rsid w:val="004A59D2"/>
    <w:rsid w:val="004A5AA0"/>
    <w:rsid w:val="004A5C02"/>
    <w:rsid w:val="004A5C92"/>
    <w:rsid w:val="004A5D83"/>
    <w:rsid w:val="004A5DE3"/>
    <w:rsid w:val="004A60B1"/>
    <w:rsid w:val="004A624E"/>
    <w:rsid w:val="004A6421"/>
    <w:rsid w:val="004A64C2"/>
    <w:rsid w:val="004A6698"/>
    <w:rsid w:val="004A66D0"/>
    <w:rsid w:val="004A6739"/>
    <w:rsid w:val="004A67CA"/>
    <w:rsid w:val="004A68EA"/>
    <w:rsid w:val="004A69F9"/>
    <w:rsid w:val="004A6A02"/>
    <w:rsid w:val="004A6ADA"/>
    <w:rsid w:val="004A6B9D"/>
    <w:rsid w:val="004A6E6E"/>
    <w:rsid w:val="004A70E3"/>
    <w:rsid w:val="004A7216"/>
    <w:rsid w:val="004A73CC"/>
    <w:rsid w:val="004A73E9"/>
    <w:rsid w:val="004A7630"/>
    <w:rsid w:val="004A77C5"/>
    <w:rsid w:val="004A785E"/>
    <w:rsid w:val="004A7A7C"/>
    <w:rsid w:val="004A7AE8"/>
    <w:rsid w:val="004A7B31"/>
    <w:rsid w:val="004A7E30"/>
    <w:rsid w:val="004A7FC8"/>
    <w:rsid w:val="004B0048"/>
    <w:rsid w:val="004B0086"/>
    <w:rsid w:val="004B00E4"/>
    <w:rsid w:val="004B00FE"/>
    <w:rsid w:val="004B0148"/>
    <w:rsid w:val="004B01FD"/>
    <w:rsid w:val="004B0292"/>
    <w:rsid w:val="004B03BF"/>
    <w:rsid w:val="004B04B6"/>
    <w:rsid w:val="004B0508"/>
    <w:rsid w:val="004B050A"/>
    <w:rsid w:val="004B0601"/>
    <w:rsid w:val="004B062F"/>
    <w:rsid w:val="004B06A1"/>
    <w:rsid w:val="004B06BC"/>
    <w:rsid w:val="004B0725"/>
    <w:rsid w:val="004B0749"/>
    <w:rsid w:val="004B096A"/>
    <w:rsid w:val="004B0A8E"/>
    <w:rsid w:val="004B0AD8"/>
    <w:rsid w:val="004B0CA6"/>
    <w:rsid w:val="004B0CCD"/>
    <w:rsid w:val="004B0E18"/>
    <w:rsid w:val="004B0E82"/>
    <w:rsid w:val="004B108C"/>
    <w:rsid w:val="004B11CE"/>
    <w:rsid w:val="004B13E5"/>
    <w:rsid w:val="004B14EE"/>
    <w:rsid w:val="004B1765"/>
    <w:rsid w:val="004B1777"/>
    <w:rsid w:val="004B1940"/>
    <w:rsid w:val="004B194C"/>
    <w:rsid w:val="004B1CDF"/>
    <w:rsid w:val="004B1DBB"/>
    <w:rsid w:val="004B1DBE"/>
    <w:rsid w:val="004B1FA7"/>
    <w:rsid w:val="004B22FC"/>
    <w:rsid w:val="004B27C2"/>
    <w:rsid w:val="004B2B3C"/>
    <w:rsid w:val="004B2BF4"/>
    <w:rsid w:val="004B2C6F"/>
    <w:rsid w:val="004B2DAE"/>
    <w:rsid w:val="004B2DFE"/>
    <w:rsid w:val="004B2E6E"/>
    <w:rsid w:val="004B2EA3"/>
    <w:rsid w:val="004B2ED0"/>
    <w:rsid w:val="004B2ED1"/>
    <w:rsid w:val="004B30B6"/>
    <w:rsid w:val="004B31A2"/>
    <w:rsid w:val="004B339E"/>
    <w:rsid w:val="004B33FF"/>
    <w:rsid w:val="004B3413"/>
    <w:rsid w:val="004B3552"/>
    <w:rsid w:val="004B35AF"/>
    <w:rsid w:val="004B35E7"/>
    <w:rsid w:val="004B3794"/>
    <w:rsid w:val="004B3BD9"/>
    <w:rsid w:val="004B3D44"/>
    <w:rsid w:val="004B3D49"/>
    <w:rsid w:val="004B3F96"/>
    <w:rsid w:val="004B4029"/>
    <w:rsid w:val="004B413A"/>
    <w:rsid w:val="004B417F"/>
    <w:rsid w:val="004B453F"/>
    <w:rsid w:val="004B4565"/>
    <w:rsid w:val="004B459A"/>
    <w:rsid w:val="004B45C2"/>
    <w:rsid w:val="004B466F"/>
    <w:rsid w:val="004B46E0"/>
    <w:rsid w:val="004B46E5"/>
    <w:rsid w:val="004B4747"/>
    <w:rsid w:val="004B47CC"/>
    <w:rsid w:val="004B48B1"/>
    <w:rsid w:val="004B490B"/>
    <w:rsid w:val="004B4985"/>
    <w:rsid w:val="004B498C"/>
    <w:rsid w:val="004B4E1F"/>
    <w:rsid w:val="004B4E44"/>
    <w:rsid w:val="004B4E89"/>
    <w:rsid w:val="004B4FBE"/>
    <w:rsid w:val="004B515A"/>
    <w:rsid w:val="004B5256"/>
    <w:rsid w:val="004B5260"/>
    <w:rsid w:val="004B5305"/>
    <w:rsid w:val="004B55EE"/>
    <w:rsid w:val="004B58A2"/>
    <w:rsid w:val="004B5976"/>
    <w:rsid w:val="004B59C4"/>
    <w:rsid w:val="004B5A84"/>
    <w:rsid w:val="004B5BF2"/>
    <w:rsid w:val="004B5C92"/>
    <w:rsid w:val="004B5FBC"/>
    <w:rsid w:val="004B6210"/>
    <w:rsid w:val="004B6319"/>
    <w:rsid w:val="004B63A7"/>
    <w:rsid w:val="004B65A2"/>
    <w:rsid w:val="004B6649"/>
    <w:rsid w:val="004B6893"/>
    <w:rsid w:val="004B6A23"/>
    <w:rsid w:val="004B6A9B"/>
    <w:rsid w:val="004B6AC9"/>
    <w:rsid w:val="004B6D79"/>
    <w:rsid w:val="004B6DC2"/>
    <w:rsid w:val="004B6E21"/>
    <w:rsid w:val="004B7134"/>
    <w:rsid w:val="004B753B"/>
    <w:rsid w:val="004B7579"/>
    <w:rsid w:val="004B773D"/>
    <w:rsid w:val="004B7761"/>
    <w:rsid w:val="004B77F3"/>
    <w:rsid w:val="004B79CA"/>
    <w:rsid w:val="004B7A36"/>
    <w:rsid w:val="004B7B1E"/>
    <w:rsid w:val="004B7CDD"/>
    <w:rsid w:val="004B7DE6"/>
    <w:rsid w:val="004B7E91"/>
    <w:rsid w:val="004C03E5"/>
    <w:rsid w:val="004C04E6"/>
    <w:rsid w:val="004C054A"/>
    <w:rsid w:val="004C07B1"/>
    <w:rsid w:val="004C07E9"/>
    <w:rsid w:val="004C0B2E"/>
    <w:rsid w:val="004C0B72"/>
    <w:rsid w:val="004C0CA0"/>
    <w:rsid w:val="004C106A"/>
    <w:rsid w:val="004C10C0"/>
    <w:rsid w:val="004C16EC"/>
    <w:rsid w:val="004C178D"/>
    <w:rsid w:val="004C1793"/>
    <w:rsid w:val="004C186B"/>
    <w:rsid w:val="004C1B77"/>
    <w:rsid w:val="004C1ECA"/>
    <w:rsid w:val="004C2085"/>
    <w:rsid w:val="004C21C6"/>
    <w:rsid w:val="004C2293"/>
    <w:rsid w:val="004C2353"/>
    <w:rsid w:val="004C2700"/>
    <w:rsid w:val="004C284A"/>
    <w:rsid w:val="004C28F3"/>
    <w:rsid w:val="004C2914"/>
    <w:rsid w:val="004C2A1F"/>
    <w:rsid w:val="004C2A5F"/>
    <w:rsid w:val="004C2B60"/>
    <w:rsid w:val="004C2C33"/>
    <w:rsid w:val="004C2FAB"/>
    <w:rsid w:val="004C30C6"/>
    <w:rsid w:val="004C30E8"/>
    <w:rsid w:val="004C314D"/>
    <w:rsid w:val="004C33B3"/>
    <w:rsid w:val="004C33CB"/>
    <w:rsid w:val="004C345B"/>
    <w:rsid w:val="004C364A"/>
    <w:rsid w:val="004C37A9"/>
    <w:rsid w:val="004C3999"/>
    <w:rsid w:val="004C3C2B"/>
    <w:rsid w:val="004C3C8A"/>
    <w:rsid w:val="004C3DAB"/>
    <w:rsid w:val="004C3F18"/>
    <w:rsid w:val="004C3FCB"/>
    <w:rsid w:val="004C40B5"/>
    <w:rsid w:val="004C40FA"/>
    <w:rsid w:val="004C413B"/>
    <w:rsid w:val="004C42DA"/>
    <w:rsid w:val="004C441A"/>
    <w:rsid w:val="004C45C0"/>
    <w:rsid w:val="004C465A"/>
    <w:rsid w:val="004C46E5"/>
    <w:rsid w:val="004C480A"/>
    <w:rsid w:val="004C4A9A"/>
    <w:rsid w:val="004C4AA2"/>
    <w:rsid w:val="004C4B3E"/>
    <w:rsid w:val="004C4CFB"/>
    <w:rsid w:val="004C4D70"/>
    <w:rsid w:val="004C4DE1"/>
    <w:rsid w:val="004C4E5B"/>
    <w:rsid w:val="004C4FE8"/>
    <w:rsid w:val="004C51D7"/>
    <w:rsid w:val="004C52AC"/>
    <w:rsid w:val="004C53D9"/>
    <w:rsid w:val="004C569C"/>
    <w:rsid w:val="004C56E8"/>
    <w:rsid w:val="004C587B"/>
    <w:rsid w:val="004C5932"/>
    <w:rsid w:val="004C59CE"/>
    <w:rsid w:val="004C5A55"/>
    <w:rsid w:val="004C5BA0"/>
    <w:rsid w:val="004C5CA4"/>
    <w:rsid w:val="004C5CA9"/>
    <w:rsid w:val="004C5D66"/>
    <w:rsid w:val="004C6125"/>
    <w:rsid w:val="004C64BD"/>
    <w:rsid w:val="004C64D2"/>
    <w:rsid w:val="004C659F"/>
    <w:rsid w:val="004C65D8"/>
    <w:rsid w:val="004C67B1"/>
    <w:rsid w:val="004C68AA"/>
    <w:rsid w:val="004C69B1"/>
    <w:rsid w:val="004C6BE4"/>
    <w:rsid w:val="004C6E26"/>
    <w:rsid w:val="004C6FC7"/>
    <w:rsid w:val="004C7017"/>
    <w:rsid w:val="004C7177"/>
    <w:rsid w:val="004C718A"/>
    <w:rsid w:val="004C73CB"/>
    <w:rsid w:val="004C7486"/>
    <w:rsid w:val="004C7592"/>
    <w:rsid w:val="004C76C2"/>
    <w:rsid w:val="004C76DE"/>
    <w:rsid w:val="004C7703"/>
    <w:rsid w:val="004C77B4"/>
    <w:rsid w:val="004C7892"/>
    <w:rsid w:val="004C7AEA"/>
    <w:rsid w:val="004C7BD0"/>
    <w:rsid w:val="004C7C75"/>
    <w:rsid w:val="004C7C87"/>
    <w:rsid w:val="004C7D42"/>
    <w:rsid w:val="004D011D"/>
    <w:rsid w:val="004D02F7"/>
    <w:rsid w:val="004D042A"/>
    <w:rsid w:val="004D06B8"/>
    <w:rsid w:val="004D06D6"/>
    <w:rsid w:val="004D08FA"/>
    <w:rsid w:val="004D0937"/>
    <w:rsid w:val="004D0A8A"/>
    <w:rsid w:val="004D0CBF"/>
    <w:rsid w:val="004D0D85"/>
    <w:rsid w:val="004D0EC2"/>
    <w:rsid w:val="004D11CC"/>
    <w:rsid w:val="004D14B6"/>
    <w:rsid w:val="004D1568"/>
    <w:rsid w:val="004D163E"/>
    <w:rsid w:val="004D1861"/>
    <w:rsid w:val="004D18A8"/>
    <w:rsid w:val="004D1997"/>
    <w:rsid w:val="004D1BED"/>
    <w:rsid w:val="004D1DF5"/>
    <w:rsid w:val="004D1EE4"/>
    <w:rsid w:val="004D1F58"/>
    <w:rsid w:val="004D23CB"/>
    <w:rsid w:val="004D278D"/>
    <w:rsid w:val="004D2A05"/>
    <w:rsid w:val="004D2ACF"/>
    <w:rsid w:val="004D2BC0"/>
    <w:rsid w:val="004D30C3"/>
    <w:rsid w:val="004D32E4"/>
    <w:rsid w:val="004D32F3"/>
    <w:rsid w:val="004D3356"/>
    <w:rsid w:val="004D35B9"/>
    <w:rsid w:val="004D35CF"/>
    <w:rsid w:val="004D3601"/>
    <w:rsid w:val="004D3621"/>
    <w:rsid w:val="004D37C1"/>
    <w:rsid w:val="004D3CD3"/>
    <w:rsid w:val="004D3E02"/>
    <w:rsid w:val="004D3E40"/>
    <w:rsid w:val="004D3E65"/>
    <w:rsid w:val="004D3E95"/>
    <w:rsid w:val="004D41D6"/>
    <w:rsid w:val="004D4261"/>
    <w:rsid w:val="004D45B1"/>
    <w:rsid w:val="004D4986"/>
    <w:rsid w:val="004D4CE1"/>
    <w:rsid w:val="004D4E54"/>
    <w:rsid w:val="004D506D"/>
    <w:rsid w:val="004D514F"/>
    <w:rsid w:val="004D529A"/>
    <w:rsid w:val="004D52DD"/>
    <w:rsid w:val="004D53AB"/>
    <w:rsid w:val="004D54C6"/>
    <w:rsid w:val="004D582F"/>
    <w:rsid w:val="004D5977"/>
    <w:rsid w:val="004D5A26"/>
    <w:rsid w:val="004D5A4A"/>
    <w:rsid w:val="004D5C98"/>
    <w:rsid w:val="004D5DFD"/>
    <w:rsid w:val="004D5FE2"/>
    <w:rsid w:val="004D6096"/>
    <w:rsid w:val="004D60E6"/>
    <w:rsid w:val="004D6250"/>
    <w:rsid w:val="004D6287"/>
    <w:rsid w:val="004D6327"/>
    <w:rsid w:val="004D644C"/>
    <w:rsid w:val="004D6783"/>
    <w:rsid w:val="004D6A47"/>
    <w:rsid w:val="004D6C37"/>
    <w:rsid w:val="004D6D20"/>
    <w:rsid w:val="004D6DD1"/>
    <w:rsid w:val="004D6F4D"/>
    <w:rsid w:val="004D6FBB"/>
    <w:rsid w:val="004D70C5"/>
    <w:rsid w:val="004D70EA"/>
    <w:rsid w:val="004D73A4"/>
    <w:rsid w:val="004D7496"/>
    <w:rsid w:val="004D7548"/>
    <w:rsid w:val="004D758D"/>
    <w:rsid w:val="004D7922"/>
    <w:rsid w:val="004D7B79"/>
    <w:rsid w:val="004D7D25"/>
    <w:rsid w:val="004D7EEA"/>
    <w:rsid w:val="004E038F"/>
    <w:rsid w:val="004E03B6"/>
    <w:rsid w:val="004E03E1"/>
    <w:rsid w:val="004E03E9"/>
    <w:rsid w:val="004E0536"/>
    <w:rsid w:val="004E0545"/>
    <w:rsid w:val="004E067E"/>
    <w:rsid w:val="004E0CA8"/>
    <w:rsid w:val="004E0E51"/>
    <w:rsid w:val="004E101A"/>
    <w:rsid w:val="004E1131"/>
    <w:rsid w:val="004E11BE"/>
    <w:rsid w:val="004E1753"/>
    <w:rsid w:val="004E17DA"/>
    <w:rsid w:val="004E186F"/>
    <w:rsid w:val="004E190B"/>
    <w:rsid w:val="004E1925"/>
    <w:rsid w:val="004E1A7A"/>
    <w:rsid w:val="004E1B03"/>
    <w:rsid w:val="004E1B6C"/>
    <w:rsid w:val="004E1DD8"/>
    <w:rsid w:val="004E1F67"/>
    <w:rsid w:val="004E202D"/>
    <w:rsid w:val="004E227B"/>
    <w:rsid w:val="004E23E0"/>
    <w:rsid w:val="004E2403"/>
    <w:rsid w:val="004E2516"/>
    <w:rsid w:val="004E264F"/>
    <w:rsid w:val="004E269D"/>
    <w:rsid w:val="004E287B"/>
    <w:rsid w:val="004E28C4"/>
    <w:rsid w:val="004E29FE"/>
    <w:rsid w:val="004E2A39"/>
    <w:rsid w:val="004E3026"/>
    <w:rsid w:val="004E30D5"/>
    <w:rsid w:val="004E30FB"/>
    <w:rsid w:val="004E3105"/>
    <w:rsid w:val="004E32F4"/>
    <w:rsid w:val="004E336E"/>
    <w:rsid w:val="004E33C9"/>
    <w:rsid w:val="004E341C"/>
    <w:rsid w:val="004E3684"/>
    <w:rsid w:val="004E36AF"/>
    <w:rsid w:val="004E3747"/>
    <w:rsid w:val="004E38E4"/>
    <w:rsid w:val="004E39C9"/>
    <w:rsid w:val="004E3A90"/>
    <w:rsid w:val="004E3C56"/>
    <w:rsid w:val="004E3E7E"/>
    <w:rsid w:val="004E4044"/>
    <w:rsid w:val="004E406C"/>
    <w:rsid w:val="004E41DC"/>
    <w:rsid w:val="004E4393"/>
    <w:rsid w:val="004E4578"/>
    <w:rsid w:val="004E4874"/>
    <w:rsid w:val="004E4907"/>
    <w:rsid w:val="004E49C0"/>
    <w:rsid w:val="004E4B1D"/>
    <w:rsid w:val="004E4B7C"/>
    <w:rsid w:val="004E4C4C"/>
    <w:rsid w:val="004E4E6D"/>
    <w:rsid w:val="004E5110"/>
    <w:rsid w:val="004E5150"/>
    <w:rsid w:val="004E5151"/>
    <w:rsid w:val="004E5169"/>
    <w:rsid w:val="004E58C5"/>
    <w:rsid w:val="004E5B32"/>
    <w:rsid w:val="004E5BFA"/>
    <w:rsid w:val="004E5F4D"/>
    <w:rsid w:val="004E62F9"/>
    <w:rsid w:val="004E6515"/>
    <w:rsid w:val="004E6596"/>
    <w:rsid w:val="004E668E"/>
    <w:rsid w:val="004E67A8"/>
    <w:rsid w:val="004E67B6"/>
    <w:rsid w:val="004E67FA"/>
    <w:rsid w:val="004E68DA"/>
    <w:rsid w:val="004E69BE"/>
    <w:rsid w:val="004E6A08"/>
    <w:rsid w:val="004E6C5E"/>
    <w:rsid w:val="004E6D86"/>
    <w:rsid w:val="004E6E21"/>
    <w:rsid w:val="004E6EBE"/>
    <w:rsid w:val="004E6FE6"/>
    <w:rsid w:val="004E7036"/>
    <w:rsid w:val="004E7095"/>
    <w:rsid w:val="004E77C3"/>
    <w:rsid w:val="004E7823"/>
    <w:rsid w:val="004E794E"/>
    <w:rsid w:val="004E7BA9"/>
    <w:rsid w:val="004E7BF3"/>
    <w:rsid w:val="004F01A2"/>
    <w:rsid w:val="004F02DD"/>
    <w:rsid w:val="004F03BA"/>
    <w:rsid w:val="004F03BB"/>
    <w:rsid w:val="004F04DA"/>
    <w:rsid w:val="004F04E1"/>
    <w:rsid w:val="004F0650"/>
    <w:rsid w:val="004F07F8"/>
    <w:rsid w:val="004F080E"/>
    <w:rsid w:val="004F0888"/>
    <w:rsid w:val="004F0963"/>
    <w:rsid w:val="004F09C6"/>
    <w:rsid w:val="004F0AB7"/>
    <w:rsid w:val="004F0B21"/>
    <w:rsid w:val="004F0E09"/>
    <w:rsid w:val="004F0EA2"/>
    <w:rsid w:val="004F1114"/>
    <w:rsid w:val="004F129C"/>
    <w:rsid w:val="004F16D2"/>
    <w:rsid w:val="004F174D"/>
    <w:rsid w:val="004F17AE"/>
    <w:rsid w:val="004F17BF"/>
    <w:rsid w:val="004F1A16"/>
    <w:rsid w:val="004F1CE3"/>
    <w:rsid w:val="004F1FC6"/>
    <w:rsid w:val="004F218E"/>
    <w:rsid w:val="004F224D"/>
    <w:rsid w:val="004F2549"/>
    <w:rsid w:val="004F261E"/>
    <w:rsid w:val="004F2687"/>
    <w:rsid w:val="004F2795"/>
    <w:rsid w:val="004F2A56"/>
    <w:rsid w:val="004F2CD6"/>
    <w:rsid w:val="004F3102"/>
    <w:rsid w:val="004F3209"/>
    <w:rsid w:val="004F3553"/>
    <w:rsid w:val="004F382B"/>
    <w:rsid w:val="004F3A32"/>
    <w:rsid w:val="004F3A63"/>
    <w:rsid w:val="004F3A78"/>
    <w:rsid w:val="004F3B2D"/>
    <w:rsid w:val="004F3CC5"/>
    <w:rsid w:val="004F3E82"/>
    <w:rsid w:val="004F3F9E"/>
    <w:rsid w:val="004F41B8"/>
    <w:rsid w:val="004F4230"/>
    <w:rsid w:val="004F42DA"/>
    <w:rsid w:val="004F4342"/>
    <w:rsid w:val="004F44C9"/>
    <w:rsid w:val="004F461F"/>
    <w:rsid w:val="004F4995"/>
    <w:rsid w:val="004F4DE4"/>
    <w:rsid w:val="004F4F80"/>
    <w:rsid w:val="004F515B"/>
    <w:rsid w:val="004F51AA"/>
    <w:rsid w:val="004F51D1"/>
    <w:rsid w:val="004F5422"/>
    <w:rsid w:val="004F54FE"/>
    <w:rsid w:val="004F567D"/>
    <w:rsid w:val="004F576D"/>
    <w:rsid w:val="004F5789"/>
    <w:rsid w:val="004F5CB9"/>
    <w:rsid w:val="004F5F74"/>
    <w:rsid w:val="004F5FA5"/>
    <w:rsid w:val="004F61FF"/>
    <w:rsid w:val="004F6208"/>
    <w:rsid w:val="004F65CA"/>
    <w:rsid w:val="004F662C"/>
    <w:rsid w:val="004F663B"/>
    <w:rsid w:val="004F6769"/>
    <w:rsid w:val="004F68F8"/>
    <w:rsid w:val="004F6BC4"/>
    <w:rsid w:val="004F6C01"/>
    <w:rsid w:val="004F6D91"/>
    <w:rsid w:val="004F6DCA"/>
    <w:rsid w:val="004F6F0C"/>
    <w:rsid w:val="004F6FF9"/>
    <w:rsid w:val="004F7032"/>
    <w:rsid w:val="004F71B4"/>
    <w:rsid w:val="004F7226"/>
    <w:rsid w:val="004F7C86"/>
    <w:rsid w:val="004F7CB6"/>
    <w:rsid w:val="004F7DBD"/>
    <w:rsid w:val="004F7E14"/>
    <w:rsid w:val="00500134"/>
    <w:rsid w:val="005005DE"/>
    <w:rsid w:val="0050074D"/>
    <w:rsid w:val="005008A0"/>
    <w:rsid w:val="00500A65"/>
    <w:rsid w:val="00500A75"/>
    <w:rsid w:val="00500E9F"/>
    <w:rsid w:val="00500F20"/>
    <w:rsid w:val="00500FA6"/>
    <w:rsid w:val="0050131C"/>
    <w:rsid w:val="005015F1"/>
    <w:rsid w:val="00501708"/>
    <w:rsid w:val="00501733"/>
    <w:rsid w:val="00501C0D"/>
    <w:rsid w:val="00501C5E"/>
    <w:rsid w:val="00501D08"/>
    <w:rsid w:val="00501EFE"/>
    <w:rsid w:val="005021C3"/>
    <w:rsid w:val="00502401"/>
    <w:rsid w:val="0050243E"/>
    <w:rsid w:val="00502756"/>
    <w:rsid w:val="005027C2"/>
    <w:rsid w:val="005027E0"/>
    <w:rsid w:val="00502844"/>
    <w:rsid w:val="00502860"/>
    <w:rsid w:val="0050292E"/>
    <w:rsid w:val="00502B51"/>
    <w:rsid w:val="00502C3D"/>
    <w:rsid w:val="00502E91"/>
    <w:rsid w:val="005030D4"/>
    <w:rsid w:val="0050316D"/>
    <w:rsid w:val="005031FB"/>
    <w:rsid w:val="00503474"/>
    <w:rsid w:val="00503496"/>
    <w:rsid w:val="005035CD"/>
    <w:rsid w:val="005035E0"/>
    <w:rsid w:val="00503A7E"/>
    <w:rsid w:val="00503B2A"/>
    <w:rsid w:val="00503E28"/>
    <w:rsid w:val="00503E8A"/>
    <w:rsid w:val="00503FC3"/>
    <w:rsid w:val="00504325"/>
    <w:rsid w:val="005047BE"/>
    <w:rsid w:val="005047EF"/>
    <w:rsid w:val="005049E6"/>
    <w:rsid w:val="00504CCD"/>
    <w:rsid w:val="00504CD8"/>
    <w:rsid w:val="00504D6F"/>
    <w:rsid w:val="005051E1"/>
    <w:rsid w:val="00505454"/>
    <w:rsid w:val="00505585"/>
    <w:rsid w:val="0050584D"/>
    <w:rsid w:val="00505A98"/>
    <w:rsid w:val="00505D58"/>
    <w:rsid w:val="00505DF3"/>
    <w:rsid w:val="00505E3B"/>
    <w:rsid w:val="00505ED5"/>
    <w:rsid w:val="0050604E"/>
    <w:rsid w:val="00506144"/>
    <w:rsid w:val="0050627C"/>
    <w:rsid w:val="0050635C"/>
    <w:rsid w:val="00506360"/>
    <w:rsid w:val="005063D0"/>
    <w:rsid w:val="00506402"/>
    <w:rsid w:val="00506521"/>
    <w:rsid w:val="005066D2"/>
    <w:rsid w:val="0050681B"/>
    <w:rsid w:val="005068DC"/>
    <w:rsid w:val="00506B09"/>
    <w:rsid w:val="00506C55"/>
    <w:rsid w:val="00506C95"/>
    <w:rsid w:val="00506D6A"/>
    <w:rsid w:val="00506DA8"/>
    <w:rsid w:val="00507027"/>
    <w:rsid w:val="0050709F"/>
    <w:rsid w:val="0050712E"/>
    <w:rsid w:val="005071EA"/>
    <w:rsid w:val="005077C3"/>
    <w:rsid w:val="005077DA"/>
    <w:rsid w:val="0051045B"/>
    <w:rsid w:val="005104F3"/>
    <w:rsid w:val="00510870"/>
    <w:rsid w:val="005108B5"/>
    <w:rsid w:val="0051098E"/>
    <w:rsid w:val="005109F0"/>
    <w:rsid w:val="00510AAC"/>
    <w:rsid w:val="00510BC7"/>
    <w:rsid w:val="00510C35"/>
    <w:rsid w:val="00510C9D"/>
    <w:rsid w:val="00510DD9"/>
    <w:rsid w:val="00511307"/>
    <w:rsid w:val="005114FC"/>
    <w:rsid w:val="00511580"/>
    <w:rsid w:val="00511616"/>
    <w:rsid w:val="00511623"/>
    <w:rsid w:val="005116F7"/>
    <w:rsid w:val="005117E0"/>
    <w:rsid w:val="00511C56"/>
    <w:rsid w:val="00511CF8"/>
    <w:rsid w:val="00511DC2"/>
    <w:rsid w:val="00511E31"/>
    <w:rsid w:val="00511EF3"/>
    <w:rsid w:val="00511F62"/>
    <w:rsid w:val="0051204D"/>
    <w:rsid w:val="005120D5"/>
    <w:rsid w:val="0051214E"/>
    <w:rsid w:val="00512193"/>
    <w:rsid w:val="005123EA"/>
    <w:rsid w:val="0051246D"/>
    <w:rsid w:val="005124C2"/>
    <w:rsid w:val="005124D6"/>
    <w:rsid w:val="005125E4"/>
    <w:rsid w:val="005129B5"/>
    <w:rsid w:val="005129C0"/>
    <w:rsid w:val="00512AAE"/>
    <w:rsid w:val="00512AC3"/>
    <w:rsid w:val="00512B4F"/>
    <w:rsid w:val="00512C57"/>
    <w:rsid w:val="00512CDD"/>
    <w:rsid w:val="00512E25"/>
    <w:rsid w:val="00512F01"/>
    <w:rsid w:val="00512FD5"/>
    <w:rsid w:val="00513222"/>
    <w:rsid w:val="00513300"/>
    <w:rsid w:val="0051334D"/>
    <w:rsid w:val="00513724"/>
    <w:rsid w:val="00513751"/>
    <w:rsid w:val="00513847"/>
    <w:rsid w:val="005138CE"/>
    <w:rsid w:val="00513A40"/>
    <w:rsid w:val="00513B56"/>
    <w:rsid w:val="00513B94"/>
    <w:rsid w:val="00513D3E"/>
    <w:rsid w:val="00513DBD"/>
    <w:rsid w:val="00513EE9"/>
    <w:rsid w:val="0051400A"/>
    <w:rsid w:val="00514090"/>
    <w:rsid w:val="005140E1"/>
    <w:rsid w:val="005141E7"/>
    <w:rsid w:val="00514206"/>
    <w:rsid w:val="00514373"/>
    <w:rsid w:val="00514384"/>
    <w:rsid w:val="0051440E"/>
    <w:rsid w:val="00514436"/>
    <w:rsid w:val="005144FA"/>
    <w:rsid w:val="00514539"/>
    <w:rsid w:val="0051457A"/>
    <w:rsid w:val="00514616"/>
    <w:rsid w:val="0051484B"/>
    <w:rsid w:val="00514B04"/>
    <w:rsid w:val="00514B24"/>
    <w:rsid w:val="00515025"/>
    <w:rsid w:val="00515203"/>
    <w:rsid w:val="0051538B"/>
    <w:rsid w:val="00515437"/>
    <w:rsid w:val="00515493"/>
    <w:rsid w:val="00515605"/>
    <w:rsid w:val="00515888"/>
    <w:rsid w:val="005158CB"/>
    <w:rsid w:val="00515918"/>
    <w:rsid w:val="0051594F"/>
    <w:rsid w:val="00515964"/>
    <w:rsid w:val="00515AF9"/>
    <w:rsid w:val="00515B84"/>
    <w:rsid w:val="00515CFC"/>
    <w:rsid w:val="00516122"/>
    <w:rsid w:val="00516234"/>
    <w:rsid w:val="00516596"/>
    <w:rsid w:val="005165B3"/>
    <w:rsid w:val="0051674D"/>
    <w:rsid w:val="005167D6"/>
    <w:rsid w:val="005169D5"/>
    <w:rsid w:val="00516BF5"/>
    <w:rsid w:val="00516C7C"/>
    <w:rsid w:val="00516D79"/>
    <w:rsid w:val="00516DB9"/>
    <w:rsid w:val="00516DF7"/>
    <w:rsid w:val="00516E8A"/>
    <w:rsid w:val="00516F29"/>
    <w:rsid w:val="00516F75"/>
    <w:rsid w:val="005170F4"/>
    <w:rsid w:val="0051716E"/>
    <w:rsid w:val="00517290"/>
    <w:rsid w:val="005172B8"/>
    <w:rsid w:val="00517449"/>
    <w:rsid w:val="00517518"/>
    <w:rsid w:val="00517571"/>
    <w:rsid w:val="00517610"/>
    <w:rsid w:val="00517706"/>
    <w:rsid w:val="005177CE"/>
    <w:rsid w:val="00517A25"/>
    <w:rsid w:val="00517AFD"/>
    <w:rsid w:val="00517CF0"/>
    <w:rsid w:val="00517F00"/>
    <w:rsid w:val="00517FA1"/>
    <w:rsid w:val="00520106"/>
    <w:rsid w:val="0052013D"/>
    <w:rsid w:val="0052014E"/>
    <w:rsid w:val="005203D2"/>
    <w:rsid w:val="0052041D"/>
    <w:rsid w:val="00520565"/>
    <w:rsid w:val="00520567"/>
    <w:rsid w:val="0052079B"/>
    <w:rsid w:val="00520862"/>
    <w:rsid w:val="00520A3D"/>
    <w:rsid w:val="00520A47"/>
    <w:rsid w:val="00520B13"/>
    <w:rsid w:val="00520BC9"/>
    <w:rsid w:val="00520D53"/>
    <w:rsid w:val="00520D57"/>
    <w:rsid w:val="00520D92"/>
    <w:rsid w:val="0052102C"/>
    <w:rsid w:val="0052131F"/>
    <w:rsid w:val="005213C1"/>
    <w:rsid w:val="00521569"/>
    <w:rsid w:val="005217B4"/>
    <w:rsid w:val="00521853"/>
    <w:rsid w:val="00521C45"/>
    <w:rsid w:val="00521F57"/>
    <w:rsid w:val="005220E1"/>
    <w:rsid w:val="005222E2"/>
    <w:rsid w:val="0052249C"/>
    <w:rsid w:val="0052251D"/>
    <w:rsid w:val="00522629"/>
    <w:rsid w:val="00522677"/>
    <w:rsid w:val="00522727"/>
    <w:rsid w:val="0052273F"/>
    <w:rsid w:val="00522765"/>
    <w:rsid w:val="005227BF"/>
    <w:rsid w:val="0052293B"/>
    <w:rsid w:val="00522957"/>
    <w:rsid w:val="0052295B"/>
    <w:rsid w:val="00522B0F"/>
    <w:rsid w:val="00522E4E"/>
    <w:rsid w:val="00523273"/>
    <w:rsid w:val="005232C3"/>
    <w:rsid w:val="00523415"/>
    <w:rsid w:val="005239B1"/>
    <w:rsid w:val="005239BD"/>
    <w:rsid w:val="00523AA3"/>
    <w:rsid w:val="00523AEC"/>
    <w:rsid w:val="00523B11"/>
    <w:rsid w:val="00523CA6"/>
    <w:rsid w:val="00523D07"/>
    <w:rsid w:val="00523DA3"/>
    <w:rsid w:val="00523DF2"/>
    <w:rsid w:val="00523E48"/>
    <w:rsid w:val="00523EE3"/>
    <w:rsid w:val="00523F8E"/>
    <w:rsid w:val="00524352"/>
    <w:rsid w:val="0052453A"/>
    <w:rsid w:val="00524748"/>
    <w:rsid w:val="0052475C"/>
    <w:rsid w:val="005247C7"/>
    <w:rsid w:val="00524893"/>
    <w:rsid w:val="00524DB8"/>
    <w:rsid w:val="00524E10"/>
    <w:rsid w:val="00524EF8"/>
    <w:rsid w:val="005250A1"/>
    <w:rsid w:val="00525168"/>
    <w:rsid w:val="005252CD"/>
    <w:rsid w:val="00525457"/>
    <w:rsid w:val="00525468"/>
    <w:rsid w:val="005254D1"/>
    <w:rsid w:val="0052568F"/>
    <w:rsid w:val="00525766"/>
    <w:rsid w:val="00525878"/>
    <w:rsid w:val="00525F64"/>
    <w:rsid w:val="005261B2"/>
    <w:rsid w:val="00526379"/>
    <w:rsid w:val="0052637A"/>
    <w:rsid w:val="0052672D"/>
    <w:rsid w:val="00526913"/>
    <w:rsid w:val="0052698A"/>
    <w:rsid w:val="00526ED8"/>
    <w:rsid w:val="00526F9B"/>
    <w:rsid w:val="0052730D"/>
    <w:rsid w:val="00527577"/>
    <w:rsid w:val="00527788"/>
    <w:rsid w:val="00530017"/>
    <w:rsid w:val="0053008B"/>
    <w:rsid w:val="00530251"/>
    <w:rsid w:val="0053025D"/>
    <w:rsid w:val="005306A9"/>
    <w:rsid w:val="0053078A"/>
    <w:rsid w:val="005307F3"/>
    <w:rsid w:val="005309EA"/>
    <w:rsid w:val="00530A9B"/>
    <w:rsid w:val="00530ABC"/>
    <w:rsid w:val="00530D98"/>
    <w:rsid w:val="00530EDA"/>
    <w:rsid w:val="00530F6B"/>
    <w:rsid w:val="0053152A"/>
    <w:rsid w:val="00531B6E"/>
    <w:rsid w:val="00531BF1"/>
    <w:rsid w:val="00531C75"/>
    <w:rsid w:val="00531E99"/>
    <w:rsid w:val="00531FDE"/>
    <w:rsid w:val="0053203B"/>
    <w:rsid w:val="005320B5"/>
    <w:rsid w:val="005321C7"/>
    <w:rsid w:val="005321CB"/>
    <w:rsid w:val="005321D5"/>
    <w:rsid w:val="005322F5"/>
    <w:rsid w:val="00532566"/>
    <w:rsid w:val="00532873"/>
    <w:rsid w:val="00532B84"/>
    <w:rsid w:val="00532C42"/>
    <w:rsid w:val="00532EB3"/>
    <w:rsid w:val="00532FA2"/>
    <w:rsid w:val="00532FB5"/>
    <w:rsid w:val="0053333C"/>
    <w:rsid w:val="0053340F"/>
    <w:rsid w:val="00533418"/>
    <w:rsid w:val="0053344D"/>
    <w:rsid w:val="0053352D"/>
    <w:rsid w:val="0053365A"/>
    <w:rsid w:val="005336A4"/>
    <w:rsid w:val="005337A9"/>
    <w:rsid w:val="00533872"/>
    <w:rsid w:val="005338FC"/>
    <w:rsid w:val="00533B94"/>
    <w:rsid w:val="00533E15"/>
    <w:rsid w:val="00533F61"/>
    <w:rsid w:val="00534098"/>
    <w:rsid w:val="00534171"/>
    <w:rsid w:val="00534173"/>
    <w:rsid w:val="005345B6"/>
    <w:rsid w:val="005345DB"/>
    <w:rsid w:val="0053464B"/>
    <w:rsid w:val="005347A6"/>
    <w:rsid w:val="005349EB"/>
    <w:rsid w:val="00534D09"/>
    <w:rsid w:val="00534D3E"/>
    <w:rsid w:val="00535001"/>
    <w:rsid w:val="0053505D"/>
    <w:rsid w:val="0053538E"/>
    <w:rsid w:val="00535393"/>
    <w:rsid w:val="00535413"/>
    <w:rsid w:val="00535628"/>
    <w:rsid w:val="00535B25"/>
    <w:rsid w:val="00535B64"/>
    <w:rsid w:val="00535C07"/>
    <w:rsid w:val="0053600E"/>
    <w:rsid w:val="00536078"/>
    <w:rsid w:val="005360EC"/>
    <w:rsid w:val="005361C7"/>
    <w:rsid w:val="0053620B"/>
    <w:rsid w:val="005362C8"/>
    <w:rsid w:val="005362E9"/>
    <w:rsid w:val="00536470"/>
    <w:rsid w:val="005364FE"/>
    <w:rsid w:val="0053675B"/>
    <w:rsid w:val="00536A88"/>
    <w:rsid w:val="00536C42"/>
    <w:rsid w:val="00536D4D"/>
    <w:rsid w:val="00536E22"/>
    <w:rsid w:val="00536E8C"/>
    <w:rsid w:val="00536F76"/>
    <w:rsid w:val="00536FB7"/>
    <w:rsid w:val="00537008"/>
    <w:rsid w:val="005370C8"/>
    <w:rsid w:val="00537191"/>
    <w:rsid w:val="00537204"/>
    <w:rsid w:val="005372F1"/>
    <w:rsid w:val="0053736D"/>
    <w:rsid w:val="005373D2"/>
    <w:rsid w:val="0053742B"/>
    <w:rsid w:val="0053760F"/>
    <w:rsid w:val="005377F1"/>
    <w:rsid w:val="005379A1"/>
    <w:rsid w:val="00537BCC"/>
    <w:rsid w:val="00537E76"/>
    <w:rsid w:val="00537EE5"/>
    <w:rsid w:val="00540150"/>
    <w:rsid w:val="00540515"/>
    <w:rsid w:val="00540778"/>
    <w:rsid w:val="005407A8"/>
    <w:rsid w:val="00540876"/>
    <w:rsid w:val="00540AE3"/>
    <w:rsid w:val="00540B5D"/>
    <w:rsid w:val="00540C94"/>
    <w:rsid w:val="00540D53"/>
    <w:rsid w:val="00540D78"/>
    <w:rsid w:val="0054105E"/>
    <w:rsid w:val="005411A5"/>
    <w:rsid w:val="00541279"/>
    <w:rsid w:val="00541516"/>
    <w:rsid w:val="005415D6"/>
    <w:rsid w:val="005417B6"/>
    <w:rsid w:val="005418F0"/>
    <w:rsid w:val="00541913"/>
    <w:rsid w:val="00541949"/>
    <w:rsid w:val="00541952"/>
    <w:rsid w:val="005419D7"/>
    <w:rsid w:val="00541B53"/>
    <w:rsid w:val="00541B96"/>
    <w:rsid w:val="00541D71"/>
    <w:rsid w:val="00541F10"/>
    <w:rsid w:val="00541F6E"/>
    <w:rsid w:val="00542052"/>
    <w:rsid w:val="0054208A"/>
    <w:rsid w:val="0054212D"/>
    <w:rsid w:val="005423D2"/>
    <w:rsid w:val="00542648"/>
    <w:rsid w:val="00542762"/>
    <w:rsid w:val="00542806"/>
    <w:rsid w:val="0054282B"/>
    <w:rsid w:val="00542879"/>
    <w:rsid w:val="00542B07"/>
    <w:rsid w:val="00542BD2"/>
    <w:rsid w:val="00542CAA"/>
    <w:rsid w:val="00542D9C"/>
    <w:rsid w:val="00542E03"/>
    <w:rsid w:val="00542EA0"/>
    <w:rsid w:val="005431F3"/>
    <w:rsid w:val="00543367"/>
    <w:rsid w:val="00543D10"/>
    <w:rsid w:val="00543D55"/>
    <w:rsid w:val="00544106"/>
    <w:rsid w:val="00544169"/>
    <w:rsid w:val="0054416E"/>
    <w:rsid w:val="005441C7"/>
    <w:rsid w:val="00544212"/>
    <w:rsid w:val="00544458"/>
    <w:rsid w:val="00544511"/>
    <w:rsid w:val="005445BC"/>
    <w:rsid w:val="005445E4"/>
    <w:rsid w:val="0054466B"/>
    <w:rsid w:val="005446E8"/>
    <w:rsid w:val="00544A3C"/>
    <w:rsid w:val="00544C12"/>
    <w:rsid w:val="00545156"/>
    <w:rsid w:val="00545225"/>
    <w:rsid w:val="005452F0"/>
    <w:rsid w:val="00545417"/>
    <w:rsid w:val="005454BB"/>
    <w:rsid w:val="005454FD"/>
    <w:rsid w:val="005455F1"/>
    <w:rsid w:val="0054566E"/>
    <w:rsid w:val="00545670"/>
    <w:rsid w:val="00545A13"/>
    <w:rsid w:val="00545CD9"/>
    <w:rsid w:val="00545D1D"/>
    <w:rsid w:val="005460E4"/>
    <w:rsid w:val="00546196"/>
    <w:rsid w:val="0054665C"/>
    <w:rsid w:val="00546713"/>
    <w:rsid w:val="005469B1"/>
    <w:rsid w:val="005469E9"/>
    <w:rsid w:val="00546DEC"/>
    <w:rsid w:val="005470AC"/>
    <w:rsid w:val="0054726A"/>
    <w:rsid w:val="00547274"/>
    <w:rsid w:val="005475E6"/>
    <w:rsid w:val="005475F3"/>
    <w:rsid w:val="00547A5D"/>
    <w:rsid w:val="00547B39"/>
    <w:rsid w:val="00547B3A"/>
    <w:rsid w:val="00547BD4"/>
    <w:rsid w:val="00547CD1"/>
    <w:rsid w:val="00547E86"/>
    <w:rsid w:val="005500B3"/>
    <w:rsid w:val="005500C9"/>
    <w:rsid w:val="005500DB"/>
    <w:rsid w:val="00550103"/>
    <w:rsid w:val="005501A4"/>
    <w:rsid w:val="005501DE"/>
    <w:rsid w:val="00550528"/>
    <w:rsid w:val="005505FC"/>
    <w:rsid w:val="0055063C"/>
    <w:rsid w:val="0055099C"/>
    <w:rsid w:val="00550B9B"/>
    <w:rsid w:val="00550D72"/>
    <w:rsid w:val="00550DB1"/>
    <w:rsid w:val="00551157"/>
    <w:rsid w:val="00551371"/>
    <w:rsid w:val="005513C3"/>
    <w:rsid w:val="0055150A"/>
    <w:rsid w:val="0055185D"/>
    <w:rsid w:val="00551D24"/>
    <w:rsid w:val="00551E3C"/>
    <w:rsid w:val="0055202C"/>
    <w:rsid w:val="00552198"/>
    <w:rsid w:val="005522C0"/>
    <w:rsid w:val="00552365"/>
    <w:rsid w:val="005525BA"/>
    <w:rsid w:val="0055277C"/>
    <w:rsid w:val="0055289D"/>
    <w:rsid w:val="00552933"/>
    <w:rsid w:val="00552A15"/>
    <w:rsid w:val="00552AA2"/>
    <w:rsid w:val="00552B0C"/>
    <w:rsid w:val="00552B6D"/>
    <w:rsid w:val="00552DA5"/>
    <w:rsid w:val="00552DD2"/>
    <w:rsid w:val="00552F1B"/>
    <w:rsid w:val="0055323C"/>
    <w:rsid w:val="00553317"/>
    <w:rsid w:val="00553487"/>
    <w:rsid w:val="005535D5"/>
    <w:rsid w:val="005536C5"/>
    <w:rsid w:val="005537D8"/>
    <w:rsid w:val="00553887"/>
    <w:rsid w:val="005539E0"/>
    <w:rsid w:val="005539F2"/>
    <w:rsid w:val="00553C82"/>
    <w:rsid w:val="00553D83"/>
    <w:rsid w:val="00553EC2"/>
    <w:rsid w:val="00553FFA"/>
    <w:rsid w:val="005541E5"/>
    <w:rsid w:val="00554326"/>
    <w:rsid w:val="00554342"/>
    <w:rsid w:val="005545FC"/>
    <w:rsid w:val="00554730"/>
    <w:rsid w:val="00554741"/>
    <w:rsid w:val="00554BDF"/>
    <w:rsid w:val="00554BE5"/>
    <w:rsid w:val="00554C2A"/>
    <w:rsid w:val="00554D47"/>
    <w:rsid w:val="00554E69"/>
    <w:rsid w:val="00554F6D"/>
    <w:rsid w:val="0055519F"/>
    <w:rsid w:val="005553E1"/>
    <w:rsid w:val="00555421"/>
    <w:rsid w:val="005554EB"/>
    <w:rsid w:val="005558EA"/>
    <w:rsid w:val="00555A02"/>
    <w:rsid w:val="00555C6F"/>
    <w:rsid w:val="00555F12"/>
    <w:rsid w:val="00555F55"/>
    <w:rsid w:val="00555FD2"/>
    <w:rsid w:val="00556050"/>
    <w:rsid w:val="005560C7"/>
    <w:rsid w:val="0055631D"/>
    <w:rsid w:val="00556347"/>
    <w:rsid w:val="005564A1"/>
    <w:rsid w:val="005564C9"/>
    <w:rsid w:val="0055665D"/>
    <w:rsid w:val="0055669B"/>
    <w:rsid w:val="0055680E"/>
    <w:rsid w:val="0055681A"/>
    <w:rsid w:val="005568D0"/>
    <w:rsid w:val="0055698B"/>
    <w:rsid w:val="00556A48"/>
    <w:rsid w:val="00556CE5"/>
    <w:rsid w:val="00556CEF"/>
    <w:rsid w:val="005570DE"/>
    <w:rsid w:val="0055718F"/>
    <w:rsid w:val="005571CE"/>
    <w:rsid w:val="005571F7"/>
    <w:rsid w:val="0055727A"/>
    <w:rsid w:val="005573A6"/>
    <w:rsid w:val="005575BC"/>
    <w:rsid w:val="005576DC"/>
    <w:rsid w:val="005576E4"/>
    <w:rsid w:val="00557761"/>
    <w:rsid w:val="005579D2"/>
    <w:rsid w:val="00557A7A"/>
    <w:rsid w:val="00557EC9"/>
    <w:rsid w:val="00557F9D"/>
    <w:rsid w:val="00557FF7"/>
    <w:rsid w:val="005600D3"/>
    <w:rsid w:val="005600F3"/>
    <w:rsid w:val="0056031F"/>
    <w:rsid w:val="00560599"/>
    <w:rsid w:val="005607F3"/>
    <w:rsid w:val="0056080A"/>
    <w:rsid w:val="0056086D"/>
    <w:rsid w:val="00560898"/>
    <w:rsid w:val="00560A72"/>
    <w:rsid w:val="00560A91"/>
    <w:rsid w:val="00560AE9"/>
    <w:rsid w:val="00560C55"/>
    <w:rsid w:val="00560C6E"/>
    <w:rsid w:val="00560CA7"/>
    <w:rsid w:val="00560DED"/>
    <w:rsid w:val="00561015"/>
    <w:rsid w:val="0056115D"/>
    <w:rsid w:val="005611D9"/>
    <w:rsid w:val="00561662"/>
    <w:rsid w:val="005617ED"/>
    <w:rsid w:val="00561880"/>
    <w:rsid w:val="00561974"/>
    <w:rsid w:val="00561A89"/>
    <w:rsid w:val="00561C9C"/>
    <w:rsid w:val="00561D7E"/>
    <w:rsid w:val="00561E28"/>
    <w:rsid w:val="005621C4"/>
    <w:rsid w:val="0056222F"/>
    <w:rsid w:val="005622DC"/>
    <w:rsid w:val="00562338"/>
    <w:rsid w:val="00562390"/>
    <w:rsid w:val="00562804"/>
    <w:rsid w:val="00562B95"/>
    <w:rsid w:val="00562BE9"/>
    <w:rsid w:val="00562C75"/>
    <w:rsid w:val="00562C9C"/>
    <w:rsid w:val="005632E5"/>
    <w:rsid w:val="005634B1"/>
    <w:rsid w:val="005636FC"/>
    <w:rsid w:val="005638B2"/>
    <w:rsid w:val="00563D32"/>
    <w:rsid w:val="00564258"/>
    <w:rsid w:val="00564401"/>
    <w:rsid w:val="00564614"/>
    <w:rsid w:val="00564791"/>
    <w:rsid w:val="00564873"/>
    <w:rsid w:val="005649F5"/>
    <w:rsid w:val="00564CBB"/>
    <w:rsid w:val="00564D09"/>
    <w:rsid w:val="00565194"/>
    <w:rsid w:val="005651AC"/>
    <w:rsid w:val="005657A8"/>
    <w:rsid w:val="00565806"/>
    <w:rsid w:val="00565905"/>
    <w:rsid w:val="005659F3"/>
    <w:rsid w:val="00565AE0"/>
    <w:rsid w:val="00565DAB"/>
    <w:rsid w:val="00565FD0"/>
    <w:rsid w:val="005660CF"/>
    <w:rsid w:val="00566243"/>
    <w:rsid w:val="00566268"/>
    <w:rsid w:val="0056636A"/>
    <w:rsid w:val="0056638B"/>
    <w:rsid w:val="005663E3"/>
    <w:rsid w:val="00566422"/>
    <w:rsid w:val="00566613"/>
    <w:rsid w:val="0056667E"/>
    <w:rsid w:val="005666B1"/>
    <w:rsid w:val="00566781"/>
    <w:rsid w:val="00566899"/>
    <w:rsid w:val="005669B4"/>
    <w:rsid w:val="00566B40"/>
    <w:rsid w:val="00566C86"/>
    <w:rsid w:val="00566F5D"/>
    <w:rsid w:val="00567026"/>
    <w:rsid w:val="0056708B"/>
    <w:rsid w:val="005670C7"/>
    <w:rsid w:val="00567227"/>
    <w:rsid w:val="00567270"/>
    <w:rsid w:val="00567358"/>
    <w:rsid w:val="00567382"/>
    <w:rsid w:val="00567472"/>
    <w:rsid w:val="00567554"/>
    <w:rsid w:val="005675F7"/>
    <w:rsid w:val="005676BA"/>
    <w:rsid w:val="005677B1"/>
    <w:rsid w:val="005677CD"/>
    <w:rsid w:val="005677EA"/>
    <w:rsid w:val="005678E9"/>
    <w:rsid w:val="0056798D"/>
    <w:rsid w:val="00567A8F"/>
    <w:rsid w:val="00567AE5"/>
    <w:rsid w:val="00567CDA"/>
    <w:rsid w:val="00567D61"/>
    <w:rsid w:val="00567DA9"/>
    <w:rsid w:val="00570163"/>
    <w:rsid w:val="005703DB"/>
    <w:rsid w:val="0057055A"/>
    <w:rsid w:val="0057075C"/>
    <w:rsid w:val="00570848"/>
    <w:rsid w:val="0057084F"/>
    <w:rsid w:val="00570C7A"/>
    <w:rsid w:val="00570F76"/>
    <w:rsid w:val="00570FF6"/>
    <w:rsid w:val="00571008"/>
    <w:rsid w:val="0057116A"/>
    <w:rsid w:val="00571172"/>
    <w:rsid w:val="005711A9"/>
    <w:rsid w:val="00571679"/>
    <w:rsid w:val="00571724"/>
    <w:rsid w:val="0057176D"/>
    <w:rsid w:val="005717CA"/>
    <w:rsid w:val="00571CE0"/>
    <w:rsid w:val="00571DBF"/>
    <w:rsid w:val="00571DF3"/>
    <w:rsid w:val="00571F08"/>
    <w:rsid w:val="00572013"/>
    <w:rsid w:val="005722D9"/>
    <w:rsid w:val="005727E5"/>
    <w:rsid w:val="0057280E"/>
    <w:rsid w:val="00572817"/>
    <w:rsid w:val="005728AF"/>
    <w:rsid w:val="00572ADB"/>
    <w:rsid w:val="00572B58"/>
    <w:rsid w:val="00572BDC"/>
    <w:rsid w:val="00572CF8"/>
    <w:rsid w:val="00572D07"/>
    <w:rsid w:val="00572D14"/>
    <w:rsid w:val="00572DE9"/>
    <w:rsid w:val="00572ED5"/>
    <w:rsid w:val="005732DF"/>
    <w:rsid w:val="0057349E"/>
    <w:rsid w:val="00573702"/>
    <w:rsid w:val="005737F5"/>
    <w:rsid w:val="00573879"/>
    <w:rsid w:val="00573A68"/>
    <w:rsid w:val="00573BDC"/>
    <w:rsid w:val="00573EAD"/>
    <w:rsid w:val="00574147"/>
    <w:rsid w:val="00574429"/>
    <w:rsid w:val="0057458C"/>
    <w:rsid w:val="005745AA"/>
    <w:rsid w:val="00574638"/>
    <w:rsid w:val="0057473B"/>
    <w:rsid w:val="00574862"/>
    <w:rsid w:val="00574908"/>
    <w:rsid w:val="00574A72"/>
    <w:rsid w:val="00574BFF"/>
    <w:rsid w:val="00574EBC"/>
    <w:rsid w:val="00574EC9"/>
    <w:rsid w:val="00574FA6"/>
    <w:rsid w:val="00575064"/>
    <w:rsid w:val="00575097"/>
    <w:rsid w:val="005750A3"/>
    <w:rsid w:val="005750DD"/>
    <w:rsid w:val="00575239"/>
    <w:rsid w:val="0057529C"/>
    <w:rsid w:val="0057545A"/>
    <w:rsid w:val="0057567B"/>
    <w:rsid w:val="00575B21"/>
    <w:rsid w:val="00576110"/>
    <w:rsid w:val="00576225"/>
    <w:rsid w:val="00576341"/>
    <w:rsid w:val="00576461"/>
    <w:rsid w:val="005766ED"/>
    <w:rsid w:val="00576829"/>
    <w:rsid w:val="005768FB"/>
    <w:rsid w:val="00576A08"/>
    <w:rsid w:val="00576B1A"/>
    <w:rsid w:val="00576C16"/>
    <w:rsid w:val="00577149"/>
    <w:rsid w:val="0057718F"/>
    <w:rsid w:val="005772A2"/>
    <w:rsid w:val="0057748F"/>
    <w:rsid w:val="0057761E"/>
    <w:rsid w:val="005776B8"/>
    <w:rsid w:val="005776F5"/>
    <w:rsid w:val="00580055"/>
    <w:rsid w:val="005800C0"/>
    <w:rsid w:val="00580143"/>
    <w:rsid w:val="0058029C"/>
    <w:rsid w:val="0058035C"/>
    <w:rsid w:val="0058055A"/>
    <w:rsid w:val="0058062D"/>
    <w:rsid w:val="005806FC"/>
    <w:rsid w:val="0058098C"/>
    <w:rsid w:val="00580ABF"/>
    <w:rsid w:val="00580B32"/>
    <w:rsid w:val="00580B49"/>
    <w:rsid w:val="00580C89"/>
    <w:rsid w:val="00580F10"/>
    <w:rsid w:val="0058128A"/>
    <w:rsid w:val="005813F7"/>
    <w:rsid w:val="005814FF"/>
    <w:rsid w:val="00581850"/>
    <w:rsid w:val="00581CD8"/>
    <w:rsid w:val="00581CE3"/>
    <w:rsid w:val="00581D0D"/>
    <w:rsid w:val="00581DE5"/>
    <w:rsid w:val="00582085"/>
    <w:rsid w:val="00582162"/>
    <w:rsid w:val="0058216C"/>
    <w:rsid w:val="00582371"/>
    <w:rsid w:val="0058241D"/>
    <w:rsid w:val="00582573"/>
    <w:rsid w:val="005825EA"/>
    <w:rsid w:val="00582697"/>
    <w:rsid w:val="0058273E"/>
    <w:rsid w:val="005829CE"/>
    <w:rsid w:val="00582A02"/>
    <w:rsid w:val="00582A29"/>
    <w:rsid w:val="00582C44"/>
    <w:rsid w:val="00582CBB"/>
    <w:rsid w:val="00582DB7"/>
    <w:rsid w:val="00582E84"/>
    <w:rsid w:val="005830D4"/>
    <w:rsid w:val="005831D2"/>
    <w:rsid w:val="005831EF"/>
    <w:rsid w:val="005837EA"/>
    <w:rsid w:val="0058390E"/>
    <w:rsid w:val="00583AC6"/>
    <w:rsid w:val="00583AF6"/>
    <w:rsid w:val="00583B47"/>
    <w:rsid w:val="00583F8F"/>
    <w:rsid w:val="0058414B"/>
    <w:rsid w:val="0058418A"/>
    <w:rsid w:val="005842F2"/>
    <w:rsid w:val="005846CF"/>
    <w:rsid w:val="0058491E"/>
    <w:rsid w:val="005849F1"/>
    <w:rsid w:val="00584B58"/>
    <w:rsid w:val="00584E6D"/>
    <w:rsid w:val="00584FE9"/>
    <w:rsid w:val="0058519C"/>
    <w:rsid w:val="005852AC"/>
    <w:rsid w:val="00585769"/>
    <w:rsid w:val="005857B1"/>
    <w:rsid w:val="00585804"/>
    <w:rsid w:val="0058585E"/>
    <w:rsid w:val="00585A2E"/>
    <w:rsid w:val="00585B1D"/>
    <w:rsid w:val="00585CD9"/>
    <w:rsid w:val="00585D54"/>
    <w:rsid w:val="00585DF4"/>
    <w:rsid w:val="00585EA1"/>
    <w:rsid w:val="00585FBA"/>
    <w:rsid w:val="00586133"/>
    <w:rsid w:val="005861A0"/>
    <w:rsid w:val="00586269"/>
    <w:rsid w:val="00586379"/>
    <w:rsid w:val="0058645C"/>
    <w:rsid w:val="00586743"/>
    <w:rsid w:val="00586798"/>
    <w:rsid w:val="00586A50"/>
    <w:rsid w:val="00586AF0"/>
    <w:rsid w:val="00586AFF"/>
    <w:rsid w:val="00586D89"/>
    <w:rsid w:val="00586E73"/>
    <w:rsid w:val="00586E8E"/>
    <w:rsid w:val="00586F64"/>
    <w:rsid w:val="0058717A"/>
    <w:rsid w:val="00587447"/>
    <w:rsid w:val="005875B9"/>
    <w:rsid w:val="005875DA"/>
    <w:rsid w:val="005875DF"/>
    <w:rsid w:val="005875E4"/>
    <w:rsid w:val="0058762B"/>
    <w:rsid w:val="005878AB"/>
    <w:rsid w:val="00587A4A"/>
    <w:rsid w:val="00587A5A"/>
    <w:rsid w:val="00587AA6"/>
    <w:rsid w:val="00587BB2"/>
    <w:rsid w:val="00587C65"/>
    <w:rsid w:val="00587EE6"/>
    <w:rsid w:val="00587FFE"/>
    <w:rsid w:val="0059004D"/>
    <w:rsid w:val="005902E5"/>
    <w:rsid w:val="005907D6"/>
    <w:rsid w:val="00590845"/>
    <w:rsid w:val="005908BA"/>
    <w:rsid w:val="00590BB5"/>
    <w:rsid w:val="00590BE3"/>
    <w:rsid w:val="00590C0E"/>
    <w:rsid w:val="00590FD2"/>
    <w:rsid w:val="00591427"/>
    <w:rsid w:val="00591713"/>
    <w:rsid w:val="005917F0"/>
    <w:rsid w:val="0059188F"/>
    <w:rsid w:val="00591948"/>
    <w:rsid w:val="00591B0C"/>
    <w:rsid w:val="00591B41"/>
    <w:rsid w:val="00591CC2"/>
    <w:rsid w:val="00591CE8"/>
    <w:rsid w:val="00591D12"/>
    <w:rsid w:val="00591D3E"/>
    <w:rsid w:val="00591E06"/>
    <w:rsid w:val="00591E6D"/>
    <w:rsid w:val="0059202B"/>
    <w:rsid w:val="0059238B"/>
    <w:rsid w:val="00592586"/>
    <w:rsid w:val="0059279C"/>
    <w:rsid w:val="005928C8"/>
    <w:rsid w:val="00592972"/>
    <w:rsid w:val="00592A8D"/>
    <w:rsid w:val="00592B9F"/>
    <w:rsid w:val="00592D04"/>
    <w:rsid w:val="00593025"/>
    <w:rsid w:val="0059305F"/>
    <w:rsid w:val="005930A1"/>
    <w:rsid w:val="005934EE"/>
    <w:rsid w:val="0059365A"/>
    <w:rsid w:val="005936DD"/>
    <w:rsid w:val="0059373A"/>
    <w:rsid w:val="00593815"/>
    <w:rsid w:val="00593872"/>
    <w:rsid w:val="00593BC2"/>
    <w:rsid w:val="00593C97"/>
    <w:rsid w:val="00593EE1"/>
    <w:rsid w:val="005940A4"/>
    <w:rsid w:val="005940E8"/>
    <w:rsid w:val="0059426E"/>
    <w:rsid w:val="0059427F"/>
    <w:rsid w:val="005944E8"/>
    <w:rsid w:val="00594542"/>
    <w:rsid w:val="0059458C"/>
    <w:rsid w:val="0059470C"/>
    <w:rsid w:val="005947C1"/>
    <w:rsid w:val="00594862"/>
    <w:rsid w:val="0059490A"/>
    <w:rsid w:val="00594C0D"/>
    <w:rsid w:val="00594D85"/>
    <w:rsid w:val="00594DF5"/>
    <w:rsid w:val="00594E3C"/>
    <w:rsid w:val="0059510D"/>
    <w:rsid w:val="0059514B"/>
    <w:rsid w:val="00595368"/>
    <w:rsid w:val="00595463"/>
    <w:rsid w:val="00595479"/>
    <w:rsid w:val="00595567"/>
    <w:rsid w:val="00595812"/>
    <w:rsid w:val="00595825"/>
    <w:rsid w:val="00595998"/>
    <w:rsid w:val="005959ED"/>
    <w:rsid w:val="00595C13"/>
    <w:rsid w:val="00595C7F"/>
    <w:rsid w:val="00595D2E"/>
    <w:rsid w:val="00595DF9"/>
    <w:rsid w:val="00595E50"/>
    <w:rsid w:val="00595FE0"/>
    <w:rsid w:val="00595FF4"/>
    <w:rsid w:val="00596034"/>
    <w:rsid w:val="0059621F"/>
    <w:rsid w:val="005962D0"/>
    <w:rsid w:val="0059638B"/>
    <w:rsid w:val="0059643B"/>
    <w:rsid w:val="00596737"/>
    <w:rsid w:val="005968E6"/>
    <w:rsid w:val="00596AA2"/>
    <w:rsid w:val="00596EB9"/>
    <w:rsid w:val="00596F05"/>
    <w:rsid w:val="00596F1B"/>
    <w:rsid w:val="005970B2"/>
    <w:rsid w:val="0059723E"/>
    <w:rsid w:val="00597313"/>
    <w:rsid w:val="0059754B"/>
    <w:rsid w:val="00597625"/>
    <w:rsid w:val="0059779F"/>
    <w:rsid w:val="005979FC"/>
    <w:rsid w:val="00597E68"/>
    <w:rsid w:val="00597F5A"/>
    <w:rsid w:val="00597F9E"/>
    <w:rsid w:val="005A0038"/>
    <w:rsid w:val="005A023E"/>
    <w:rsid w:val="005A032C"/>
    <w:rsid w:val="005A033D"/>
    <w:rsid w:val="005A05D0"/>
    <w:rsid w:val="005A0626"/>
    <w:rsid w:val="005A0648"/>
    <w:rsid w:val="005A06DC"/>
    <w:rsid w:val="005A07BD"/>
    <w:rsid w:val="005A08CD"/>
    <w:rsid w:val="005A090A"/>
    <w:rsid w:val="005A0BA2"/>
    <w:rsid w:val="005A1008"/>
    <w:rsid w:val="005A102C"/>
    <w:rsid w:val="005A113A"/>
    <w:rsid w:val="005A1180"/>
    <w:rsid w:val="005A12B5"/>
    <w:rsid w:val="005A134F"/>
    <w:rsid w:val="005A13CA"/>
    <w:rsid w:val="005A175C"/>
    <w:rsid w:val="005A17C1"/>
    <w:rsid w:val="005A180A"/>
    <w:rsid w:val="005A1908"/>
    <w:rsid w:val="005A1ACE"/>
    <w:rsid w:val="005A1B4B"/>
    <w:rsid w:val="005A1F23"/>
    <w:rsid w:val="005A2056"/>
    <w:rsid w:val="005A207A"/>
    <w:rsid w:val="005A21A0"/>
    <w:rsid w:val="005A2329"/>
    <w:rsid w:val="005A254B"/>
    <w:rsid w:val="005A259C"/>
    <w:rsid w:val="005A25D3"/>
    <w:rsid w:val="005A2705"/>
    <w:rsid w:val="005A2883"/>
    <w:rsid w:val="005A2B82"/>
    <w:rsid w:val="005A2C62"/>
    <w:rsid w:val="005A301F"/>
    <w:rsid w:val="005A3041"/>
    <w:rsid w:val="005A324C"/>
    <w:rsid w:val="005A325E"/>
    <w:rsid w:val="005A33FA"/>
    <w:rsid w:val="005A3437"/>
    <w:rsid w:val="005A3494"/>
    <w:rsid w:val="005A360F"/>
    <w:rsid w:val="005A36DE"/>
    <w:rsid w:val="005A37BD"/>
    <w:rsid w:val="005A37CB"/>
    <w:rsid w:val="005A39A1"/>
    <w:rsid w:val="005A3B26"/>
    <w:rsid w:val="005A3BE1"/>
    <w:rsid w:val="005A3D46"/>
    <w:rsid w:val="005A3D52"/>
    <w:rsid w:val="005A3F7E"/>
    <w:rsid w:val="005A4028"/>
    <w:rsid w:val="005A403A"/>
    <w:rsid w:val="005A4265"/>
    <w:rsid w:val="005A42DD"/>
    <w:rsid w:val="005A43D6"/>
    <w:rsid w:val="005A43DE"/>
    <w:rsid w:val="005A4403"/>
    <w:rsid w:val="005A4613"/>
    <w:rsid w:val="005A4C9F"/>
    <w:rsid w:val="005A4DA6"/>
    <w:rsid w:val="005A4F32"/>
    <w:rsid w:val="005A50FF"/>
    <w:rsid w:val="005A512F"/>
    <w:rsid w:val="005A516D"/>
    <w:rsid w:val="005A5293"/>
    <w:rsid w:val="005A535B"/>
    <w:rsid w:val="005A5521"/>
    <w:rsid w:val="005A562A"/>
    <w:rsid w:val="005A5827"/>
    <w:rsid w:val="005A5AD5"/>
    <w:rsid w:val="005A61FC"/>
    <w:rsid w:val="005A6200"/>
    <w:rsid w:val="005A633F"/>
    <w:rsid w:val="005A6344"/>
    <w:rsid w:val="005A6526"/>
    <w:rsid w:val="005A6650"/>
    <w:rsid w:val="005A67EB"/>
    <w:rsid w:val="005A69AB"/>
    <w:rsid w:val="005A6A2C"/>
    <w:rsid w:val="005A6B25"/>
    <w:rsid w:val="005A6B33"/>
    <w:rsid w:val="005A6BAD"/>
    <w:rsid w:val="005A6D88"/>
    <w:rsid w:val="005A6DA9"/>
    <w:rsid w:val="005A700C"/>
    <w:rsid w:val="005A7161"/>
    <w:rsid w:val="005A7171"/>
    <w:rsid w:val="005A72A5"/>
    <w:rsid w:val="005A742B"/>
    <w:rsid w:val="005A76DB"/>
    <w:rsid w:val="005A79AB"/>
    <w:rsid w:val="005A7BD3"/>
    <w:rsid w:val="005A7CC0"/>
    <w:rsid w:val="005A7E13"/>
    <w:rsid w:val="005B04C5"/>
    <w:rsid w:val="005B04CF"/>
    <w:rsid w:val="005B05F3"/>
    <w:rsid w:val="005B0A07"/>
    <w:rsid w:val="005B0DC2"/>
    <w:rsid w:val="005B0DF4"/>
    <w:rsid w:val="005B0F62"/>
    <w:rsid w:val="005B0F93"/>
    <w:rsid w:val="005B104E"/>
    <w:rsid w:val="005B11AC"/>
    <w:rsid w:val="005B12D7"/>
    <w:rsid w:val="005B12EE"/>
    <w:rsid w:val="005B13E6"/>
    <w:rsid w:val="005B1404"/>
    <w:rsid w:val="005B140D"/>
    <w:rsid w:val="005B174D"/>
    <w:rsid w:val="005B1876"/>
    <w:rsid w:val="005B18C6"/>
    <w:rsid w:val="005B190F"/>
    <w:rsid w:val="005B1936"/>
    <w:rsid w:val="005B1955"/>
    <w:rsid w:val="005B1D62"/>
    <w:rsid w:val="005B1DC4"/>
    <w:rsid w:val="005B1E36"/>
    <w:rsid w:val="005B1EF7"/>
    <w:rsid w:val="005B1F59"/>
    <w:rsid w:val="005B1F90"/>
    <w:rsid w:val="005B1FB3"/>
    <w:rsid w:val="005B20A1"/>
    <w:rsid w:val="005B2167"/>
    <w:rsid w:val="005B2325"/>
    <w:rsid w:val="005B2621"/>
    <w:rsid w:val="005B26DE"/>
    <w:rsid w:val="005B2727"/>
    <w:rsid w:val="005B2728"/>
    <w:rsid w:val="005B2C10"/>
    <w:rsid w:val="005B2D89"/>
    <w:rsid w:val="005B30E6"/>
    <w:rsid w:val="005B3548"/>
    <w:rsid w:val="005B3855"/>
    <w:rsid w:val="005B38C9"/>
    <w:rsid w:val="005B39A2"/>
    <w:rsid w:val="005B3E88"/>
    <w:rsid w:val="005B403F"/>
    <w:rsid w:val="005B41A0"/>
    <w:rsid w:val="005B453F"/>
    <w:rsid w:val="005B45A2"/>
    <w:rsid w:val="005B45B1"/>
    <w:rsid w:val="005B47B7"/>
    <w:rsid w:val="005B47F7"/>
    <w:rsid w:val="005B4B73"/>
    <w:rsid w:val="005B4D23"/>
    <w:rsid w:val="005B4D60"/>
    <w:rsid w:val="005B4F5E"/>
    <w:rsid w:val="005B5089"/>
    <w:rsid w:val="005B50A3"/>
    <w:rsid w:val="005B5286"/>
    <w:rsid w:val="005B551D"/>
    <w:rsid w:val="005B5795"/>
    <w:rsid w:val="005B57CB"/>
    <w:rsid w:val="005B5967"/>
    <w:rsid w:val="005B599A"/>
    <w:rsid w:val="005B5D70"/>
    <w:rsid w:val="005B5F1D"/>
    <w:rsid w:val="005B6177"/>
    <w:rsid w:val="005B68B0"/>
    <w:rsid w:val="005B6B02"/>
    <w:rsid w:val="005B6D09"/>
    <w:rsid w:val="005B6DD2"/>
    <w:rsid w:val="005B71C4"/>
    <w:rsid w:val="005B73A9"/>
    <w:rsid w:val="005B746F"/>
    <w:rsid w:val="005B7633"/>
    <w:rsid w:val="005B7653"/>
    <w:rsid w:val="005B775D"/>
    <w:rsid w:val="005B78A7"/>
    <w:rsid w:val="005B78C7"/>
    <w:rsid w:val="005B78D3"/>
    <w:rsid w:val="005B79A2"/>
    <w:rsid w:val="005B7A34"/>
    <w:rsid w:val="005B7EDE"/>
    <w:rsid w:val="005C0045"/>
    <w:rsid w:val="005C00C0"/>
    <w:rsid w:val="005C0155"/>
    <w:rsid w:val="005C045B"/>
    <w:rsid w:val="005C0505"/>
    <w:rsid w:val="005C0572"/>
    <w:rsid w:val="005C06F3"/>
    <w:rsid w:val="005C0782"/>
    <w:rsid w:val="005C078D"/>
    <w:rsid w:val="005C095A"/>
    <w:rsid w:val="005C0991"/>
    <w:rsid w:val="005C09D9"/>
    <w:rsid w:val="005C0AC6"/>
    <w:rsid w:val="005C0B8F"/>
    <w:rsid w:val="005C106B"/>
    <w:rsid w:val="005C1076"/>
    <w:rsid w:val="005C10E8"/>
    <w:rsid w:val="005C114C"/>
    <w:rsid w:val="005C11E3"/>
    <w:rsid w:val="005C128A"/>
    <w:rsid w:val="005C134A"/>
    <w:rsid w:val="005C13FC"/>
    <w:rsid w:val="005C1420"/>
    <w:rsid w:val="005C144E"/>
    <w:rsid w:val="005C14D7"/>
    <w:rsid w:val="005C1501"/>
    <w:rsid w:val="005C15E2"/>
    <w:rsid w:val="005C1797"/>
    <w:rsid w:val="005C194B"/>
    <w:rsid w:val="005C19E3"/>
    <w:rsid w:val="005C1D6E"/>
    <w:rsid w:val="005C20D9"/>
    <w:rsid w:val="005C210E"/>
    <w:rsid w:val="005C2733"/>
    <w:rsid w:val="005C2794"/>
    <w:rsid w:val="005C282C"/>
    <w:rsid w:val="005C2870"/>
    <w:rsid w:val="005C29DA"/>
    <w:rsid w:val="005C2A9C"/>
    <w:rsid w:val="005C2E41"/>
    <w:rsid w:val="005C2F98"/>
    <w:rsid w:val="005C2F9C"/>
    <w:rsid w:val="005C301B"/>
    <w:rsid w:val="005C33A4"/>
    <w:rsid w:val="005C347B"/>
    <w:rsid w:val="005C34F1"/>
    <w:rsid w:val="005C35E2"/>
    <w:rsid w:val="005C3761"/>
    <w:rsid w:val="005C3792"/>
    <w:rsid w:val="005C38E6"/>
    <w:rsid w:val="005C3969"/>
    <w:rsid w:val="005C3A61"/>
    <w:rsid w:val="005C3BC6"/>
    <w:rsid w:val="005C3CC1"/>
    <w:rsid w:val="005C3E83"/>
    <w:rsid w:val="005C3E88"/>
    <w:rsid w:val="005C40B2"/>
    <w:rsid w:val="005C48AF"/>
    <w:rsid w:val="005C494B"/>
    <w:rsid w:val="005C498B"/>
    <w:rsid w:val="005C4F72"/>
    <w:rsid w:val="005C50F4"/>
    <w:rsid w:val="005C51C1"/>
    <w:rsid w:val="005C5245"/>
    <w:rsid w:val="005C5370"/>
    <w:rsid w:val="005C540B"/>
    <w:rsid w:val="005C54FF"/>
    <w:rsid w:val="005C5614"/>
    <w:rsid w:val="005C5758"/>
    <w:rsid w:val="005C58D1"/>
    <w:rsid w:val="005C597B"/>
    <w:rsid w:val="005C5AE7"/>
    <w:rsid w:val="005C5FBC"/>
    <w:rsid w:val="005C61E2"/>
    <w:rsid w:val="005C6274"/>
    <w:rsid w:val="005C62EF"/>
    <w:rsid w:val="005C6637"/>
    <w:rsid w:val="005C6725"/>
    <w:rsid w:val="005C682E"/>
    <w:rsid w:val="005C6C4B"/>
    <w:rsid w:val="005C7268"/>
    <w:rsid w:val="005C7310"/>
    <w:rsid w:val="005C7369"/>
    <w:rsid w:val="005C75CC"/>
    <w:rsid w:val="005C774D"/>
    <w:rsid w:val="005C77D9"/>
    <w:rsid w:val="005C7AB1"/>
    <w:rsid w:val="005C7C87"/>
    <w:rsid w:val="005C7D24"/>
    <w:rsid w:val="005D0220"/>
    <w:rsid w:val="005D0292"/>
    <w:rsid w:val="005D03C9"/>
    <w:rsid w:val="005D0408"/>
    <w:rsid w:val="005D04F1"/>
    <w:rsid w:val="005D0701"/>
    <w:rsid w:val="005D0743"/>
    <w:rsid w:val="005D097D"/>
    <w:rsid w:val="005D0AC6"/>
    <w:rsid w:val="005D0D52"/>
    <w:rsid w:val="005D0E17"/>
    <w:rsid w:val="005D0F41"/>
    <w:rsid w:val="005D104F"/>
    <w:rsid w:val="005D11BC"/>
    <w:rsid w:val="005D12C6"/>
    <w:rsid w:val="005D12DA"/>
    <w:rsid w:val="005D136C"/>
    <w:rsid w:val="005D1666"/>
    <w:rsid w:val="005D199F"/>
    <w:rsid w:val="005D1A66"/>
    <w:rsid w:val="005D1AC1"/>
    <w:rsid w:val="005D1E80"/>
    <w:rsid w:val="005D21E7"/>
    <w:rsid w:val="005D235D"/>
    <w:rsid w:val="005D27CC"/>
    <w:rsid w:val="005D299E"/>
    <w:rsid w:val="005D2A4D"/>
    <w:rsid w:val="005D2B8B"/>
    <w:rsid w:val="005D2BFA"/>
    <w:rsid w:val="005D2C43"/>
    <w:rsid w:val="005D2C72"/>
    <w:rsid w:val="005D2CEA"/>
    <w:rsid w:val="005D2E76"/>
    <w:rsid w:val="005D3095"/>
    <w:rsid w:val="005D3250"/>
    <w:rsid w:val="005D33A0"/>
    <w:rsid w:val="005D343E"/>
    <w:rsid w:val="005D348C"/>
    <w:rsid w:val="005D34E1"/>
    <w:rsid w:val="005D3718"/>
    <w:rsid w:val="005D3997"/>
    <w:rsid w:val="005D3A6C"/>
    <w:rsid w:val="005D3A6E"/>
    <w:rsid w:val="005D3AFE"/>
    <w:rsid w:val="005D3F65"/>
    <w:rsid w:val="005D3F78"/>
    <w:rsid w:val="005D40D9"/>
    <w:rsid w:val="005D429B"/>
    <w:rsid w:val="005D4390"/>
    <w:rsid w:val="005D46DE"/>
    <w:rsid w:val="005D4930"/>
    <w:rsid w:val="005D4D38"/>
    <w:rsid w:val="005D4D39"/>
    <w:rsid w:val="005D4F1A"/>
    <w:rsid w:val="005D51B6"/>
    <w:rsid w:val="005D51C4"/>
    <w:rsid w:val="005D54D5"/>
    <w:rsid w:val="005D5622"/>
    <w:rsid w:val="005D562F"/>
    <w:rsid w:val="005D588D"/>
    <w:rsid w:val="005D5BDE"/>
    <w:rsid w:val="005D5E0C"/>
    <w:rsid w:val="005D6005"/>
    <w:rsid w:val="005D6402"/>
    <w:rsid w:val="005D6433"/>
    <w:rsid w:val="005D65F9"/>
    <w:rsid w:val="005D6666"/>
    <w:rsid w:val="005D6AAC"/>
    <w:rsid w:val="005D6AEE"/>
    <w:rsid w:val="005D6B56"/>
    <w:rsid w:val="005D6CD3"/>
    <w:rsid w:val="005D6E01"/>
    <w:rsid w:val="005D6EEF"/>
    <w:rsid w:val="005D6F29"/>
    <w:rsid w:val="005D72A6"/>
    <w:rsid w:val="005D72D9"/>
    <w:rsid w:val="005D76B5"/>
    <w:rsid w:val="005D782E"/>
    <w:rsid w:val="005D7A6F"/>
    <w:rsid w:val="005D7B0E"/>
    <w:rsid w:val="005D7B76"/>
    <w:rsid w:val="005D7ECD"/>
    <w:rsid w:val="005D7F97"/>
    <w:rsid w:val="005E00FF"/>
    <w:rsid w:val="005E0380"/>
    <w:rsid w:val="005E042D"/>
    <w:rsid w:val="005E04B4"/>
    <w:rsid w:val="005E0584"/>
    <w:rsid w:val="005E0742"/>
    <w:rsid w:val="005E087E"/>
    <w:rsid w:val="005E0ACB"/>
    <w:rsid w:val="005E0AE1"/>
    <w:rsid w:val="005E0BF2"/>
    <w:rsid w:val="005E0C68"/>
    <w:rsid w:val="005E0FA6"/>
    <w:rsid w:val="005E1023"/>
    <w:rsid w:val="005E107E"/>
    <w:rsid w:val="005E1262"/>
    <w:rsid w:val="005E12C6"/>
    <w:rsid w:val="005E13DD"/>
    <w:rsid w:val="005E13E6"/>
    <w:rsid w:val="005E141A"/>
    <w:rsid w:val="005E150A"/>
    <w:rsid w:val="005E16DB"/>
    <w:rsid w:val="005E1978"/>
    <w:rsid w:val="005E19AB"/>
    <w:rsid w:val="005E1A5B"/>
    <w:rsid w:val="005E1C23"/>
    <w:rsid w:val="005E210C"/>
    <w:rsid w:val="005E2172"/>
    <w:rsid w:val="005E21B2"/>
    <w:rsid w:val="005E22B2"/>
    <w:rsid w:val="005E22F2"/>
    <w:rsid w:val="005E251F"/>
    <w:rsid w:val="005E270F"/>
    <w:rsid w:val="005E2898"/>
    <w:rsid w:val="005E28B0"/>
    <w:rsid w:val="005E28CF"/>
    <w:rsid w:val="005E307C"/>
    <w:rsid w:val="005E307D"/>
    <w:rsid w:val="005E30C4"/>
    <w:rsid w:val="005E3145"/>
    <w:rsid w:val="005E347D"/>
    <w:rsid w:val="005E34D9"/>
    <w:rsid w:val="005E35AF"/>
    <w:rsid w:val="005E35E8"/>
    <w:rsid w:val="005E36E1"/>
    <w:rsid w:val="005E36E2"/>
    <w:rsid w:val="005E3749"/>
    <w:rsid w:val="005E3834"/>
    <w:rsid w:val="005E39A5"/>
    <w:rsid w:val="005E3A2C"/>
    <w:rsid w:val="005E3B71"/>
    <w:rsid w:val="005E3D9B"/>
    <w:rsid w:val="005E3DA1"/>
    <w:rsid w:val="005E3E0A"/>
    <w:rsid w:val="005E3E3D"/>
    <w:rsid w:val="005E3ECD"/>
    <w:rsid w:val="005E3F23"/>
    <w:rsid w:val="005E3F85"/>
    <w:rsid w:val="005E4330"/>
    <w:rsid w:val="005E46FC"/>
    <w:rsid w:val="005E4AA4"/>
    <w:rsid w:val="005E4E51"/>
    <w:rsid w:val="005E4EE8"/>
    <w:rsid w:val="005E4F46"/>
    <w:rsid w:val="005E4F7A"/>
    <w:rsid w:val="005E4FCB"/>
    <w:rsid w:val="005E50A9"/>
    <w:rsid w:val="005E5204"/>
    <w:rsid w:val="005E5266"/>
    <w:rsid w:val="005E52A9"/>
    <w:rsid w:val="005E534F"/>
    <w:rsid w:val="005E539D"/>
    <w:rsid w:val="005E53EE"/>
    <w:rsid w:val="005E53FD"/>
    <w:rsid w:val="005E54C9"/>
    <w:rsid w:val="005E551B"/>
    <w:rsid w:val="005E55E5"/>
    <w:rsid w:val="005E5882"/>
    <w:rsid w:val="005E5A01"/>
    <w:rsid w:val="005E5A76"/>
    <w:rsid w:val="005E5BAF"/>
    <w:rsid w:val="005E5D53"/>
    <w:rsid w:val="005E5D77"/>
    <w:rsid w:val="005E5E7A"/>
    <w:rsid w:val="005E60EE"/>
    <w:rsid w:val="005E625D"/>
    <w:rsid w:val="005E67EC"/>
    <w:rsid w:val="005E6AC1"/>
    <w:rsid w:val="005E6C50"/>
    <w:rsid w:val="005E6D85"/>
    <w:rsid w:val="005E6DEA"/>
    <w:rsid w:val="005E6E66"/>
    <w:rsid w:val="005E6F51"/>
    <w:rsid w:val="005E713B"/>
    <w:rsid w:val="005E7220"/>
    <w:rsid w:val="005E7398"/>
    <w:rsid w:val="005E73E1"/>
    <w:rsid w:val="005E7456"/>
    <w:rsid w:val="005E7602"/>
    <w:rsid w:val="005E78A9"/>
    <w:rsid w:val="005E78B0"/>
    <w:rsid w:val="005E7941"/>
    <w:rsid w:val="005E7AD2"/>
    <w:rsid w:val="005E7AF9"/>
    <w:rsid w:val="005E7C11"/>
    <w:rsid w:val="005E7C5E"/>
    <w:rsid w:val="005E7CE4"/>
    <w:rsid w:val="005F00DB"/>
    <w:rsid w:val="005F0136"/>
    <w:rsid w:val="005F017A"/>
    <w:rsid w:val="005F0224"/>
    <w:rsid w:val="005F0498"/>
    <w:rsid w:val="005F05E8"/>
    <w:rsid w:val="005F06C3"/>
    <w:rsid w:val="005F08B4"/>
    <w:rsid w:val="005F08BB"/>
    <w:rsid w:val="005F08ED"/>
    <w:rsid w:val="005F0915"/>
    <w:rsid w:val="005F0CDC"/>
    <w:rsid w:val="005F0ED4"/>
    <w:rsid w:val="005F0EFF"/>
    <w:rsid w:val="005F1248"/>
    <w:rsid w:val="005F1274"/>
    <w:rsid w:val="005F1356"/>
    <w:rsid w:val="005F162B"/>
    <w:rsid w:val="005F1A73"/>
    <w:rsid w:val="005F1AE8"/>
    <w:rsid w:val="005F2103"/>
    <w:rsid w:val="005F210B"/>
    <w:rsid w:val="005F2207"/>
    <w:rsid w:val="005F22D0"/>
    <w:rsid w:val="005F2423"/>
    <w:rsid w:val="005F26B5"/>
    <w:rsid w:val="005F2A16"/>
    <w:rsid w:val="005F2AE8"/>
    <w:rsid w:val="005F2BF0"/>
    <w:rsid w:val="005F2CEC"/>
    <w:rsid w:val="005F308B"/>
    <w:rsid w:val="005F32EA"/>
    <w:rsid w:val="005F33D9"/>
    <w:rsid w:val="005F34A3"/>
    <w:rsid w:val="005F34A6"/>
    <w:rsid w:val="005F35E0"/>
    <w:rsid w:val="005F37C7"/>
    <w:rsid w:val="005F3B20"/>
    <w:rsid w:val="005F3CC1"/>
    <w:rsid w:val="005F3E5B"/>
    <w:rsid w:val="005F3FAC"/>
    <w:rsid w:val="005F3FCC"/>
    <w:rsid w:val="005F3FEB"/>
    <w:rsid w:val="005F425B"/>
    <w:rsid w:val="005F42E5"/>
    <w:rsid w:val="005F48F3"/>
    <w:rsid w:val="005F490B"/>
    <w:rsid w:val="005F4A35"/>
    <w:rsid w:val="005F4C20"/>
    <w:rsid w:val="005F4DA1"/>
    <w:rsid w:val="005F4ED2"/>
    <w:rsid w:val="005F539C"/>
    <w:rsid w:val="005F547A"/>
    <w:rsid w:val="005F54FF"/>
    <w:rsid w:val="005F55F8"/>
    <w:rsid w:val="005F55FB"/>
    <w:rsid w:val="005F57BD"/>
    <w:rsid w:val="005F57E8"/>
    <w:rsid w:val="005F57FF"/>
    <w:rsid w:val="005F5C89"/>
    <w:rsid w:val="005F5E82"/>
    <w:rsid w:val="005F602F"/>
    <w:rsid w:val="005F6088"/>
    <w:rsid w:val="005F6223"/>
    <w:rsid w:val="005F62A1"/>
    <w:rsid w:val="005F633C"/>
    <w:rsid w:val="005F65AD"/>
    <w:rsid w:val="005F661B"/>
    <w:rsid w:val="005F66AA"/>
    <w:rsid w:val="005F66D7"/>
    <w:rsid w:val="005F6701"/>
    <w:rsid w:val="005F6778"/>
    <w:rsid w:val="005F6888"/>
    <w:rsid w:val="005F6995"/>
    <w:rsid w:val="005F6BB4"/>
    <w:rsid w:val="005F6C97"/>
    <w:rsid w:val="005F6DA2"/>
    <w:rsid w:val="005F6E1C"/>
    <w:rsid w:val="005F6E44"/>
    <w:rsid w:val="005F7166"/>
    <w:rsid w:val="005F7251"/>
    <w:rsid w:val="005F72A4"/>
    <w:rsid w:val="005F72C6"/>
    <w:rsid w:val="005F7351"/>
    <w:rsid w:val="005F735F"/>
    <w:rsid w:val="005F7494"/>
    <w:rsid w:val="005F7650"/>
    <w:rsid w:val="005F78A1"/>
    <w:rsid w:val="005F7C05"/>
    <w:rsid w:val="005F7D18"/>
    <w:rsid w:val="005F7D32"/>
    <w:rsid w:val="0060036B"/>
    <w:rsid w:val="006003D4"/>
    <w:rsid w:val="006003F9"/>
    <w:rsid w:val="006003FD"/>
    <w:rsid w:val="006004B3"/>
    <w:rsid w:val="0060062A"/>
    <w:rsid w:val="006006A2"/>
    <w:rsid w:val="006006FC"/>
    <w:rsid w:val="00600A2B"/>
    <w:rsid w:val="00601090"/>
    <w:rsid w:val="00601098"/>
    <w:rsid w:val="00601309"/>
    <w:rsid w:val="0060139E"/>
    <w:rsid w:val="006013E3"/>
    <w:rsid w:val="006015B3"/>
    <w:rsid w:val="006015FB"/>
    <w:rsid w:val="006018E0"/>
    <w:rsid w:val="00601ABE"/>
    <w:rsid w:val="00601BF2"/>
    <w:rsid w:val="00601E3E"/>
    <w:rsid w:val="00601F5A"/>
    <w:rsid w:val="00602092"/>
    <w:rsid w:val="006020D3"/>
    <w:rsid w:val="0060210F"/>
    <w:rsid w:val="006024DF"/>
    <w:rsid w:val="00602508"/>
    <w:rsid w:val="00602573"/>
    <w:rsid w:val="006026C8"/>
    <w:rsid w:val="006026EB"/>
    <w:rsid w:val="00602737"/>
    <w:rsid w:val="006029C4"/>
    <w:rsid w:val="00602BA6"/>
    <w:rsid w:val="00602C0D"/>
    <w:rsid w:val="00602C94"/>
    <w:rsid w:val="00602D7E"/>
    <w:rsid w:val="00602D92"/>
    <w:rsid w:val="00602EC0"/>
    <w:rsid w:val="00602EF4"/>
    <w:rsid w:val="006030B6"/>
    <w:rsid w:val="0060318E"/>
    <w:rsid w:val="006031A1"/>
    <w:rsid w:val="0060321D"/>
    <w:rsid w:val="006032C4"/>
    <w:rsid w:val="006033F3"/>
    <w:rsid w:val="00603523"/>
    <w:rsid w:val="006037E9"/>
    <w:rsid w:val="006038C8"/>
    <w:rsid w:val="00603A51"/>
    <w:rsid w:val="00603C5C"/>
    <w:rsid w:val="00603D5C"/>
    <w:rsid w:val="0060423A"/>
    <w:rsid w:val="0060425D"/>
    <w:rsid w:val="0060461E"/>
    <w:rsid w:val="006047D8"/>
    <w:rsid w:val="0060485E"/>
    <w:rsid w:val="006048C5"/>
    <w:rsid w:val="00604A6A"/>
    <w:rsid w:val="00605151"/>
    <w:rsid w:val="00605157"/>
    <w:rsid w:val="006052BC"/>
    <w:rsid w:val="00605407"/>
    <w:rsid w:val="00605490"/>
    <w:rsid w:val="006056AD"/>
    <w:rsid w:val="006056D3"/>
    <w:rsid w:val="00605830"/>
    <w:rsid w:val="00605994"/>
    <w:rsid w:val="006059AE"/>
    <w:rsid w:val="00605E24"/>
    <w:rsid w:val="00605E7E"/>
    <w:rsid w:val="00605E81"/>
    <w:rsid w:val="00606093"/>
    <w:rsid w:val="0060609F"/>
    <w:rsid w:val="006060CC"/>
    <w:rsid w:val="00606174"/>
    <w:rsid w:val="00606272"/>
    <w:rsid w:val="00606299"/>
    <w:rsid w:val="006063C6"/>
    <w:rsid w:val="0060652A"/>
    <w:rsid w:val="0060656C"/>
    <w:rsid w:val="00606592"/>
    <w:rsid w:val="006065B8"/>
    <w:rsid w:val="0060660C"/>
    <w:rsid w:val="00606634"/>
    <w:rsid w:val="00606773"/>
    <w:rsid w:val="006068C1"/>
    <w:rsid w:val="00606933"/>
    <w:rsid w:val="006069CC"/>
    <w:rsid w:val="00606BD5"/>
    <w:rsid w:val="00606E68"/>
    <w:rsid w:val="00606E92"/>
    <w:rsid w:val="0060700C"/>
    <w:rsid w:val="00607295"/>
    <w:rsid w:val="00607433"/>
    <w:rsid w:val="00607534"/>
    <w:rsid w:val="00607617"/>
    <w:rsid w:val="006078E8"/>
    <w:rsid w:val="006078EA"/>
    <w:rsid w:val="00607B19"/>
    <w:rsid w:val="00607B26"/>
    <w:rsid w:val="00607B39"/>
    <w:rsid w:val="00607D14"/>
    <w:rsid w:val="00607D27"/>
    <w:rsid w:val="00607F52"/>
    <w:rsid w:val="0061040B"/>
    <w:rsid w:val="00610483"/>
    <w:rsid w:val="006105E0"/>
    <w:rsid w:val="006105F9"/>
    <w:rsid w:val="00610846"/>
    <w:rsid w:val="00610BB5"/>
    <w:rsid w:val="00610D7A"/>
    <w:rsid w:val="00610F04"/>
    <w:rsid w:val="0061100D"/>
    <w:rsid w:val="00611123"/>
    <w:rsid w:val="00611124"/>
    <w:rsid w:val="0061115F"/>
    <w:rsid w:val="0061117E"/>
    <w:rsid w:val="006111DF"/>
    <w:rsid w:val="0061158D"/>
    <w:rsid w:val="006116F9"/>
    <w:rsid w:val="00611754"/>
    <w:rsid w:val="0061175A"/>
    <w:rsid w:val="00611ACA"/>
    <w:rsid w:val="00611B87"/>
    <w:rsid w:val="006120DA"/>
    <w:rsid w:val="0061210D"/>
    <w:rsid w:val="006121B3"/>
    <w:rsid w:val="006121C4"/>
    <w:rsid w:val="00612481"/>
    <w:rsid w:val="006125E2"/>
    <w:rsid w:val="00612654"/>
    <w:rsid w:val="00612A8B"/>
    <w:rsid w:val="00612C02"/>
    <w:rsid w:val="00612C77"/>
    <w:rsid w:val="00612CEE"/>
    <w:rsid w:val="00612F37"/>
    <w:rsid w:val="00613185"/>
    <w:rsid w:val="00613217"/>
    <w:rsid w:val="006132DE"/>
    <w:rsid w:val="00613408"/>
    <w:rsid w:val="00613490"/>
    <w:rsid w:val="00613493"/>
    <w:rsid w:val="00613658"/>
    <w:rsid w:val="00613693"/>
    <w:rsid w:val="00613899"/>
    <w:rsid w:val="00613B70"/>
    <w:rsid w:val="00613BB7"/>
    <w:rsid w:val="00613F43"/>
    <w:rsid w:val="0061403E"/>
    <w:rsid w:val="00614122"/>
    <w:rsid w:val="0061412B"/>
    <w:rsid w:val="0061422D"/>
    <w:rsid w:val="006142D8"/>
    <w:rsid w:val="0061439E"/>
    <w:rsid w:val="0061445F"/>
    <w:rsid w:val="006144AF"/>
    <w:rsid w:val="00614589"/>
    <w:rsid w:val="006145A6"/>
    <w:rsid w:val="00614604"/>
    <w:rsid w:val="006148AF"/>
    <w:rsid w:val="00614C07"/>
    <w:rsid w:val="00615128"/>
    <w:rsid w:val="0061585A"/>
    <w:rsid w:val="00615879"/>
    <w:rsid w:val="00615987"/>
    <w:rsid w:val="00615A22"/>
    <w:rsid w:val="00615A74"/>
    <w:rsid w:val="00615C09"/>
    <w:rsid w:val="00616076"/>
    <w:rsid w:val="00616120"/>
    <w:rsid w:val="00616157"/>
    <w:rsid w:val="006161E9"/>
    <w:rsid w:val="00616395"/>
    <w:rsid w:val="00616B19"/>
    <w:rsid w:val="00616DC3"/>
    <w:rsid w:val="0061726F"/>
    <w:rsid w:val="006172AA"/>
    <w:rsid w:val="006172E7"/>
    <w:rsid w:val="0061740F"/>
    <w:rsid w:val="0061742B"/>
    <w:rsid w:val="006175E4"/>
    <w:rsid w:val="0061795E"/>
    <w:rsid w:val="00617B2E"/>
    <w:rsid w:val="00617F49"/>
    <w:rsid w:val="00620481"/>
    <w:rsid w:val="0062069C"/>
    <w:rsid w:val="00620AFF"/>
    <w:rsid w:val="00620BAE"/>
    <w:rsid w:val="00620BBE"/>
    <w:rsid w:val="00620C88"/>
    <w:rsid w:val="00620E33"/>
    <w:rsid w:val="00620FE7"/>
    <w:rsid w:val="006212A2"/>
    <w:rsid w:val="006212D4"/>
    <w:rsid w:val="00621403"/>
    <w:rsid w:val="006215EE"/>
    <w:rsid w:val="00621635"/>
    <w:rsid w:val="00621642"/>
    <w:rsid w:val="006217D9"/>
    <w:rsid w:val="0062190C"/>
    <w:rsid w:val="00621AE3"/>
    <w:rsid w:val="00621C5E"/>
    <w:rsid w:val="00621E76"/>
    <w:rsid w:val="00621F08"/>
    <w:rsid w:val="0062213A"/>
    <w:rsid w:val="006223E2"/>
    <w:rsid w:val="0062255A"/>
    <w:rsid w:val="00622834"/>
    <w:rsid w:val="006229E0"/>
    <w:rsid w:val="00622AA3"/>
    <w:rsid w:val="00622B1F"/>
    <w:rsid w:val="00622BED"/>
    <w:rsid w:val="00622FD6"/>
    <w:rsid w:val="006231A7"/>
    <w:rsid w:val="0062333F"/>
    <w:rsid w:val="00623437"/>
    <w:rsid w:val="00623543"/>
    <w:rsid w:val="006236FF"/>
    <w:rsid w:val="00623742"/>
    <w:rsid w:val="00623949"/>
    <w:rsid w:val="006239DC"/>
    <w:rsid w:val="00623AFF"/>
    <w:rsid w:val="00623DE7"/>
    <w:rsid w:val="00623E7E"/>
    <w:rsid w:val="00623EDC"/>
    <w:rsid w:val="006241B4"/>
    <w:rsid w:val="0062434A"/>
    <w:rsid w:val="006247FA"/>
    <w:rsid w:val="00624BEC"/>
    <w:rsid w:val="00624C1C"/>
    <w:rsid w:val="00624C6D"/>
    <w:rsid w:val="00624ED2"/>
    <w:rsid w:val="00624F15"/>
    <w:rsid w:val="006251F1"/>
    <w:rsid w:val="00625284"/>
    <w:rsid w:val="006252C1"/>
    <w:rsid w:val="00625306"/>
    <w:rsid w:val="00625474"/>
    <w:rsid w:val="006254AA"/>
    <w:rsid w:val="006254BC"/>
    <w:rsid w:val="006254BD"/>
    <w:rsid w:val="00625576"/>
    <w:rsid w:val="0062559A"/>
    <w:rsid w:val="0062559E"/>
    <w:rsid w:val="006259C2"/>
    <w:rsid w:val="00625A69"/>
    <w:rsid w:val="00625AA3"/>
    <w:rsid w:val="00625B3E"/>
    <w:rsid w:val="00625BE1"/>
    <w:rsid w:val="00625C91"/>
    <w:rsid w:val="00625CDF"/>
    <w:rsid w:val="00625D0F"/>
    <w:rsid w:val="00625D88"/>
    <w:rsid w:val="00625E07"/>
    <w:rsid w:val="00625E28"/>
    <w:rsid w:val="00625ED5"/>
    <w:rsid w:val="00626139"/>
    <w:rsid w:val="00626164"/>
    <w:rsid w:val="00626226"/>
    <w:rsid w:val="006263A7"/>
    <w:rsid w:val="00626516"/>
    <w:rsid w:val="006266FC"/>
    <w:rsid w:val="0062678C"/>
    <w:rsid w:val="0062695A"/>
    <w:rsid w:val="00626CC4"/>
    <w:rsid w:val="00627227"/>
    <w:rsid w:val="0062723E"/>
    <w:rsid w:val="006273C2"/>
    <w:rsid w:val="006274D9"/>
    <w:rsid w:val="0062760E"/>
    <w:rsid w:val="00627772"/>
    <w:rsid w:val="00627B1B"/>
    <w:rsid w:val="00627B2A"/>
    <w:rsid w:val="00627CD5"/>
    <w:rsid w:val="00627D39"/>
    <w:rsid w:val="00627D55"/>
    <w:rsid w:val="00627FA5"/>
    <w:rsid w:val="0063021F"/>
    <w:rsid w:val="0063068D"/>
    <w:rsid w:val="006308A1"/>
    <w:rsid w:val="00630968"/>
    <w:rsid w:val="00630AF0"/>
    <w:rsid w:val="00630C40"/>
    <w:rsid w:val="00630DD7"/>
    <w:rsid w:val="00631004"/>
    <w:rsid w:val="00631124"/>
    <w:rsid w:val="006311F4"/>
    <w:rsid w:val="0063128C"/>
    <w:rsid w:val="0063167D"/>
    <w:rsid w:val="00631734"/>
    <w:rsid w:val="006317E1"/>
    <w:rsid w:val="00631946"/>
    <w:rsid w:val="00631997"/>
    <w:rsid w:val="00631A0E"/>
    <w:rsid w:val="00631A47"/>
    <w:rsid w:val="00631A74"/>
    <w:rsid w:val="006320B5"/>
    <w:rsid w:val="0063247A"/>
    <w:rsid w:val="00632525"/>
    <w:rsid w:val="00632601"/>
    <w:rsid w:val="0063278E"/>
    <w:rsid w:val="00632B66"/>
    <w:rsid w:val="00632B9A"/>
    <w:rsid w:val="00632BA6"/>
    <w:rsid w:val="00632D1B"/>
    <w:rsid w:val="00632D25"/>
    <w:rsid w:val="00632D92"/>
    <w:rsid w:val="00632E16"/>
    <w:rsid w:val="00632E6E"/>
    <w:rsid w:val="00632FD8"/>
    <w:rsid w:val="00633086"/>
    <w:rsid w:val="0063318E"/>
    <w:rsid w:val="0063338A"/>
    <w:rsid w:val="00633658"/>
    <w:rsid w:val="00633746"/>
    <w:rsid w:val="00633890"/>
    <w:rsid w:val="00633899"/>
    <w:rsid w:val="00633A13"/>
    <w:rsid w:val="00633ABE"/>
    <w:rsid w:val="00633AFA"/>
    <w:rsid w:val="00633B49"/>
    <w:rsid w:val="00633B78"/>
    <w:rsid w:val="00633B83"/>
    <w:rsid w:val="00633C0C"/>
    <w:rsid w:val="00633F32"/>
    <w:rsid w:val="006340F9"/>
    <w:rsid w:val="006342AE"/>
    <w:rsid w:val="00634327"/>
    <w:rsid w:val="00634378"/>
    <w:rsid w:val="0063440D"/>
    <w:rsid w:val="00634454"/>
    <w:rsid w:val="00634577"/>
    <w:rsid w:val="00634825"/>
    <w:rsid w:val="00634A7C"/>
    <w:rsid w:val="00634A97"/>
    <w:rsid w:val="00634AAC"/>
    <w:rsid w:val="00634BB0"/>
    <w:rsid w:val="00634F95"/>
    <w:rsid w:val="006350C5"/>
    <w:rsid w:val="00635184"/>
    <w:rsid w:val="006352FD"/>
    <w:rsid w:val="006353FA"/>
    <w:rsid w:val="006354B6"/>
    <w:rsid w:val="00635877"/>
    <w:rsid w:val="006358F2"/>
    <w:rsid w:val="00635C59"/>
    <w:rsid w:val="00635D4B"/>
    <w:rsid w:val="00635DC7"/>
    <w:rsid w:val="00635FF7"/>
    <w:rsid w:val="0063611A"/>
    <w:rsid w:val="00636129"/>
    <w:rsid w:val="0063624C"/>
    <w:rsid w:val="006362A8"/>
    <w:rsid w:val="0063641A"/>
    <w:rsid w:val="00636674"/>
    <w:rsid w:val="006367E3"/>
    <w:rsid w:val="00636B37"/>
    <w:rsid w:val="00636B5A"/>
    <w:rsid w:val="00636C71"/>
    <w:rsid w:val="00636E60"/>
    <w:rsid w:val="006370C4"/>
    <w:rsid w:val="006370EF"/>
    <w:rsid w:val="0063713D"/>
    <w:rsid w:val="006373E0"/>
    <w:rsid w:val="006375AB"/>
    <w:rsid w:val="006375CA"/>
    <w:rsid w:val="00637649"/>
    <w:rsid w:val="0063772D"/>
    <w:rsid w:val="00637885"/>
    <w:rsid w:val="00637ADA"/>
    <w:rsid w:val="00637BC8"/>
    <w:rsid w:val="00637C16"/>
    <w:rsid w:val="00637E50"/>
    <w:rsid w:val="00640082"/>
    <w:rsid w:val="006404B2"/>
    <w:rsid w:val="006405D5"/>
    <w:rsid w:val="006406A7"/>
    <w:rsid w:val="006406B4"/>
    <w:rsid w:val="0064091A"/>
    <w:rsid w:val="00640B5D"/>
    <w:rsid w:val="00640C67"/>
    <w:rsid w:val="00640EAC"/>
    <w:rsid w:val="006410FD"/>
    <w:rsid w:val="0064132E"/>
    <w:rsid w:val="00641571"/>
    <w:rsid w:val="0064162F"/>
    <w:rsid w:val="006416F6"/>
    <w:rsid w:val="006418AC"/>
    <w:rsid w:val="0064198B"/>
    <w:rsid w:val="00641A76"/>
    <w:rsid w:val="00641F9B"/>
    <w:rsid w:val="006420ED"/>
    <w:rsid w:val="0064226C"/>
    <w:rsid w:val="00642722"/>
    <w:rsid w:val="006428F8"/>
    <w:rsid w:val="00642B52"/>
    <w:rsid w:val="00642C8E"/>
    <w:rsid w:val="00642CEB"/>
    <w:rsid w:val="00642F0F"/>
    <w:rsid w:val="00642FC8"/>
    <w:rsid w:val="0064302D"/>
    <w:rsid w:val="00643051"/>
    <w:rsid w:val="00643148"/>
    <w:rsid w:val="00643223"/>
    <w:rsid w:val="00643289"/>
    <w:rsid w:val="006434D9"/>
    <w:rsid w:val="006435AA"/>
    <w:rsid w:val="00643642"/>
    <w:rsid w:val="006436C1"/>
    <w:rsid w:val="006437C5"/>
    <w:rsid w:val="006437FB"/>
    <w:rsid w:val="006439AC"/>
    <w:rsid w:val="00643A1E"/>
    <w:rsid w:val="00643DA8"/>
    <w:rsid w:val="00643E5B"/>
    <w:rsid w:val="00643E5E"/>
    <w:rsid w:val="00643FDF"/>
    <w:rsid w:val="00644142"/>
    <w:rsid w:val="00644223"/>
    <w:rsid w:val="0064434F"/>
    <w:rsid w:val="0064443E"/>
    <w:rsid w:val="00644456"/>
    <w:rsid w:val="00644891"/>
    <w:rsid w:val="0064490D"/>
    <w:rsid w:val="00644BAE"/>
    <w:rsid w:val="00644CAD"/>
    <w:rsid w:val="00644CC8"/>
    <w:rsid w:val="00644E70"/>
    <w:rsid w:val="00644EDF"/>
    <w:rsid w:val="00644FBC"/>
    <w:rsid w:val="00644FCC"/>
    <w:rsid w:val="00645016"/>
    <w:rsid w:val="00645072"/>
    <w:rsid w:val="006453BF"/>
    <w:rsid w:val="006453EF"/>
    <w:rsid w:val="0064559F"/>
    <w:rsid w:val="00645634"/>
    <w:rsid w:val="0064581E"/>
    <w:rsid w:val="00645B1B"/>
    <w:rsid w:val="00645BA4"/>
    <w:rsid w:val="00645C48"/>
    <w:rsid w:val="00645CFE"/>
    <w:rsid w:val="00645D18"/>
    <w:rsid w:val="00645D48"/>
    <w:rsid w:val="00645DA4"/>
    <w:rsid w:val="00645DC5"/>
    <w:rsid w:val="00645FA1"/>
    <w:rsid w:val="00646006"/>
    <w:rsid w:val="0064603F"/>
    <w:rsid w:val="0064610C"/>
    <w:rsid w:val="006461A4"/>
    <w:rsid w:val="0064636F"/>
    <w:rsid w:val="006463BF"/>
    <w:rsid w:val="00646501"/>
    <w:rsid w:val="006469DB"/>
    <w:rsid w:val="006469FE"/>
    <w:rsid w:val="00646A94"/>
    <w:rsid w:val="00646D06"/>
    <w:rsid w:val="00646D42"/>
    <w:rsid w:val="00646E80"/>
    <w:rsid w:val="00646F0F"/>
    <w:rsid w:val="006471B0"/>
    <w:rsid w:val="006471B4"/>
    <w:rsid w:val="006472CF"/>
    <w:rsid w:val="006475EA"/>
    <w:rsid w:val="006475F1"/>
    <w:rsid w:val="00647638"/>
    <w:rsid w:val="0064781F"/>
    <w:rsid w:val="00647907"/>
    <w:rsid w:val="00647950"/>
    <w:rsid w:val="00647A27"/>
    <w:rsid w:val="00647AF1"/>
    <w:rsid w:val="00647C6F"/>
    <w:rsid w:val="00647CB0"/>
    <w:rsid w:val="00647D11"/>
    <w:rsid w:val="00647E2C"/>
    <w:rsid w:val="00647EF1"/>
    <w:rsid w:val="0065003F"/>
    <w:rsid w:val="0065005F"/>
    <w:rsid w:val="0065024E"/>
    <w:rsid w:val="0065026C"/>
    <w:rsid w:val="006502C2"/>
    <w:rsid w:val="00650443"/>
    <w:rsid w:val="006505D6"/>
    <w:rsid w:val="0065074F"/>
    <w:rsid w:val="00650ADD"/>
    <w:rsid w:val="00650CC1"/>
    <w:rsid w:val="00650D29"/>
    <w:rsid w:val="00650D34"/>
    <w:rsid w:val="00650D4C"/>
    <w:rsid w:val="00650E67"/>
    <w:rsid w:val="006512A0"/>
    <w:rsid w:val="00651341"/>
    <w:rsid w:val="006513B1"/>
    <w:rsid w:val="006513BE"/>
    <w:rsid w:val="006514BF"/>
    <w:rsid w:val="006516A5"/>
    <w:rsid w:val="00651926"/>
    <w:rsid w:val="00651A34"/>
    <w:rsid w:val="00651D6B"/>
    <w:rsid w:val="00651E9C"/>
    <w:rsid w:val="00651ED9"/>
    <w:rsid w:val="00651FAB"/>
    <w:rsid w:val="006521D3"/>
    <w:rsid w:val="00652260"/>
    <w:rsid w:val="0065251F"/>
    <w:rsid w:val="006525ED"/>
    <w:rsid w:val="006527CE"/>
    <w:rsid w:val="006527D1"/>
    <w:rsid w:val="0065280E"/>
    <w:rsid w:val="006529DE"/>
    <w:rsid w:val="00652A40"/>
    <w:rsid w:val="00652A6C"/>
    <w:rsid w:val="00652AC4"/>
    <w:rsid w:val="00652F31"/>
    <w:rsid w:val="0065315F"/>
    <w:rsid w:val="00653284"/>
    <w:rsid w:val="00653471"/>
    <w:rsid w:val="006534F0"/>
    <w:rsid w:val="00653653"/>
    <w:rsid w:val="00653666"/>
    <w:rsid w:val="006536E4"/>
    <w:rsid w:val="00653B14"/>
    <w:rsid w:val="00653C6D"/>
    <w:rsid w:val="00653C81"/>
    <w:rsid w:val="00653DEB"/>
    <w:rsid w:val="00654013"/>
    <w:rsid w:val="0065432D"/>
    <w:rsid w:val="00654561"/>
    <w:rsid w:val="00654653"/>
    <w:rsid w:val="00654684"/>
    <w:rsid w:val="0065468D"/>
    <w:rsid w:val="00654A9C"/>
    <w:rsid w:val="00654B3F"/>
    <w:rsid w:val="00654C14"/>
    <w:rsid w:val="00655058"/>
    <w:rsid w:val="0065507E"/>
    <w:rsid w:val="006552F5"/>
    <w:rsid w:val="006553E4"/>
    <w:rsid w:val="00655461"/>
    <w:rsid w:val="006556B5"/>
    <w:rsid w:val="0065593E"/>
    <w:rsid w:val="00655A54"/>
    <w:rsid w:val="00655A59"/>
    <w:rsid w:val="00655A82"/>
    <w:rsid w:val="00655C05"/>
    <w:rsid w:val="00655EC4"/>
    <w:rsid w:val="00655F7A"/>
    <w:rsid w:val="00656485"/>
    <w:rsid w:val="006566D8"/>
    <w:rsid w:val="0065690D"/>
    <w:rsid w:val="00656A83"/>
    <w:rsid w:val="00656AF7"/>
    <w:rsid w:val="00656D85"/>
    <w:rsid w:val="00656F57"/>
    <w:rsid w:val="00657298"/>
    <w:rsid w:val="00657392"/>
    <w:rsid w:val="006573E3"/>
    <w:rsid w:val="00657562"/>
    <w:rsid w:val="006579A2"/>
    <w:rsid w:val="006579F8"/>
    <w:rsid w:val="00657D59"/>
    <w:rsid w:val="00657E87"/>
    <w:rsid w:val="00657F28"/>
    <w:rsid w:val="00657F5C"/>
    <w:rsid w:val="00660193"/>
    <w:rsid w:val="006601AE"/>
    <w:rsid w:val="0066021E"/>
    <w:rsid w:val="006603C2"/>
    <w:rsid w:val="006603E6"/>
    <w:rsid w:val="00660446"/>
    <w:rsid w:val="00660685"/>
    <w:rsid w:val="006606AF"/>
    <w:rsid w:val="006606B8"/>
    <w:rsid w:val="00660751"/>
    <w:rsid w:val="00660753"/>
    <w:rsid w:val="006607CE"/>
    <w:rsid w:val="006607D4"/>
    <w:rsid w:val="006607DB"/>
    <w:rsid w:val="00660E6F"/>
    <w:rsid w:val="00660EBE"/>
    <w:rsid w:val="00660F31"/>
    <w:rsid w:val="00660FC1"/>
    <w:rsid w:val="0066102E"/>
    <w:rsid w:val="0066107D"/>
    <w:rsid w:val="00661114"/>
    <w:rsid w:val="00661162"/>
    <w:rsid w:val="006612AC"/>
    <w:rsid w:val="006612B7"/>
    <w:rsid w:val="00661323"/>
    <w:rsid w:val="0066133C"/>
    <w:rsid w:val="00661371"/>
    <w:rsid w:val="0066138A"/>
    <w:rsid w:val="006614DD"/>
    <w:rsid w:val="0066166D"/>
    <w:rsid w:val="006617C1"/>
    <w:rsid w:val="00661850"/>
    <w:rsid w:val="00661978"/>
    <w:rsid w:val="0066197D"/>
    <w:rsid w:val="00661AA7"/>
    <w:rsid w:val="00661B05"/>
    <w:rsid w:val="00661D51"/>
    <w:rsid w:val="00661D54"/>
    <w:rsid w:val="00661E20"/>
    <w:rsid w:val="00661ED0"/>
    <w:rsid w:val="00661FB7"/>
    <w:rsid w:val="0066235D"/>
    <w:rsid w:val="0066265E"/>
    <w:rsid w:val="006627BB"/>
    <w:rsid w:val="00662B2C"/>
    <w:rsid w:val="00662D9B"/>
    <w:rsid w:val="00662D9C"/>
    <w:rsid w:val="00662F88"/>
    <w:rsid w:val="006632FB"/>
    <w:rsid w:val="00663309"/>
    <w:rsid w:val="006634D8"/>
    <w:rsid w:val="00663812"/>
    <w:rsid w:val="006639E0"/>
    <w:rsid w:val="00663A54"/>
    <w:rsid w:val="00663A7D"/>
    <w:rsid w:val="00663AE6"/>
    <w:rsid w:val="00663CC0"/>
    <w:rsid w:val="0066422C"/>
    <w:rsid w:val="00664797"/>
    <w:rsid w:val="00664934"/>
    <w:rsid w:val="0066501C"/>
    <w:rsid w:val="0066510E"/>
    <w:rsid w:val="00665312"/>
    <w:rsid w:val="006653EB"/>
    <w:rsid w:val="006656E3"/>
    <w:rsid w:val="0066580C"/>
    <w:rsid w:val="006658FD"/>
    <w:rsid w:val="00665A3F"/>
    <w:rsid w:val="00665A66"/>
    <w:rsid w:val="00665C0E"/>
    <w:rsid w:val="00665CC5"/>
    <w:rsid w:val="00665E19"/>
    <w:rsid w:val="00665EEB"/>
    <w:rsid w:val="00666153"/>
    <w:rsid w:val="006664E4"/>
    <w:rsid w:val="00666615"/>
    <w:rsid w:val="00666696"/>
    <w:rsid w:val="006668FB"/>
    <w:rsid w:val="00666B5D"/>
    <w:rsid w:val="00666D8A"/>
    <w:rsid w:val="00666F93"/>
    <w:rsid w:val="00667042"/>
    <w:rsid w:val="00667180"/>
    <w:rsid w:val="006672DC"/>
    <w:rsid w:val="006672F6"/>
    <w:rsid w:val="00667384"/>
    <w:rsid w:val="006674D2"/>
    <w:rsid w:val="0066754E"/>
    <w:rsid w:val="0066769E"/>
    <w:rsid w:val="00667862"/>
    <w:rsid w:val="0066793C"/>
    <w:rsid w:val="00667E98"/>
    <w:rsid w:val="00667FC8"/>
    <w:rsid w:val="006701C2"/>
    <w:rsid w:val="00670220"/>
    <w:rsid w:val="006702BE"/>
    <w:rsid w:val="006702C7"/>
    <w:rsid w:val="00670531"/>
    <w:rsid w:val="006707C2"/>
    <w:rsid w:val="006709DF"/>
    <w:rsid w:val="00670B06"/>
    <w:rsid w:val="00670BEF"/>
    <w:rsid w:val="00670E37"/>
    <w:rsid w:val="00671015"/>
    <w:rsid w:val="00671071"/>
    <w:rsid w:val="006710E5"/>
    <w:rsid w:val="006713E4"/>
    <w:rsid w:val="006713FD"/>
    <w:rsid w:val="00671633"/>
    <w:rsid w:val="006719E5"/>
    <w:rsid w:val="00671B40"/>
    <w:rsid w:val="00671CDE"/>
    <w:rsid w:val="00671D43"/>
    <w:rsid w:val="006720D7"/>
    <w:rsid w:val="00672177"/>
    <w:rsid w:val="006721D1"/>
    <w:rsid w:val="00672521"/>
    <w:rsid w:val="00672580"/>
    <w:rsid w:val="006726F6"/>
    <w:rsid w:val="00672750"/>
    <w:rsid w:val="0067276D"/>
    <w:rsid w:val="006728B6"/>
    <w:rsid w:val="00672A7E"/>
    <w:rsid w:val="00672B5E"/>
    <w:rsid w:val="00672CFD"/>
    <w:rsid w:val="006730C6"/>
    <w:rsid w:val="0067316C"/>
    <w:rsid w:val="00673207"/>
    <w:rsid w:val="006734E2"/>
    <w:rsid w:val="0067364D"/>
    <w:rsid w:val="006737F0"/>
    <w:rsid w:val="00673814"/>
    <w:rsid w:val="006739FA"/>
    <w:rsid w:val="00673B00"/>
    <w:rsid w:val="00673C97"/>
    <w:rsid w:val="00673CB3"/>
    <w:rsid w:val="006743A8"/>
    <w:rsid w:val="006743D4"/>
    <w:rsid w:val="00674449"/>
    <w:rsid w:val="006744A5"/>
    <w:rsid w:val="00674852"/>
    <w:rsid w:val="00674871"/>
    <w:rsid w:val="0067488A"/>
    <w:rsid w:val="006748D7"/>
    <w:rsid w:val="00674BB0"/>
    <w:rsid w:val="00674C52"/>
    <w:rsid w:val="00674C66"/>
    <w:rsid w:val="00674CD7"/>
    <w:rsid w:val="00674EB5"/>
    <w:rsid w:val="0067507E"/>
    <w:rsid w:val="0067532B"/>
    <w:rsid w:val="00675398"/>
    <w:rsid w:val="006753C6"/>
    <w:rsid w:val="006754FE"/>
    <w:rsid w:val="0067585F"/>
    <w:rsid w:val="006758B1"/>
    <w:rsid w:val="00675984"/>
    <w:rsid w:val="00675AC7"/>
    <w:rsid w:val="00675BC1"/>
    <w:rsid w:val="00675D97"/>
    <w:rsid w:val="00675DE1"/>
    <w:rsid w:val="00675E9A"/>
    <w:rsid w:val="00675F84"/>
    <w:rsid w:val="0067613C"/>
    <w:rsid w:val="0067639A"/>
    <w:rsid w:val="006763F4"/>
    <w:rsid w:val="00676602"/>
    <w:rsid w:val="0067678F"/>
    <w:rsid w:val="00676794"/>
    <w:rsid w:val="006767EE"/>
    <w:rsid w:val="00676987"/>
    <w:rsid w:val="006769B0"/>
    <w:rsid w:val="00676A8B"/>
    <w:rsid w:val="00676AF3"/>
    <w:rsid w:val="00676CFA"/>
    <w:rsid w:val="0067707C"/>
    <w:rsid w:val="006772C1"/>
    <w:rsid w:val="006773D7"/>
    <w:rsid w:val="00677403"/>
    <w:rsid w:val="00677490"/>
    <w:rsid w:val="006776AC"/>
    <w:rsid w:val="006779B4"/>
    <w:rsid w:val="00677ACE"/>
    <w:rsid w:val="00677CC0"/>
    <w:rsid w:val="00677CCD"/>
    <w:rsid w:val="006803CD"/>
    <w:rsid w:val="006803DE"/>
    <w:rsid w:val="0068064C"/>
    <w:rsid w:val="006806AF"/>
    <w:rsid w:val="006807CA"/>
    <w:rsid w:val="00680878"/>
    <w:rsid w:val="0068088D"/>
    <w:rsid w:val="00680BB5"/>
    <w:rsid w:val="00680D12"/>
    <w:rsid w:val="00680D9D"/>
    <w:rsid w:val="00680FCC"/>
    <w:rsid w:val="00681192"/>
    <w:rsid w:val="00681281"/>
    <w:rsid w:val="006813FA"/>
    <w:rsid w:val="0068140A"/>
    <w:rsid w:val="006815DD"/>
    <w:rsid w:val="00681741"/>
    <w:rsid w:val="0068186A"/>
    <w:rsid w:val="0068188B"/>
    <w:rsid w:val="00681A8C"/>
    <w:rsid w:val="00681ABE"/>
    <w:rsid w:val="00681CFB"/>
    <w:rsid w:val="00681D20"/>
    <w:rsid w:val="00681D9D"/>
    <w:rsid w:val="00681FF2"/>
    <w:rsid w:val="00682149"/>
    <w:rsid w:val="006822DB"/>
    <w:rsid w:val="00682384"/>
    <w:rsid w:val="006823C8"/>
    <w:rsid w:val="006823E4"/>
    <w:rsid w:val="00682715"/>
    <w:rsid w:val="00682801"/>
    <w:rsid w:val="00682CC3"/>
    <w:rsid w:val="0068311A"/>
    <w:rsid w:val="006831CB"/>
    <w:rsid w:val="00683237"/>
    <w:rsid w:val="006832BC"/>
    <w:rsid w:val="00683337"/>
    <w:rsid w:val="00683386"/>
    <w:rsid w:val="00683750"/>
    <w:rsid w:val="006837D6"/>
    <w:rsid w:val="00683802"/>
    <w:rsid w:val="00683AD5"/>
    <w:rsid w:val="00683E60"/>
    <w:rsid w:val="00683F14"/>
    <w:rsid w:val="00683FE1"/>
    <w:rsid w:val="00684266"/>
    <w:rsid w:val="006845EB"/>
    <w:rsid w:val="006847D0"/>
    <w:rsid w:val="006847D1"/>
    <w:rsid w:val="00684802"/>
    <w:rsid w:val="00684944"/>
    <w:rsid w:val="006849E0"/>
    <w:rsid w:val="00684C11"/>
    <w:rsid w:val="00684CFB"/>
    <w:rsid w:val="00684D0E"/>
    <w:rsid w:val="00684E9D"/>
    <w:rsid w:val="0068517D"/>
    <w:rsid w:val="006851AD"/>
    <w:rsid w:val="006852EE"/>
    <w:rsid w:val="0068531C"/>
    <w:rsid w:val="00685627"/>
    <w:rsid w:val="0068575C"/>
    <w:rsid w:val="0068581B"/>
    <w:rsid w:val="006858F3"/>
    <w:rsid w:val="00685906"/>
    <w:rsid w:val="0068590A"/>
    <w:rsid w:val="00685B98"/>
    <w:rsid w:val="00685C41"/>
    <w:rsid w:val="00685E60"/>
    <w:rsid w:val="00685E78"/>
    <w:rsid w:val="00685EE2"/>
    <w:rsid w:val="00686080"/>
    <w:rsid w:val="006860ED"/>
    <w:rsid w:val="006862D4"/>
    <w:rsid w:val="00686452"/>
    <w:rsid w:val="006864F4"/>
    <w:rsid w:val="006866AA"/>
    <w:rsid w:val="0068672E"/>
    <w:rsid w:val="00686746"/>
    <w:rsid w:val="0068681F"/>
    <w:rsid w:val="006868E4"/>
    <w:rsid w:val="00686C4C"/>
    <w:rsid w:val="00686C7C"/>
    <w:rsid w:val="00686E01"/>
    <w:rsid w:val="00686F3E"/>
    <w:rsid w:val="00686F7F"/>
    <w:rsid w:val="0068701B"/>
    <w:rsid w:val="006870E6"/>
    <w:rsid w:val="00687411"/>
    <w:rsid w:val="00687433"/>
    <w:rsid w:val="0068753F"/>
    <w:rsid w:val="006875CE"/>
    <w:rsid w:val="006878B0"/>
    <w:rsid w:val="00687904"/>
    <w:rsid w:val="00687D1F"/>
    <w:rsid w:val="00687FA8"/>
    <w:rsid w:val="00687FFB"/>
    <w:rsid w:val="00690086"/>
    <w:rsid w:val="0069025F"/>
    <w:rsid w:val="006902AA"/>
    <w:rsid w:val="00690382"/>
    <w:rsid w:val="006906C8"/>
    <w:rsid w:val="00690878"/>
    <w:rsid w:val="006908E6"/>
    <w:rsid w:val="00690AB5"/>
    <w:rsid w:val="00690B39"/>
    <w:rsid w:val="00690C2C"/>
    <w:rsid w:val="00690D7F"/>
    <w:rsid w:val="00690EBD"/>
    <w:rsid w:val="00690F84"/>
    <w:rsid w:val="00691062"/>
    <w:rsid w:val="00691175"/>
    <w:rsid w:val="006911CF"/>
    <w:rsid w:val="006911D0"/>
    <w:rsid w:val="006912B9"/>
    <w:rsid w:val="006912C5"/>
    <w:rsid w:val="006912CB"/>
    <w:rsid w:val="0069132B"/>
    <w:rsid w:val="00691726"/>
    <w:rsid w:val="00691A08"/>
    <w:rsid w:val="00691A30"/>
    <w:rsid w:val="00691AA0"/>
    <w:rsid w:val="00691AD7"/>
    <w:rsid w:val="00692109"/>
    <w:rsid w:val="00692534"/>
    <w:rsid w:val="006925DC"/>
    <w:rsid w:val="00692720"/>
    <w:rsid w:val="00692748"/>
    <w:rsid w:val="006928DC"/>
    <w:rsid w:val="00692BD7"/>
    <w:rsid w:val="00692E0B"/>
    <w:rsid w:val="00692E4B"/>
    <w:rsid w:val="00692ED8"/>
    <w:rsid w:val="00692EDE"/>
    <w:rsid w:val="00693267"/>
    <w:rsid w:val="006937C1"/>
    <w:rsid w:val="006937F7"/>
    <w:rsid w:val="00693832"/>
    <w:rsid w:val="006938D5"/>
    <w:rsid w:val="00693BC2"/>
    <w:rsid w:val="00693E54"/>
    <w:rsid w:val="006940EC"/>
    <w:rsid w:val="0069433E"/>
    <w:rsid w:val="0069452B"/>
    <w:rsid w:val="006946F9"/>
    <w:rsid w:val="00694799"/>
    <w:rsid w:val="006947D9"/>
    <w:rsid w:val="0069489E"/>
    <w:rsid w:val="00694AB3"/>
    <w:rsid w:val="00694AF9"/>
    <w:rsid w:val="00694B6C"/>
    <w:rsid w:val="00694BCE"/>
    <w:rsid w:val="00694D2A"/>
    <w:rsid w:val="00694F80"/>
    <w:rsid w:val="00694FB0"/>
    <w:rsid w:val="00695183"/>
    <w:rsid w:val="0069551B"/>
    <w:rsid w:val="006955EC"/>
    <w:rsid w:val="0069563F"/>
    <w:rsid w:val="00695A52"/>
    <w:rsid w:val="00695CCD"/>
    <w:rsid w:val="00695E79"/>
    <w:rsid w:val="00695ECC"/>
    <w:rsid w:val="00695F02"/>
    <w:rsid w:val="00695FAC"/>
    <w:rsid w:val="00696060"/>
    <w:rsid w:val="006960AD"/>
    <w:rsid w:val="006961BC"/>
    <w:rsid w:val="00696205"/>
    <w:rsid w:val="006962AF"/>
    <w:rsid w:val="00696383"/>
    <w:rsid w:val="0069641E"/>
    <w:rsid w:val="00696569"/>
    <w:rsid w:val="00696674"/>
    <w:rsid w:val="0069677F"/>
    <w:rsid w:val="00696897"/>
    <w:rsid w:val="006968EE"/>
    <w:rsid w:val="00696D46"/>
    <w:rsid w:val="00696D52"/>
    <w:rsid w:val="00696F21"/>
    <w:rsid w:val="00696FFD"/>
    <w:rsid w:val="006970ED"/>
    <w:rsid w:val="00697187"/>
    <w:rsid w:val="006973AE"/>
    <w:rsid w:val="0069744A"/>
    <w:rsid w:val="00697522"/>
    <w:rsid w:val="0069754B"/>
    <w:rsid w:val="006975FB"/>
    <w:rsid w:val="006976B7"/>
    <w:rsid w:val="0069794F"/>
    <w:rsid w:val="00697C46"/>
    <w:rsid w:val="00697C99"/>
    <w:rsid w:val="00697D6F"/>
    <w:rsid w:val="00697DB5"/>
    <w:rsid w:val="00697E05"/>
    <w:rsid w:val="006A0040"/>
    <w:rsid w:val="006A02D4"/>
    <w:rsid w:val="006A02FD"/>
    <w:rsid w:val="006A031F"/>
    <w:rsid w:val="006A05BB"/>
    <w:rsid w:val="006A0637"/>
    <w:rsid w:val="006A07A1"/>
    <w:rsid w:val="006A0A82"/>
    <w:rsid w:val="006A0EA7"/>
    <w:rsid w:val="006A0FD9"/>
    <w:rsid w:val="006A1253"/>
    <w:rsid w:val="006A16D4"/>
    <w:rsid w:val="006A188A"/>
    <w:rsid w:val="006A18EA"/>
    <w:rsid w:val="006A1988"/>
    <w:rsid w:val="006A1B79"/>
    <w:rsid w:val="006A1CDC"/>
    <w:rsid w:val="006A2065"/>
    <w:rsid w:val="006A21EE"/>
    <w:rsid w:val="006A2378"/>
    <w:rsid w:val="006A2388"/>
    <w:rsid w:val="006A249A"/>
    <w:rsid w:val="006A24CE"/>
    <w:rsid w:val="006A25FC"/>
    <w:rsid w:val="006A263B"/>
    <w:rsid w:val="006A27E1"/>
    <w:rsid w:val="006A2C36"/>
    <w:rsid w:val="006A2D1D"/>
    <w:rsid w:val="006A2EFB"/>
    <w:rsid w:val="006A2F9B"/>
    <w:rsid w:val="006A2FDA"/>
    <w:rsid w:val="006A3020"/>
    <w:rsid w:val="006A33A8"/>
    <w:rsid w:val="006A33BB"/>
    <w:rsid w:val="006A33FD"/>
    <w:rsid w:val="006A3552"/>
    <w:rsid w:val="006A36E4"/>
    <w:rsid w:val="006A36F9"/>
    <w:rsid w:val="006A3776"/>
    <w:rsid w:val="006A37D2"/>
    <w:rsid w:val="006A37ED"/>
    <w:rsid w:val="006A3806"/>
    <w:rsid w:val="006A3812"/>
    <w:rsid w:val="006A3869"/>
    <w:rsid w:val="006A391C"/>
    <w:rsid w:val="006A397D"/>
    <w:rsid w:val="006A3B26"/>
    <w:rsid w:val="006A3C02"/>
    <w:rsid w:val="006A3D07"/>
    <w:rsid w:val="006A3D37"/>
    <w:rsid w:val="006A3E4F"/>
    <w:rsid w:val="006A4028"/>
    <w:rsid w:val="006A40EA"/>
    <w:rsid w:val="006A4176"/>
    <w:rsid w:val="006A4183"/>
    <w:rsid w:val="006A41E9"/>
    <w:rsid w:val="006A4318"/>
    <w:rsid w:val="006A43D1"/>
    <w:rsid w:val="006A4570"/>
    <w:rsid w:val="006A4614"/>
    <w:rsid w:val="006A4619"/>
    <w:rsid w:val="006A4664"/>
    <w:rsid w:val="006A46FF"/>
    <w:rsid w:val="006A47FD"/>
    <w:rsid w:val="006A4B54"/>
    <w:rsid w:val="006A4C1A"/>
    <w:rsid w:val="006A4CF3"/>
    <w:rsid w:val="006A4DA7"/>
    <w:rsid w:val="006A4DB7"/>
    <w:rsid w:val="006A4E02"/>
    <w:rsid w:val="006A4E5C"/>
    <w:rsid w:val="006A511B"/>
    <w:rsid w:val="006A52AD"/>
    <w:rsid w:val="006A55C4"/>
    <w:rsid w:val="006A584D"/>
    <w:rsid w:val="006A58AF"/>
    <w:rsid w:val="006A5B9B"/>
    <w:rsid w:val="006A5BCC"/>
    <w:rsid w:val="006A5E02"/>
    <w:rsid w:val="006A65C8"/>
    <w:rsid w:val="006A68C1"/>
    <w:rsid w:val="006A6AD5"/>
    <w:rsid w:val="006A6AEA"/>
    <w:rsid w:val="006A6B64"/>
    <w:rsid w:val="006A6C90"/>
    <w:rsid w:val="006A6FCD"/>
    <w:rsid w:val="006A7053"/>
    <w:rsid w:val="006A7076"/>
    <w:rsid w:val="006A7253"/>
    <w:rsid w:val="006A737A"/>
    <w:rsid w:val="006A73C5"/>
    <w:rsid w:val="006A75FD"/>
    <w:rsid w:val="006A77C9"/>
    <w:rsid w:val="006A7811"/>
    <w:rsid w:val="006A7889"/>
    <w:rsid w:val="006A795D"/>
    <w:rsid w:val="006A7A3D"/>
    <w:rsid w:val="006A7CA9"/>
    <w:rsid w:val="006A7DC4"/>
    <w:rsid w:val="006A7EB2"/>
    <w:rsid w:val="006A8E2C"/>
    <w:rsid w:val="006B03B6"/>
    <w:rsid w:val="006B03CC"/>
    <w:rsid w:val="006B05F0"/>
    <w:rsid w:val="006B07D4"/>
    <w:rsid w:val="006B08D8"/>
    <w:rsid w:val="006B08F8"/>
    <w:rsid w:val="006B0922"/>
    <w:rsid w:val="006B0985"/>
    <w:rsid w:val="006B0DF8"/>
    <w:rsid w:val="006B103C"/>
    <w:rsid w:val="006B122C"/>
    <w:rsid w:val="006B14E0"/>
    <w:rsid w:val="006B1A37"/>
    <w:rsid w:val="006B1B5A"/>
    <w:rsid w:val="006B1B8D"/>
    <w:rsid w:val="006B1C2F"/>
    <w:rsid w:val="006B1F26"/>
    <w:rsid w:val="006B1F43"/>
    <w:rsid w:val="006B2235"/>
    <w:rsid w:val="006B226A"/>
    <w:rsid w:val="006B248A"/>
    <w:rsid w:val="006B2649"/>
    <w:rsid w:val="006B284B"/>
    <w:rsid w:val="006B2882"/>
    <w:rsid w:val="006B2C9E"/>
    <w:rsid w:val="006B2D66"/>
    <w:rsid w:val="006B2E5F"/>
    <w:rsid w:val="006B2EAC"/>
    <w:rsid w:val="006B2F3D"/>
    <w:rsid w:val="006B30E8"/>
    <w:rsid w:val="006B3165"/>
    <w:rsid w:val="006B3204"/>
    <w:rsid w:val="006B3270"/>
    <w:rsid w:val="006B3379"/>
    <w:rsid w:val="006B3457"/>
    <w:rsid w:val="006B35F1"/>
    <w:rsid w:val="006B373D"/>
    <w:rsid w:val="006B3818"/>
    <w:rsid w:val="006B38CF"/>
    <w:rsid w:val="006B3D12"/>
    <w:rsid w:val="006B3D2D"/>
    <w:rsid w:val="006B3D49"/>
    <w:rsid w:val="006B3F7F"/>
    <w:rsid w:val="006B4024"/>
    <w:rsid w:val="006B40AD"/>
    <w:rsid w:val="006B411D"/>
    <w:rsid w:val="006B42D7"/>
    <w:rsid w:val="006B4358"/>
    <w:rsid w:val="006B43A8"/>
    <w:rsid w:val="006B466F"/>
    <w:rsid w:val="006B47B3"/>
    <w:rsid w:val="006B499F"/>
    <w:rsid w:val="006B4A14"/>
    <w:rsid w:val="006B4A34"/>
    <w:rsid w:val="006B4B6A"/>
    <w:rsid w:val="006B4C0C"/>
    <w:rsid w:val="006B4FFD"/>
    <w:rsid w:val="006B54D6"/>
    <w:rsid w:val="006B5655"/>
    <w:rsid w:val="006B572B"/>
    <w:rsid w:val="006B5758"/>
    <w:rsid w:val="006B5D2D"/>
    <w:rsid w:val="006B5E44"/>
    <w:rsid w:val="006B5EAB"/>
    <w:rsid w:val="006B5F9C"/>
    <w:rsid w:val="006B607F"/>
    <w:rsid w:val="006B60EA"/>
    <w:rsid w:val="006B61C7"/>
    <w:rsid w:val="006B620C"/>
    <w:rsid w:val="006B6662"/>
    <w:rsid w:val="006B6CF2"/>
    <w:rsid w:val="006B6EBD"/>
    <w:rsid w:val="006B6F8C"/>
    <w:rsid w:val="006B7003"/>
    <w:rsid w:val="006B70DF"/>
    <w:rsid w:val="006B715A"/>
    <w:rsid w:val="006B71C6"/>
    <w:rsid w:val="006B743F"/>
    <w:rsid w:val="006B74C1"/>
    <w:rsid w:val="006B7592"/>
    <w:rsid w:val="006B7737"/>
    <w:rsid w:val="006B7871"/>
    <w:rsid w:val="006B7ACC"/>
    <w:rsid w:val="006B7E96"/>
    <w:rsid w:val="006C0286"/>
    <w:rsid w:val="006C0373"/>
    <w:rsid w:val="006C0391"/>
    <w:rsid w:val="006C0539"/>
    <w:rsid w:val="006C05A6"/>
    <w:rsid w:val="006C068C"/>
    <w:rsid w:val="006C0696"/>
    <w:rsid w:val="006C07A1"/>
    <w:rsid w:val="006C08F2"/>
    <w:rsid w:val="006C0ABF"/>
    <w:rsid w:val="006C0B10"/>
    <w:rsid w:val="006C0B72"/>
    <w:rsid w:val="006C0BF4"/>
    <w:rsid w:val="006C0DE3"/>
    <w:rsid w:val="006C0E40"/>
    <w:rsid w:val="006C0EA4"/>
    <w:rsid w:val="006C0F8E"/>
    <w:rsid w:val="006C104A"/>
    <w:rsid w:val="006C141F"/>
    <w:rsid w:val="006C1877"/>
    <w:rsid w:val="006C197A"/>
    <w:rsid w:val="006C1A1A"/>
    <w:rsid w:val="006C1B22"/>
    <w:rsid w:val="006C1B47"/>
    <w:rsid w:val="006C1E9B"/>
    <w:rsid w:val="006C1EA4"/>
    <w:rsid w:val="006C1F4A"/>
    <w:rsid w:val="006C1F71"/>
    <w:rsid w:val="006C215C"/>
    <w:rsid w:val="006C222A"/>
    <w:rsid w:val="006C22CF"/>
    <w:rsid w:val="006C2701"/>
    <w:rsid w:val="006C283A"/>
    <w:rsid w:val="006C2B07"/>
    <w:rsid w:val="006C2B8D"/>
    <w:rsid w:val="006C2BFB"/>
    <w:rsid w:val="006C2E75"/>
    <w:rsid w:val="006C3068"/>
    <w:rsid w:val="006C31C4"/>
    <w:rsid w:val="006C327E"/>
    <w:rsid w:val="006C3330"/>
    <w:rsid w:val="006C338E"/>
    <w:rsid w:val="006C369A"/>
    <w:rsid w:val="006C3825"/>
    <w:rsid w:val="006C3948"/>
    <w:rsid w:val="006C3978"/>
    <w:rsid w:val="006C39C9"/>
    <w:rsid w:val="006C3A1F"/>
    <w:rsid w:val="006C3C07"/>
    <w:rsid w:val="006C3CA0"/>
    <w:rsid w:val="006C3D21"/>
    <w:rsid w:val="006C3EB8"/>
    <w:rsid w:val="006C3FF6"/>
    <w:rsid w:val="006C4010"/>
    <w:rsid w:val="006C4074"/>
    <w:rsid w:val="006C412B"/>
    <w:rsid w:val="006C418C"/>
    <w:rsid w:val="006C45D8"/>
    <w:rsid w:val="006C461F"/>
    <w:rsid w:val="006C474F"/>
    <w:rsid w:val="006C476F"/>
    <w:rsid w:val="006C4794"/>
    <w:rsid w:val="006C4806"/>
    <w:rsid w:val="006C4815"/>
    <w:rsid w:val="006C4829"/>
    <w:rsid w:val="006C4976"/>
    <w:rsid w:val="006C4A7A"/>
    <w:rsid w:val="006C4B62"/>
    <w:rsid w:val="006C4EF1"/>
    <w:rsid w:val="006C50FC"/>
    <w:rsid w:val="006C5138"/>
    <w:rsid w:val="006C5514"/>
    <w:rsid w:val="006C5625"/>
    <w:rsid w:val="006C56E4"/>
    <w:rsid w:val="006C57AB"/>
    <w:rsid w:val="006C594C"/>
    <w:rsid w:val="006C5C38"/>
    <w:rsid w:val="006C5E54"/>
    <w:rsid w:val="006C6317"/>
    <w:rsid w:val="006C6341"/>
    <w:rsid w:val="006C65DF"/>
    <w:rsid w:val="006C6848"/>
    <w:rsid w:val="006C68F0"/>
    <w:rsid w:val="006C69E0"/>
    <w:rsid w:val="006C69E4"/>
    <w:rsid w:val="006C6BEA"/>
    <w:rsid w:val="006C6ED8"/>
    <w:rsid w:val="006C7082"/>
    <w:rsid w:val="006C74FD"/>
    <w:rsid w:val="006C7579"/>
    <w:rsid w:val="006C78A7"/>
    <w:rsid w:val="006C7948"/>
    <w:rsid w:val="006C7961"/>
    <w:rsid w:val="006C7C93"/>
    <w:rsid w:val="006D027A"/>
    <w:rsid w:val="006D02A8"/>
    <w:rsid w:val="006D06FE"/>
    <w:rsid w:val="006D07C6"/>
    <w:rsid w:val="006D0842"/>
    <w:rsid w:val="006D0930"/>
    <w:rsid w:val="006D0B0F"/>
    <w:rsid w:val="006D0BCE"/>
    <w:rsid w:val="006D0EFE"/>
    <w:rsid w:val="006D0F8E"/>
    <w:rsid w:val="006D1030"/>
    <w:rsid w:val="006D10E2"/>
    <w:rsid w:val="006D149D"/>
    <w:rsid w:val="006D157C"/>
    <w:rsid w:val="006D16F3"/>
    <w:rsid w:val="006D1D77"/>
    <w:rsid w:val="006D1DE1"/>
    <w:rsid w:val="006D1F7F"/>
    <w:rsid w:val="006D1FEC"/>
    <w:rsid w:val="006D22D4"/>
    <w:rsid w:val="006D24D0"/>
    <w:rsid w:val="006D251D"/>
    <w:rsid w:val="006D2588"/>
    <w:rsid w:val="006D27E0"/>
    <w:rsid w:val="006D27FA"/>
    <w:rsid w:val="006D284F"/>
    <w:rsid w:val="006D28A7"/>
    <w:rsid w:val="006D29B0"/>
    <w:rsid w:val="006D2A98"/>
    <w:rsid w:val="006D2AFD"/>
    <w:rsid w:val="006D2B63"/>
    <w:rsid w:val="006D2DA7"/>
    <w:rsid w:val="006D2E08"/>
    <w:rsid w:val="006D2FA8"/>
    <w:rsid w:val="006D2FD8"/>
    <w:rsid w:val="006D32F4"/>
    <w:rsid w:val="006D33FE"/>
    <w:rsid w:val="006D34BE"/>
    <w:rsid w:val="006D36B4"/>
    <w:rsid w:val="006D3935"/>
    <w:rsid w:val="006D3A0E"/>
    <w:rsid w:val="006D3AAD"/>
    <w:rsid w:val="006D3AEE"/>
    <w:rsid w:val="006D3BBF"/>
    <w:rsid w:val="006D3C49"/>
    <w:rsid w:val="006D3D64"/>
    <w:rsid w:val="006D3DF2"/>
    <w:rsid w:val="006D3FFE"/>
    <w:rsid w:val="006D403C"/>
    <w:rsid w:val="006D4073"/>
    <w:rsid w:val="006D45FD"/>
    <w:rsid w:val="006D4AA4"/>
    <w:rsid w:val="006D4B5A"/>
    <w:rsid w:val="006D4FBA"/>
    <w:rsid w:val="006D5104"/>
    <w:rsid w:val="006D521D"/>
    <w:rsid w:val="006D5245"/>
    <w:rsid w:val="006D54F0"/>
    <w:rsid w:val="006D5576"/>
    <w:rsid w:val="006D57F5"/>
    <w:rsid w:val="006D58A5"/>
    <w:rsid w:val="006D59FD"/>
    <w:rsid w:val="006D5A12"/>
    <w:rsid w:val="006D5BC1"/>
    <w:rsid w:val="006D5D6A"/>
    <w:rsid w:val="006D5E3A"/>
    <w:rsid w:val="006D5FEB"/>
    <w:rsid w:val="006D60DB"/>
    <w:rsid w:val="006D60F5"/>
    <w:rsid w:val="006D622D"/>
    <w:rsid w:val="006D622F"/>
    <w:rsid w:val="006D626B"/>
    <w:rsid w:val="006D66CA"/>
    <w:rsid w:val="006D6708"/>
    <w:rsid w:val="006D6760"/>
    <w:rsid w:val="006D682B"/>
    <w:rsid w:val="006D6834"/>
    <w:rsid w:val="006D68C8"/>
    <w:rsid w:val="006D6948"/>
    <w:rsid w:val="006D6A10"/>
    <w:rsid w:val="006D6AE8"/>
    <w:rsid w:val="006D6DF3"/>
    <w:rsid w:val="006D6E40"/>
    <w:rsid w:val="006D7027"/>
    <w:rsid w:val="006D70E8"/>
    <w:rsid w:val="006D73D1"/>
    <w:rsid w:val="006D744D"/>
    <w:rsid w:val="006D757E"/>
    <w:rsid w:val="006D75AF"/>
    <w:rsid w:val="006D7648"/>
    <w:rsid w:val="006D7741"/>
    <w:rsid w:val="006D7769"/>
    <w:rsid w:val="006D77F2"/>
    <w:rsid w:val="006D7873"/>
    <w:rsid w:val="006D7927"/>
    <w:rsid w:val="006D7B75"/>
    <w:rsid w:val="006E00AD"/>
    <w:rsid w:val="006E02C8"/>
    <w:rsid w:val="006E03B7"/>
    <w:rsid w:val="006E05C6"/>
    <w:rsid w:val="006E0753"/>
    <w:rsid w:val="006E07B2"/>
    <w:rsid w:val="006E0A4F"/>
    <w:rsid w:val="006E0BCC"/>
    <w:rsid w:val="006E0C69"/>
    <w:rsid w:val="006E0D99"/>
    <w:rsid w:val="006E10FD"/>
    <w:rsid w:val="006E11DA"/>
    <w:rsid w:val="006E136E"/>
    <w:rsid w:val="006E17F6"/>
    <w:rsid w:val="006E189E"/>
    <w:rsid w:val="006E1BB5"/>
    <w:rsid w:val="006E1CB5"/>
    <w:rsid w:val="006E2046"/>
    <w:rsid w:val="006E2048"/>
    <w:rsid w:val="006E216E"/>
    <w:rsid w:val="006E2173"/>
    <w:rsid w:val="006E21F8"/>
    <w:rsid w:val="006E22D2"/>
    <w:rsid w:val="006E24A8"/>
    <w:rsid w:val="006E2877"/>
    <w:rsid w:val="006E291C"/>
    <w:rsid w:val="006E2FC3"/>
    <w:rsid w:val="006E309C"/>
    <w:rsid w:val="006E3166"/>
    <w:rsid w:val="006E3266"/>
    <w:rsid w:val="006E33F7"/>
    <w:rsid w:val="006E36C9"/>
    <w:rsid w:val="006E381A"/>
    <w:rsid w:val="006E3862"/>
    <w:rsid w:val="006E3967"/>
    <w:rsid w:val="006E3971"/>
    <w:rsid w:val="006E3988"/>
    <w:rsid w:val="006E3B14"/>
    <w:rsid w:val="006E3CE7"/>
    <w:rsid w:val="006E3FA4"/>
    <w:rsid w:val="006E4285"/>
    <w:rsid w:val="006E428F"/>
    <w:rsid w:val="006E430F"/>
    <w:rsid w:val="006E4320"/>
    <w:rsid w:val="006E4432"/>
    <w:rsid w:val="006E4469"/>
    <w:rsid w:val="006E4631"/>
    <w:rsid w:val="006E476F"/>
    <w:rsid w:val="006E479A"/>
    <w:rsid w:val="006E4804"/>
    <w:rsid w:val="006E4B2B"/>
    <w:rsid w:val="006E4B3C"/>
    <w:rsid w:val="006E4CC2"/>
    <w:rsid w:val="006E5053"/>
    <w:rsid w:val="006E5300"/>
    <w:rsid w:val="006E55E3"/>
    <w:rsid w:val="006E566A"/>
    <w:rsid w:val="006E590E"/>
    <w:rsid w:val="006E5A5F"/>
    <w:rsid w:val="006E5C30"/>
    <w:rsid w:val="006E5C5E"/>
    <w:rsid w:val="006E5F17"/>
    <w:rsid w:val="006E624E"/>
    <w:rsid w:val="006E6338"/>
    <w:rsid w:val="006E6643"/>
    <w:rsid w:val="006E670F"/>
    <w:rsid w:val="006E69AC"/>
    <w:rsid w:val="006E6A4B"/>
    <w:rsid w:val="006E6B29"/>
    <w:rsid w:val="006E6D02"/>
    <w:rsid w:val="006E6D1B"/>
    <w:rsid w:val="006E6D2D"/>
    <w:rsid w:val="006E6DFC"/>
    <w:rsid w:val="006E6E0E"/>
    <w:rsid w:val="006E6F09"/>
    <w:rsid w:val="006E6F14"/>
    <w:rsid w:val="006E7005"/>
    <w:rsid w:val="006E7082"/>
    <w:rsid w:val="006E7251"/>
    <w:rsid w:val="006E72D7"/>
    <w:rsid w:val="006E7570"/>
    <w:rsid w:val="006E76AC"/>
    <w:rsid w:val="006E76FE"/>
    <w:rsid w:val="006E77DA"/>
    <w:rsid w:val="006E7A88"/>
    <w:rsid w:val="006E7B48"/>
    <w:rsid w:val="006E7C32"/>
    <w:rsid w:val="006F004B"/>
    <w:rsid w:val="006F0142"/>
    <w:rsid w:val="006F0158"/>
    <w:rsid w:val="006F0293"/>
    <w:rsid w:val="006F0394"/>
    <w:rsid w:val="006F04A9"/>
    <w:rsid w:val="006F0525"/>
    <w:rsid w:val="006F086B"/>
    <w:rsid w:val="006F08C2"/>
    <w:rsid w:val="006F0986"/>
    <w:rsid w:val="006F0B75"/>
    <w:rsid w:val="006F0BA9"/>
    <w:rsid w:val="006F0BD3"/>
    <w:rsid w:val="006F0BEA"/>
    <w:rsid w:val="006F0C91"/>
    <w:rsid w:val="006F0E8A"/>
    <w:rsid w:val="006F10F7"/>
    <w:rsid w:val="006F1160"/>
    <w:rsid w:val="006F11B9"/>
    <w:rsid w:val="006F15A2"/>
    <w:rsid w:val="006F16B5"/>
    <w:rsid w:val="006F1790"/>
    <w:rsid w:val="006F187B"/>
    <w:rsid w:val="006F1912"/>
    <w:rsid w:val="006F1969"/>
    <w:rsid w:val="006F1A0C"/>
    <w:rsid w:val="006F1DCE"/>
    <w:rsid w:val="006F1F82"/>
    <w:rsid w:val="006F1FF7"/>
    <w:rsid w:val="006F242F"/>
    <w:rsid w:val="006F2453"/>
    <w:rsid w:val="006F24B1"/>
    <w:rsid w:val="006F26CC"/>
    <w:rsid w:val="006F2986"/>
    <w:rsid w:val="006F2CF2"/>
    <w:rsid w:val="006F2E24"/>
    <w:rsid w:val="006F2EE8"/>
    <w:rsid w:val="006F2F62"/>
    <w:rsid w:val="006F2F7A"/>
    <w:rsid w:val="006F2FCD"/>
    <w:rsid w:val="006F32E0"/>
    <w:rsid w:val="006F33D6"/>
    <w:rsid w:val="006F3754"/>
    <w:rsid w:val="006F3880"/>
    <w:rsid w:val="006F3980"/>
    <w:rsid w:val="006F3A25"/>
    <w:rsid w:val="006F3ADF"/>
    <w:rsid w:val="006F3D4C"/>
    <w:rsid w:val="006F4005"/>
    <w:rsid w:val="006F400E"/>
    <w:rsid w:val="006F4164"/>
    <w:rsid w:val="006F4268"/>
    <w:rsid w:val="006F45D2"/>
    <w:rsid w:val="006F46E6"/>
    <w:rsid w:val="006F4752"/>
    <w:rsid w:val="006F476A"/>
    <w:rsid w:val="006F4BE7"/>
    <w:rsid w:val="006F4F37"/>
    <w:rsid w:val="006F5076"/>
    <w:rsid w:val="006F531B"/>
    <w:rsid w:val="006F532B"/>
    <w:rsid w:val="006F546F"/>
    <w:rsid w:val="006F54C4"/>
    <w:rsid w:val="006F5727"/>
    <w:rsid w:val="006F57EF"/>
    <w:rsid w:val="006F5836"/>
    <w:rsid w:val="006F5B29"/>
    <w:rsid w:val="006F5D44"/>
    <w:rsid w:val="006F5DE4"/>
    <w:rsid w:val="006F5F4D"/>
    <w:rsid w:val="006F5FAA"/>
    <w:rsid w:val="006F6012"/>
    <w:rsid w:val="006F66C0"/>
    <w:rsid w:val="006F66E5"/>
    <w:rsid w:val="006F67AC"/>
    <w:rsid w:val="006F69BC"/>
    <w:rsid w:val="006F69EA"/>
    <w:rsid w:val="006F6A2D"/>
    <w:rsid w:val="006F6C08"/>
    <w:rsid w:val="006F6ECB"/>
    <w:rsid w:val="006F70EC"/>
    <w:rsid w:val="006F7103"/>
    <w:rsid w:val="006F7470"/>
    <w:rsid w:val="006F75D1"/>
    <w:rsid w:val="006F774A"/>
    <w:rsid w:val="006F78EC"/>
    <w:rsid w:val="006F7B22"/>
    <w:rsid w:val="006F7DB6"/>
    <w:rsid w:val="006F7DC5"/>
    <w:rsid w:val="006F7DFA"/>
    <w:rsid w:val="00700122"/>
    <w:rsid w:val="00700135"/>
    <w:rsid w:val="0070037E"/>
    <w:rsid w:val="0070040F"/>
    <w:rsid w:val="007005AB"/>
    <w:rsid w:val="0070082B"/>
    <w:rsid w:val="00700ADF"/>
    <w:rsid w:val="00700AF1"/>
    <w:rsid w:val="00700B85"/>
    <w:rsid w:val="00700D2A"/>
    <w:rsid w:val="00700D3B"/>
    <w:rsid w:val="00701227"/>
    <w:rsid w:val="00701260"/>
    <w:rsid w:val="00701624"/>
    <w:rsid w:val="00701800"/>
    <w:rsid w:val="007018CA"/>
    <w:rsid w:val="007019B9"/>
    <w:rsid w:val="00701B04"/>
    <w:rsid w:val="00701B67"/>
    <w:rsid w:val="00701BC8"/>
    <w:rsid w:val="00701DA2"/>
    <w:rsid w:val="00701EB5"/>
    <w:rsid w:val="007021B8"/>
    <w:rsid w:val="00702677"/>
    <w:rsid w:val="007029FD"/>
    <w:rsid w:val="00702A02"/>
    <w:rsid w:val="00702B23"/>
    <w:rsid w:val="00702B26"/>
    <w:rsid w:val="00702BAC"/>
    <w:rsid w:val="00702E4A"/>
    <w:rsid w:val="00702FAA"/>
    <w:rsid w:val="007031B5"/>
    <w:rsid w:val="0070340E"/>
    <w:rsid w:val="0070352B"/>
    <w:rsid w:val="00703618"/>
    <w:rsid w:val="0070370D"/>
    <w:rsid w:val="00703828"/>
    <w:rsid w:val="00703A56"/>
    <w:rsid w:val="00703AE0"/>
    <w:rsid w:val="00703B79"/>
    <w:rsid w:val="00703C5E"/>
    <w:rsid w:val="00703C86"/>
    <w:rsid w:val="00703CE1"/>
    <w:rsid w:val="00703F7F"/>
    <w:rsid w:val="007040E4"/>
    <w:rsid w:val="007041A4"/>
    <w:rsid w:val="0070429B"/>
    <w:rsid w:val="007043E0"/>
    <w:rsid w:val="0070468E"/>
    <w:rsid w:val="007048A0"/>
    <w:rsid w:val="00704E3C"/>
    <w:rsid w:val="00704FC3"/>
    <w:rsid w:val="00704FDD"/>
    <w:rsid w:val="00705147"/>
    <w:rsid w:val="00705236"/>
    <w:rsid w:val="007052C8"/>
    <w:rsid w:val="00705431"/>
    <w:rsid w:val="0070562F"/>
    <w:rsid w:val="00705721"/>
    <w:rsid w:val="007057D5"/>
    <w:rsid w:val="00705832"/>
    <w:rsid w:val="00705841"/>
    <w:rsid w:val="00705A9D"/>
    <w:rsid w:val="00705B63"/>
    <w:rsid w:val="00705BC2"/>
    <w:rsid w:val="00705C56"/>
    <w:rsid w:val="00705C8B"/>
    <w:rsid w:val="00705E9B"/>
    <w:rsid w:val="00705ED8"/>
    <w:rsid w:val="00706599"/>
    <w:rsid w:val="007066F1"/>
    <w:rsid w:val="00706774"/>
    <w:rsid w:val="007069A9"/>
    <w:rsid w:val="00706E39"/>
    <w:rsid w:val="00706FFB"/>
    <w:rsid w:val="007071C0"/>
    <w:rsid w:val="00707696"/>
    <w:rsid w:val="00707908"/>
    <w:rsid w:val="00707A80"/>
    <w:rsid w:val="00707BB1"/>
    <w:rsid w:val="00707BC7"/>
    <w:rsid w:val="00707CD5"/>
    <w:rsid w:val="00707DA9"/>
    <w:rsid w:val="00707E78"/>
    <w:rsid w:val="00707ED6"/>
    <w:rsid w:val="00707F56"/>
    <w:rsid w:val="0071003D"/>
    <w:rsid w:val="00710127"/>
    <w:rsid w:val="007101A0"/>
    <w:rsid w:val="007103C5"/>
    <w:rsid w:val="007104FD"/>
    <w:rsid w:val="00710556"/>
    <w:rsid w:val="007105F4"/>
    <w:rsid w:val="007105FB"/>
    <w:rsid w:val="00710823"/>
    <w:rsid w:val="00710A11"/>
    <w:rsid w:val="00710C67"/>
    <w:rsid w:val="00710CB8"/>
    <w:rsid w:val="00711017"/>
    <w:rsid w:val="0071115C"/>
    <w:rsid w:val="0071119F"/>
    <w:rsid w:val="007111D8"/>
    <w:rsid w:val="00711303"/>
    <w:rsid w:val="00711402"/>
    <w:rsid w:val="00711416"/>
    <w:rsid w:val="007114F1"/>
    <w:rsid w:val="007116E6"/>
    <w:rsid w:val="00711859"/>
    <w:rsid w:val="00711969"/>
    <w:rsid w:val="00711A20"/>
    <w:rsid w:val="00711ABC"/>
    <w:rsid w:val="00711CE9"/>
    <w:rsid w:val="00711EDB"/>
    <w:rsid w:val="0071222B"/>
    <w:rsid w:val="007122E7"/>
    <w:rsid w:val="00712422"/>
    <w:rsid w:val="007127FB"/>
    <w:rsid w:val="00712804"/>
    <w:rsid w:val="00712904"/>
    <w:rsid w:val="00712919"/>
    <w:rsid w:val="00712977"/>
    <w:rsid w:val="00712A14"/>
    <w:rsid w:val="00712C4A"/>
    <w:rsid w:val="00712E01"/>
    <w:rsid w:val="00712F9D"/>
    <w:rsid w:val="00712FAB"/>
    <w:rsid w:val="007130E3"/>
    <w:rsid w:val="007132DE"/>
    <w:rsid w:val="00713457"/>
    <w:rsid w:val="00713470"/>
    <w:rsid w:val="0071350A"/>
    <w:rsid w:val="007136F4"/>
    <w:rsid w:val="00713771"/>
    <w:rsid w:val="00713835"/>
    <w:rsid w:val="00713C35"/>
    <w:rsid w:val="00713D02"/>
    <w:rsid w:val="00713E29"/>
    <w:rsid w:val="00713EC3"/>
    <w:rsid w:val="007141CF"/>
    <w:rsid w:val="007145D9"/>
    <w:rsid w:val="00714E94"/>
    <w:rsid w:val="00714FF7"/>
    <w:rsid w:val="007152B3"/>
    <w:rsid w:val="007152DF"/>
    <w:rsid w:val="007152FC"/>
    <w:rsid w:val="0071564F"/>
    <w:rsid w:val="00715892"/>
    <w:rsid w:val="00715A7D"/>
    <w:rsid w:val="00715B68"/>
    <w:rsid w:val="00715D68"/>
    <w:rsid w:val="00715E41"/>
    <w:rsid w:val="00715F99"/>
    <w:rsid w:val="00715FAA"/>
    <w:rsid w:val="007162F4"/>
    <w:rsid w:val="0071652F"/>
    <w:rsid w:val="0071666B"/>
    <w:rsid w:val="007166A7"/>
    <w:rsid w:val="00716726"/>
    <w:rsid w:val="0071683D"/>
    <w:rsid w:val="00716E2B"/>
    <w:rsid w:val="00716FF2"/>
    <w:rsid w:val="00717248"/>
    <w:rsid w:val="00717425"/>
    <w:rsid w:val="00717698"/>
    <w:rsid w:val="007176E2"/>
    <w:rsid w:val="007177C3"/>
    <w:rsid w:val="007177D4"/>
    <w:rsid w:val="00717A83"/>
    <w:rsid w:val="00717D3E"/>
    <w:rsid w:val="00720090"/>
    <w:rsid w:val="007203D2"/>
    <w:rsid w:val="00720697"/>
    <w:rsid w:val="007207A9"/>
    <w:rsid w:val="007207AA"/>
    <w:rsid w:val="00720B09"/>
    <w:rsid w:val="00720DE8"/>
    <w:rsid w:val="00721272"/>
    <w:rsid w:val="007214AD"/>
    <w:rsid w:val="007215A4"/>
    <w:rsid w:val="00721690"/>
    <w:rsid w:val="0072176F"/>
    <w:rsid w:val="007217ED"/>
    <w:rsid w:val="0072194F"/>
    <w:rsid w:val="00721C0D"/>
    <w:rsid w:val="00721DF8"/>
    <w:rsid w:val="00721E55"/>
    <w:rsid w:val="00722038"/>
    <w:rsid w:val="007220C5"/>
    <w:rsid w:val="0072210B"/>
    <w:rsid w:val="007222BD"/>
    <w:rsid w:val="0072244F"/>
    <w:rsid w:val="007226A1"/>
    <w:rsid w:val="00722771"/>
    <w:rsid w:val="007227B9"/>
    <w:rsid w:val="00722950"/>
    <w:rsid w:val="007229F5"/>
    <w:rsid w:val="007229FF"/>
    <w:rsid w:val="00722B66"/>
    <w:rsid w:val="00722C1E"/>
    <w:rsid w:val="00722DD2"/>
    <w:rsid w:val="00722F0F"/>
    <w:rsid w:val="00723154"/>
    <w:rsid w:val="0072335B"/>
    <w:rsid w:val="00723459"/>
    <w:rsid w:val="007234DB"/>
    <w:rsid w:val="0072363D"/>
    <w:rsid w:val="007237A1"/>
    <w:rsid w:val="007237A5"/>
    <w:rsid w:val="00723800"/>
    <w:rsid w:val="00723857"/>
    <w:rsid w:val="00723B22"/>
    <w:rsid w:val="00723C79"/>
    <w:rsid w:val="00723D01"/>
    <w:rsid w:val="00723F68"/>
    <w:rsid w:val="00723FA6"/>
    <w:rsid w:val="00724068"/>
    <w:rsid w:val="007240C5"/>
    <w:rsid w:val="007241AE"/>
    <w:rsid w:val="007242E9"/>
    <w:rsid w:val="00724438"/>
    <w:rsid w:val="00724533"/>
    <w:rsid w:val="0072463A"/>
    <w:rsid w:val="007249A9"/>
    <w:rsid w:val="00724A8B"/>
    <w:rsid w:val="00724CBC"/>
    <w:rsid w:val="00724EB0"/>
    <w:rsid w:val="00725103"/>
    <w:rsid w:val="0072530E"/>
    <w:rsid w:val="0072577F"/>
    <w:rsid w:val="00725CC7"/>
    <w:rsid w:val="00725E18"/>
    <w:rsid w:val="00726019"/>
    <w:rsid w:val="00726286"/>
    <w:rsid w:val="0072654E"/>
    <w:rsid w:val="00726556"/>
    <w:rsid w:val="007266B3"/>
    <w:rsid w:val="00726701"/>
    <w:rsid w:val="0072671E"/>
    <w:rsid w:val="00726782"/>
    <w:rsid w:val="00726887"/>
    <w:rsid w:val="00726A16"/>
    <w:rsid w:val="00726AEB"/>
    <w:rsid w:val="00726B86"/>
    <w:rsid w:val="00726BDA"/>
    <w:rsid w:val="00726C29"/>
    <w:rsid w:val="00726CDA"/>
    <w:rsid w:val="00726CE1"/>
    <w:rsid w:val="00726DB0"/>
    <w:rsid w:val="00726E49"/>
    <w:rsid w:val="00726F35"/>
    <w:rsid w:val="0072700B"/>
    <w:rsid w:val="0072700F"/>
    <w:rsid w:val="00727070"/>
    <w:rsid w:val="0072713F"/>
    <w:rsid w:val="00727212"/>
    <w:rsid w:val="007275FF"/>
    <w:rsid w:val="00727736"/>
    <w:rsid w:val="0072789B"/>
    <w:rsid w:val="00727981"/>
    <w:rsid w:val="00727AB9"/>
    <w:rsid w:val="00727C13"/>
    <w:rsid w:val="00727D03"/>
    <w:rsid w:val="00727E35"/>
    <w:rsid w:val="0073032C"/>
    <w:rsid w:val="007303BA"/>
    <w:rsid w:val="007303EE"/>
    <w:rsid w:val="007308A2"/>
    <w:rsid w:val="00730AF7"/>
    <w:rsid w:val="00730B78"/>
    <w:rsid w:val="00730C9A"/>
    <w:rsid w:val="00730EDC"/>
    <w:rsid w:val="007310A9"/>
    <w:rsid w:val="0073117F"/>
    <w:rsid w:val="007311C6"/>
    <w:rsid w:val="0073124E"/>
    <w:rsid w:val="007314EA"/>
    <w:rsid w:val="00731B87"/>
    <w:rsid w:val="00731D82"/>
    <w:rsid w:val="00731F04"/>
    <w:rsid w:val="00731FC6"/>
    <w:rsid w:val="00732115"/>
    <w:rsid w:val="00732181"/>
    <w:rsid w:val="007321DE"/>
    <w:rsid w:val="007324DB"/>
    <w:rsid w:val="007325B3"/>
    <w:rsid w:val="00732820"/>
    <w:rsid w:val="00732902"/>
    <w:rsid w:val="00732A30"/>
    <w:rsid w:val="00732AAD"/>
    <w:rsid w:val="00732C50"/>
    <w:rsid w:val="00732D25"/>
    <w:rsid w:val="00732D8B"/>
    <w:rsid w:val="00732DEC"/>
    <w:rsid w:val="00732E10"/>
    <w:rsid w:val="00732F29"/>
    <w:rsid w:val="00732F3D"/>
    <w:rsid w:val="00732F64"/>
    <w:rsid w:val="007330D8"/>
    <w:rsid w:val="00733194"/>
    <w:rsid w:val="00733330"/>
    <w:rsid w:val="00733401"/>
    <w:rsid w:val="00733444"/>
    <w:rsid w:val="007335DD"/>
    <w:rsid w:val="00733675"/>
    <w:rsid w:val="007338EB"/>
    <w:rsid w:val="00733AB0"/>
    <w:rsid w:val="00733FBA"/>
    <w:rsid w:val="0073412A"/>
    <w:rsid w:val="00734328"/>
    <w:rsid w:val="0073434E"/>
    <w:rsid w:val="0073439C"/>
    <w:rsid w:val="007343AE"/>
    <w:rsid w:val="00734677"/>
    <w:rsid w:val="007347B9"/>
    <w:rsid w:val="007347DF"/>
    <w:rsid w:val="00734B2B"/>
    <w:rsid w:val="00734C0A"/>
    <w:rsid w:val="00734C62"/>
    <w:rsid w:val="00734CBB"/>
    <w:rsid w:val="00734E26"/>
    <w:rsid w:val="00734EE6"/>
    <w:rsid w:val="00734F84"/>
    <w:rsid w:val="0073504F"/>
    <w:rsid w:val="007350A4"/>
    <w:rsid w:val="0073527F"/>
    <w:rsid w:val="0073534D"/>
    <w:rsid w:val="00735578"/>
    <w:rsid w:val="0073564E"/>
    <w:rsid w:val="00735889"/>
    <w:rsid w:val="0073590E"/>
    <w:rsid w:val="0073596F"/>
    <w:rsid w:val="00735AA0"/>
    <w:rsid w:val="00735AA6"/>
    <w:rsid w:val="00735AD4"/>
    <w:rsid w:val="00735D05"/>
    <w:rsid w:val="00735DED"/>
    <w:rsid w:val="00735F7C"/>
    <w:rsid w:val="00736110"/>
    <w:rsid w:val="00736175"/>
    <w:rsid w:val="007362C6"/>
    <w:rsid w:val="00736390"/>
    <w:rsid w:val="007364C0"/>
    <w:rsid w:val="00736615"/>
    <w:rsid w:val="00736638"/>
    <w:rsid w:val="007366E8"/>
    <w:rsid w:val="0073682F"/>
    <w:rsid w:val="007368E1"/>
    <w:rsid w:val="00736A5D"/>
    <w:rsid w:val="00736A6E"/>
    <w:rsid w:val="00736ACB"/>
    <w:rsid w:val="00736C89"/>
    <w:rsid w:val="00736E2C"/>
    <w:rsid w:val="007370F2"/>
    <w:rsid w:val="007371F7"/>
    <w:rsid w:val="007375EC"/>
    <w:rsid w:val="00737663"/>
    <w:rsid w:val="0073775A"/>
    <w:rsid w:val="00737A1D"/>
    <w:rsid w:val="00737A6F"/>
    <w:rsid w:val="00737ACE"/>
    <w:rsid w:val="00737C83"/>
    <w:rsid w:val="00737E5C"/>
    <w:rsid w:val="00737ECB"/>
    <w:rsid w:val="00737F6E"/>
    <w:rsid w:val="00737FB2"/>
    <w:rsid w:val="007402A9"/>
    <w:rsid w:val="007402E1"/>
    <w:rsid w:val="0074032E"/>
    <w:rsid w:val="0074074B"/>
    <w:rsid w:val="0074082C"/>
    <w:rsid w:val="00740834"/>
    <w:rsid w:val="00740835"/>
    <w:rsid w:val="0074088F"/>
    <w:rsid w:val="00740AD3"/>
    <w:rsid w:val="00740C34"/>
    <w:rsid w:val="00740CD2"/>
    <w:rsid w:val="00740E6A"/>
    <w:rsid w:val="00740F7C"/>
    <w:rsid w:val="00740F82"/>
    <w:rsid w:val="00741139"/>
    <w:rsid w:val="0074119B"/>
    <w:rsid w:val="0074134A"/>
    <w:rsid w:val="0074134B"/>
    <w:rsid w:val="007413A0"/>
    <w:rsid w:val="007414B3"/>
    <w:rsid w:val="00741650"/>
    <w:rsid w:val="00741745"/>
    <w:rsid w:val="007417DF"/>
    <w:rsid w:val="00741899"/>
    <w:rsid w:val="00741978"/>
    <w:rsid w:val="00741B28"/>
    <w:rsid w:val="00741CD5"/>
    <w:rsid w:val="00741EDF"/>
    <w:rsid w:val="00741FC5"/>
    <w:rsid w:val="007420AE"/>
    <w:rsid w:val="0074210C"/>
    <w:rsid w:val="0074228D"/>
    <w:rsid w:val="0074266B"/>
    <w:rsid w:val="00742732"/>
    <w:rsid w:val="00742795"/>
    <w:rsid w:val="00742820"/>
    <w:rsid w:val="00742838"/>
    <w:rsid w:val="00742938"/>
    <w:rsid w:val="00742AA6"/>
    <w:rsid w:val="00742D11"/>
    <w:rsid w:val="00743385"/>
    <w:rsid w:val="00743397"/>
    <w:rsid w:val="0074343F"/>
    <w:rsid w:val="00743488"/>
    <w:rsid w:val="007435A7"/>
    <w:rsid w:val="00743691"/>
    <w:rsid w:val="00743707"/>
    <w:rsid w:val="007439C3"/>
    <w:rsid w:val="00743A3F"/>
    <w:rsid w:val="00743B17"/>
    <w:rsid w:val="00743E55"/>
    <w:rsid w:val="00743F37"/>
    <w:rsid w:val="00744145"/>
    <w:rsid w:val="00744195"/>
    <w:rsid w:val="007442B1"/>
    <w:rsid w:val="007445CB"/>
    <w:rsid w:val="00744618"/>
    <w:rsid w:val="0074475E"/>
    <w:rsid w:val="00744AD1"/>
    <w:rsid w:val="00744AE4"/>
    <w:rsid w:val="00744B84"/>
    <w:rsid w:val="00744D4B"/>
    <w:rsid w:val="00744F32"/>
    <w:rsid w:val="007452BE"/>
    <w:rsid w:val="007452BF"/>
    <w:rsid w:val="00745794"/>
    <w:rsid w:val="007457A6"/>
    <w:rsid w:val="007459E7"/>
    <w:rsid w:val="00745AA3"/>
    <w:rsid w:val="00745B99"/>
    <w:rsid w:val="00745C04"/>
    <w:rsid w:val="00745D58"/>
    <w:rsid w:val="00745D6A"/>
    <w:rsid w:val="00745E69"/>
    <w:rsid w:val="0074614D"/>
    <w:rsid w:val="00746184"/>
    <w:rsid w:val="00746230"/>
    <w:rsid w:val="00746376"/>
    <w:rsid w:val="007463AF"/>
    <w:rsid w:val="00746574"/>
    <w:rsid w:val="007465BF"/>
    <w:rsid w:val="007466C6"/>
    <w:rsid w:val="0074690A"/>
    <w:rsid w:val="00746C5C"/>
    <w:rsid w:val="00746E5C"/>
    <w:rsid w:val="00746FFF"/>
    <w:rsid w:val="0074721F"/>
    <w:rsid w:val="00747259"/>
    <w:rsid w:val="0074734A"/>
    <w:rsid w:val="0074735E"/>
    <w:rsid w:val="0074743D"/>
    <w:rsid w:val="00747466"/>
    <w:rsid w:val="0074752C"/>
    <w:rsid w:val="007476BE"/>
    <w:rsid w:val="0074785B"/>
    <w:rsid w:val="00747862"/>
    <w:rsid w:val="00747879"/>
    <w:rsid w:val="00747963"/>
    <w:rsid w:val="00747B32"/>
    <w:rsid w:val="00750348"/>
    <w:rsid w:val="0075066A"/>
    <w:rsid w:val="00750967"/>
    <w:rsid w:val="00750AAB"/>
    <w:rsid w:val="00750ACF"/>
    <w:rsid w:val="00750CB9"/>
    <w:rsid w:val="00750DA5"/>
    <w:rsid w:val="00751319"/>
    <w:rsid w:val="00751330"/>
    <w:rsid w:val="0075135D"/>
    <w:rsid w:val="007513CC"/>
    <w:rsid w:val="007515BB"/>
    <w:rsid w:val="007515D8"/>
    <w:rsid w:val="00751611"/>
    <w:rsid w:val="0075162C"/>
    <w:rsid w:val="00751633"/>
    <w:rsid w:val="0075179D"/>
    <w:rsid w:val="00751A57"/>
    <w:rsid w:val="00751BAB"/>
    <w:rsid w:val="00751E50"/>
    <w:rsid w:val="00751EBA"/>
    <w:rsid w:val="0075201F"/>
    <w:rsid w:val="00752075"/>
    <w:rsid w:val="007522A0"/>
    <w:rsid w:val="00752349"/>
    <w:rsid w:val="007524BE"/>
    <w:rsid w:val="007525E4"/>
    <w:rsid w:val="00752618"/>
    <w:rsid w:val="00752622"/>
    <w:rsid w:val="0075269B"/>
    <w:rsid w:val="00752721"/>
    <w:rsid w:val="00752746"/>
    <w:rsid w:val="00752987"/>
    <w:rsid w:val="00752A64"/>
    <w:rsid w:val="00752C18"/>
    <w:rsid w:val="00752D25"/>
    <w:rsid w:val="00752DA6"/>
    <w:rsid w:val="00752E3F"/>
    <w:rsid w:val="00752E8B"/>
    <w:rsid w:val="00752FB1"/>
    <w:rsid w:val="00752FE8"/>
    <w:rsid w:val="00752FFA"/>
    <w:rsid w:val="007530CE"/>
    <w:rsid w:val="0075336F"/>
    <w:rsid w:val="007535A8"/>
    <w:rsid w:val="00753C1D"/>
    <w:rsid w:val="00753C1E"/>
    <w:rsid w:val="00753C90"/>
    <w:rsid w:val="00753D78"/>
    <w:rsid w:val="00754055"/>
    <w:rsid w:val="0075405C"/>
    <w:rsid w:val="007540E0"/>
    <w:rsid w:val="007542A5"/>
    <w:rsid w:val="0075447F"/>
    <w:rsid w:val="00754578"/>
    <w:rsid w:val="007546DB"/>
    <w:rsid w:val="007546F8"/>
    <w:rsid w:val="00754C62"/>
    <w:rsid w:val="00754D31"/>
    <w:rsid w:val="00754F1C"/>
    <w:rsid w:val="007550CF"/>
    <w:rsid w:val="007552A9"/>
    <w:rsid w:val="007553BE"/>
    <w:rsid w:val="00755701"/>
    <w:rsid w:val="00755C58"/>
    <w:rsid w:val="00755D2A"/>
    <w:rsid w:val="00755DCB"/>
    <w:rsid w:val="00755F8C"/>
    <w:rsid w:val="007561C6"/>
    <w:rsid w:val="007561FF"/>
    <w:rsid w:val="0075621F"/>
    <w:rsid w:val="0075624F"/>
    <w:rsid w:val="00756360"/>
    <w:rsid w:val="0075641A"/>
    <w:rsid w:val="00756644"/>
    <w:rsid w:val="00756773"/>
    <w:rsid w:val="00756998"/>
    <w:rsid w:val="00756B64"/>
    <w:rsid w:val="00756B73"/>
    <w:rsid w:val="00756D93"/>
    <w:rsid w:val="00756FAF"/>
    <w:rsid w:val="0075703D"/>
    <w:rsid w:val="00757097"/>
    <w:rsid w:val="007572A1"/>
    <w:rsid w:val="007572A3"/>
    <w:rsid w:val="00757311"/>
    <w:rsid w:val="00757323"/>
    <w:rsid w:val="007574D8"/>
    <w:rsid w:val="00757540"/>
    <w:rsid w:val="00757615"/>
    <w:rsid w:val="00757C0A"/>
    <w:rsid w:val="00757E47"/>
    <w:rsid w:val="00757E72"/>
    <w:rsid w:val="00757E8D"/>
    <w:rsid w:val="0076042F"/>
    <w:rsid w:val="0076065B"/>
    <w:rsid w:val="007606E2"/>
    <w:rsid w:val="0076070E"/>
    <w:rsid w:val="0076073A"/>
    <w:rsid w:val="007607D4"/>
    <w:rsid w:val="0076091B"/>
    <w:rsid w:val="007609B0"/>
    <w:rsid w:val="00760A56"/>
    <w:rsid w:val="00760AB1"/>
    <w:rsid w:val="00760B37"/>
    <w:rsid w:val="00760CA0"/>
    <w:rsid w:val="00760E29"/>
    <w:rsid w:val="00760E37"/>
    <w:rsid w:val="00760F19"/>
    <w:rsid w:val="00760F70"/>
    <w:rsid w:val="00761194"/>
    <w:rsid w:val="00761234"/>
    <w:rsid w:val="00761485"/>
    <w:rsid w:val="007614D3"/>
    <w:rsid w:val="0076156B"/>
    <w:rsid w:val="0076182E"/>
    <w:rsid w:val="00761854"/>
    <w:rsid w:val="00761ACE"/>
    <w:rsid w:val="00761DCF"/>
    <w:rsid w:val="00761F51"/>
    <w:rsid w:val="00761F57"/>
    <w:rsid w:val="00761F81"/>
    <w:rsid w:val="0076238A"/>
    <w:rsid w:val="00762ADE"/>
    <w:rsid w:val="00762B2E"/>
    <w:rsid w:val="00762BE9"/>
    <w:rsid w:val="00762CBD"/>
    <w:rsid w:val="00762CED"/>
    <w:rsid w:val="00762DF6"/>
    <w:rsid w:val="00762F93"/>
    <w:rsid w:val="00762FAF"/>
    <w:rsid w:val="00762FF2"/>
    <w:rsid w:val="00763633"/>
    <w:rsid w:val="00763739"/>
    <w:rsid w:val="007637C2"/>
    <w:rsid w:val="00763908"/>
    <w:rsid w:val="007639F1"/>
    <w:rsid w:val="00763B08"/>
    <w:rsid w:val="00763C24"/>
    <w:rsid w:val="00763D8F"/>
    <w:rsid w:val="00763E16"/>
    <w:rsid w:val="007640AF"/>
    <w:rsid w:val="007642E3"/>
    <w:rsid w:val="007643CB"/>
    <w:rsid w:val="007643F3"/>
    <w:rsid w:val="007645A1"/>
    <w:rsid w:val="0076461A"/>
    <w:rsid w:val="007646A0"/>
    <w:rsid w:val="00764A30"/>
    <w:rsid w:val="00764A99"/>
    <w:rsid w:val="00764AD6"/>
    <w:rsid w:val="00764B17"/>
    <w:rsid w:val="00764B8C"/>
    <w:rsid w:val="00764D19"/>
    <w:rsid w:val="00765041"/>
    <w:rsid w:val="007651A8"/>
    <w:rsid w:val="007653F3"/>
    <w:rsid w:val="0076550F"/>
    <w:rsid w:val="00765527"/>
    <w:rsid w:val="00765616"/>
    <w:rsid w:val="007656D4"/>
    <w:rsid w:val="0076591C"/>
    <w:rsid w:val="00765A33"/>
    <w:rsid w:val="00765FA6"/>
    <w:rsid w:val="0076606A"/>
    <w:rsid w:val="007660B8"/>
    <w:rsid w:val="00766289"/>
    <w:rsid w:val="00766527"/>
    <w:rsid w:val="007665DC"/>
    <w:rsid w:val="007666F8"/>
    <w:rsid w:val="0076689A"/>
    <w:rsid w:val="0076689C"/>
    <w:rsid w:val="00766A6D"/>
    <w:rsid w:val="00766DE0"/>
    <w:rsid w:val="00766E2A"/>
    <w:rsid w:val="00766F6A"/>
    <w:rsid w:val="00767171"/>
    <w:rsid w:val="007671F1"/>
    <w:rsid w:val="00767206"/>
    <w:rsid w:val="00767226"/>
    <w:rsid w:val="0076726B"/>
    <w:rsid w:val="007673F4"/>
    <w:rsid w:val="00767490"/>
    <w:rsid w:val="00767804"/>
    <w:rsid w:val="0076795A"/>
    <w:rsid w:val="00767AF5"/>
    <w:rsid w:val="00767CFC"/>
    <w:rsid w:val="00767DCB"/>
    <w:rsid w:val="00767E1C"/>
    <w:rsid w:val="00767E2E"/>
    <w:rsid w:val="00767F3A"/>
    <w:rsid w:val="00770106"/>
    <w:rsid w:val="00770128"/>
    <w:rsid w:val="00770225"/>
    <w:rsid w:val="0077024E"/>
    <w:rsid w:val="00770833"/>
    <w:rsid w:val="0077099D"/>
    <w:rsid w:val="007709C7"/>
    <w:rsid w:val="007709F1"/>
    <w:rsid w:val="00770A9E"/>
    <w:rsid w:val="00770B81"/>
    <w:rsid w:val="00770D3F"/>
    <w:rsid w:val="00770DBD"/>
    <w:rsid w:val="00770DE2"/>
    <w:rsid w:val="00770F3E"/>
    <w:rsid w:val="0077103C"/>
    <w:rsid w:val="007714DD"/>
    <w:rsid w:val="00771583"/>
    <w:rsid w:val="00771C1D"/>
    <w:rsid w:val="00771CAE"/>
    <w:rsid w:val="00772035"/>
    <w:rsid w:val="007726ED"/>
    <w:rsid w:val="00772B10"/>
    <w:rsid w:val="00772C94"/>
    <w:rsid w:val="00772DB9"/>
    <w:rsid w:val="0077309C"/>
    <w:rsid w:val="00773118"/>
    <w:rsid w:val="0077319B"/>
    <w:rsid w:val="007732E3"/>
    <w:rsid w:val="00773428"/>
    <w:rsid w:val="0077343C"/>
    <w:rsid w:val="0077389D"/>
    <w:rsid w:val="007739CB"/>
    <w:rsid w:val="00773A6F"/>
    <w:rsid w:val="00773B5F"/>
    <w:rsid w:val="007740C3"/>
    <w:rsid w:val="00774139"/>
    <w:rsid w:val="007745B5"/>
    <w:rsid w:val="0077477C"/>
    <w:rsid w:val="0077489F"/>
    <w:rsid w:val="00774912"/>
    <w:rsid w:val="00774995"/>
    <w:rsid w:val="00774AE7"/>
    <w:rsid w:val="00774B73"/>
    <w:rsid w:val="00774C47"/>
    <w:rsid w:val="00775326"/>
    <w:rsid w:val="0077536B"/>
    <w:rsid w:val="00775441"/>
    <w:rsid w:val="0077588F"/>
    <w:rsid w:val="007759C0"/>
    <w:rsid w:val="00775AD6"/>
    <w:rsid w:val="00775B0F"/>
    <w:rsid w:val="00775E03"/>
    <w:rsid w:val="00775ED3"/>
    <w:rsid w:val="0077614F"/>
    <w:rsid w:val="00776192"/>
    <w:rsid w:val="00776219"/>
    <w:rsid w:val="0077629A"/>
    <w:rsid w:val="00776392"/>
    <w:rsid w:val="00776581"/>
    <w:rsid w:val="007765E8"/>
    <w:rsid w:val="00776631"/>
    <w:rsid w:val="00776722"/>
    <w:rsid w:val="00776CD2"/>
    <w:rsid w:val="00776E0D"/>
    <w:rsid w:val="0077700A"/>
    <w:rsid w:val="00777052"/>
    <w:rsid w:val="00777199"/>
    <w:rsid w:val="0077730E"/>
    <w:rsid w:val="007774A1"/>
    <w:rsid w:val="0077787D"/>
    <w:rsid w:val="00777CB5"/>
    <w:rsid w:val="00777D59"/>
    <w:rsid w:val="00777E93"/>
    <w:rsid w:val="00777EB3"/>
    <w:rsid w:val="00780054"/>
    <w:rsid w:val="00780315"/>
    <w:rsid w:val="0078042E"/>
    <w:rsid w:val="0078044E"/>
    <w:rsid w:val="007804E2"/>
    <w:rsid w:val="0078055B"/>
    <w:rsid w:val="007805BD"/>
    <w:rsid w:val="0078062A"/>
    <w:rsid w:val="00780B0B"/>
    <w:rsid w:val="00780DD4"/>
    <w:rsid w:val="00780E76"/>
    <w:rsid w:val="00780EB2"/>
    <w:rsid w:val="00780F4E"/>
    <w:rsid w:val="0078107F"/>
    <w:rsid w:val="00781088"/>
    <w:rsid w:val="007810B4"/>
    <w:rsid w:val="00781532"/>
    <w:rsid w:val="007815CB"/>
    <w:rsid w:val="00781A04"/>
    <w:rsid w:val="00781AF8"/>
    <w:rsid w:val="00781B7F"/>
    <w:rsid w:val="00781BC7"/>
    <w:rsid w:val="00782216"/>
    <w:rsid w:val="007823EF"/>
    <w:rsid w:val="00782657"/>
    <w:rsid w:val="007826F3"/>
    <w:rsid w:val="00782766"/>
    <w:rsid w:val="007828E6"/>
    <w:rsid w:val="00782A2E"/>
    <w:rsid w:val="00782AE7"/>
    <w:rsid w:val="00782BB8"/>
    <w:rsid w:val="00782BD6"/>
    <w:rsid w:val="00782E3F"/>
    <w:rsid w:val="00783004"/>
    <w:rsid w:val="007830E9"/>
    <w:rsid w:val="00783196"/>
    <w:rsid w:val="007831F1"/>
    <w:rsid w:val="00783250"/>
    <w:rsid w:val="007833D0"/>
    <w:rsid w:val="007834D3"/>
    <w:rsid w:val="00783861"/>
    <w:rsid w:val="007838AC"/>
    <w:rsid w:val="007839A1"/>
    <w:rsid w:val="007839F1"/>
    <w:rsid w:val="00783AE4"/>
    <w:rsid w:val="00783BC9"/>
    <w:rsid w:val="00783D84"/>
    <w:rsid w:val="00783E03"/>
    <w:rsid w:val="00783F3F"/>
    <w:rsid w:val="00783FEA"/>
    <w:rsid w:val="00784204"/>
    <w:rsid w:val="0078420C"/>
    <w:rsid w:val="0078421A"/>
    <w:rsid w:val="0078422B"/>
    <w:rsid w:val="00784313"/>
    <w:rsid w:val="00784395"/>
    <w:rsid w:val="0078444A"/>
    <w:rsid w:val="0078454B"/>
    <w:rsid w:val="00784673"/>
    <w:rsid w:val="00784748"/>
    <w:rsid w:val="00784933"/>
    <w:rsid w:val="007849A7"/>
    <w:rsid w:val="00784DF3"/>
    <w:rsid w:val="00784F7B"/>
    <w:rsid w:val="00785030"/>
    <w:rsid w:val="0078510A"/>
    <w:rsid w:val="0078531C"/>
    <w:rsid w:val="007853A1"/>
    <w:rsid w:val="00785484"/>
    <w:rsid w:val="0078557D"/>
    <w:rsid w:val="007856B2"/>
    <w:rsid w:val="007856CE"/>
    <w:rsid w:val="0078577C"/>
    <w:rsid w:val="007859BF"/>
    <w:rsid w:val="00785A31"/>
    <w:rsid w:val="00785C6D"/>
    <w:rsid w:val="00785DE4"/>
    <w:rsid w:val="00786701"/>
    <w:rsid w:val="00786A4F"/>
    <w:rsid w:val="00786AE6"/>
    <w:rsid w:val="00786E47"/>
    <w:rsid w:val="00787263"/>
    <w:rsid w:val="0078754E"/>
    <w:rsid w:val="0078759D"/>
    <w:rsid w:val="007876CF"/>
    <w:rsid w:val="00787774"/>
    <w:rsid w:val="00787D0C"/>
    <w:rsid w:val="00787E87"/>
    <w:rsid w:val="00787F1E"/>
    <w:rsid w:val="00787F47"/>
    <w:rsid w:val="007900C5"/>
    <w:rsid w:val="0079025C"/>
    <w:rsid w:val="00790317"/>
    <w:rsid w:val="00790417"/>
    <w:rsid w:val="007904BC"/>
    <w:rsid w:val="00790722"/>
    <w:rsid w:val="007907CC"/>
    <w:rsid w:val="00790893"/>
    <w:rsid w:val="00790C26"/>
    <w:rsid w:val="00790D3C"/>
    <w:rsid w:val="00790D5E"/>
    <w:rsid w:val="00790F6B"/>
    <w:rsid w:val="007914F8"/>
    <w:rsid w:val="00791526"/>
    <w:rsid w:val="007915EA"/>
    <w:rsid w:val="0079169F"/>
    <w:rsid w:val="007916FD"/>
    <w:rsid w:val="00791939"/>
    <w:rsid w:val="00791AA9"/>
    <w:rsid w:val="00791D98"/>
    <w:rsid w:val="00791DCD"/>
    <w:rsid w:val="0079211E"/>
    <w:rsid w:val="007926B3"/>
    <w:rsid w:val="00792BA6"/>
    <w:rsid w:val="00792D26"/>
    <w:rsid w:val="00792E7E"/>
    <w:rsid w:val="00793148"/>
    <w:rsid w:val="007933AD"/>
    <w:rsid w:val="0079347F"/>
    <w:rsid w:val="007936A3"/>
    <w:rsid w:val="007938EA"/>
    <w:rsid w:val="0079393D"/>
    <w:rsid w:val="00793A56"/>
    <w:rsid w:val="00793A8C"/>
    <w:rsid w:val="00793F43"/>
    <w:rsid w:val="007940F3"/>
    <w:rsid w:val="007941A9"/>
    <w:rsid w:val="0079429F"/>
    <w:rsid w:val="00794611"/>
    <w:rsid w:val="00794753"/>
    <w:rsid w:val="00794957"/>
    <w:rsid w:val="007949F2"/>
    <w:rsid w:val="00794A8C"/>
    <w:rsid w:val="00794ADE"/>
    <w:rsid w:val="00794BC4"/>
    <w:rsid w:val="00794C36"/>
    <w:rsid w:val="00794C48"/>
    <w:rsid w:val="00794CED"/>
    <w:rsid w:val="00794D9A"/>
    <w:rsid w:val="00794E11"/>
    <w:rsid w:val="00794E9C"/>
    <w:rsid w:val="0079526A"/>
    <w:rsid w:val="00795296"/>
    <w:rsid w:val="0079530C"/>
    <w:rsid w:val="00795485"/>
    <w:rsid w:val="007955DE"/>
    <w:rsid w:val="00795AEF"/>
    <w:rsid w:val="00795BDC"/>
    <w:rsid w:val="00795F73"/>
    <w:rsid w:val="00795F8D"/>
    <w:rsid w:val="00796017"/>
    <w:rsid w:val="0079651E"/>
    <w:rsid w:val="0079664F"/>
    <w:rsid w:val="007966EF"/>
    <w:rsid w:val="0079672F"/>
    <w:rsid w:val="00796869"/>
    <w:rsid w:val="0079686F"/>
    <w:rsid w:val="00796C69"/>
    <w:rsid w:val="00796FC2"/>
    <w:rsid w:val="007972DF"/>
    <w:rsid w:val="00797462"/>
    <w:rsid w:val="007977A9"/>
    <w:rsid w:val="0079792B"/>
    <w:rsid w:val="00797A3D"/>
    <w:rsid w:val="00797F66"/>
    <w:rsid w:val="007A04AD"/>
    <w:rsid w:val="007A0693"/>
    <w:rsid w:val="007A081C"/>
    <w:rsid w:val="007A0850"/>
    <w:rsid w:val="007A0A10"/>
    <w:rsid w:val="007A0CA6"/>
    <w:rsid w:val="007A0E14"/>
    <w:rsid w:val="007A0EB1"/>
    <w:rsid w:val="007A0EEC"/>
    <w:rsid w:val="007A1250"/>
    <w:rsid w:val="007A12B9"/>
    <w:rsid w:val="007A1626"/>
    <w:rsid w:val="007A19AE"/>
    <w:rsid w:val="007A19B1"/>
    <w:rsid w:val="007A1A22"/>
    <w:rsid w:val="007A1A23"/>
    <w:rsid w:val="007A1AB8"/>
    <w:rsid w:val="007A1B7E"/>
    <w:rsid w:val="007A1BB2"/>
    <w:rsid w:val="007A1C39"/>
    <w:rsid w:val="007A1C83"/>
    <w:rsid w:val="007A1F12"/>
    <w:rsid w:val="007A214D"/>
    <w:rsid w:val="007A21CA"/>
    <w:rsid w:val="007A2428"/>
    <w:rsid w:val="007A245C"/>
    <w:rsid w:val="007A245D"/>
    <w:rsid w:val="007A25B7"/>
    <w:rsid w:val="007A2928"/>
    <w:rsid w:val="007A2ADE"/>
    <w:rsid w:val="007A2B1E"/>
    <w:rsid w:val="007A2C06"/>
    <w:rsid w:val="007A30A2"/>
    <w:rsid w:val="007A3317"/>
    <w:rsid w:val="007A3500"/>
    <w:rsid w:val="007A3761"/>
    <w:rsid w:val="007A37E5"/>
    <w:rsid w:val="007A3819"/>
    <w:rsid w:val="007A3868"/>
    <w:rsid w:val="007A3C41"/>
    <w:rsid w:val="007A3CC0"/>
    <w:rsid w:val="007A3DB1"/>
    <w:rsid w:val="007A3F83"/>
    <w:rsid w:val="007A435D"/>
    <w:rsid w:val="007A4582"/>
    <w:rsid w:val="007A459D"/>
    <w:rsid w:val="007A4663"/>
    <w:rsid w:val="007A48B6"/>
    <w:rsid w:val="007A4B09"/>
    <w:rsid w:val="007A4BC1"/>
    <w:rsid w:val="007A4C6B"/>
    <w:rsid w:val="007A4DA1"/>
    <w:rsid w:val="007A4F83"/>
    <w:rsid w:val="007A4FDF"/>
    <w:rsid w:val="007A5243"/>
    <w:rsid w:val="007A54FD"/>
    <w:rsid w:val="007A570A"/>
    <w:rsid w:val="007A5771"/>
    <w:rsid w:val="007A5ACC"/>
    <w:rsid w:val="007A5C38"/>
    <w:rsid w:val="007A5C6E"/>
    <w:rsid w:val="007A5EBE"/>
    <w:rsid w:val="007A5FE5"/>
    <w:rsid w:val="007A5FFC"/>
    <w:rsid w:val="007A60A3"/>
    <w:rsid w:val="007A65D8"/>
    <w:rsid w:val="007A665E"/>
    <w:rsid w:val="007A668A"/>
    <w:rsid w:val="007A6783"/>
    <w:rsid w:val="007A6796"/>
    <w:rsid w:val="007A6896"/>
    <w:rsid w:val="007A6A26"/>
    <w:rsid w:val="007A707A"/>
    <w:rsid w:val="007A7093"/>
    <w:rsid w:val="007A73B0"/>
    <w:rsid w:val="007A755D"/>
    <w:rsid w:val="007A756C"/>
    <w:rsid w:val="007A770F"/>
    <w:rsid w:val="007A7737"/>
    <w:rsid w:val="007A7928"/>
    <w:rsid w:val="007A7A6B"/>
    <w:rsid w:val="007A7A87"/>
    <w:rsid w:val="007A7AA1"/>
    <w:rsid w:val="007A7DAD"/>
    <w:rsid w:val="007A7DE7"/>
    <w:rsid w:val="007A7F72"/>
    <w:rsid w:val="007B0060"/>
    <w:rsid w:val="007B0096"/>
    <w:rsid w:val="007B0140"/>
    <w:rsid w:val="007B032A"/>
    <w:rsid w:val="007B0622"/>
    <w:rsid w:val="007B0636"/>
    <w:rsid w:val="007B081D"/>
    <w:rsid w:val="007B0996"/>
    <w:rsid w:val="007B0B18"/>
    <w:rsid w:val="007B0B30"/>
    <w:rsid w:val="007B0DD1"/>
    <w:rsid w:val="007B0DEE"/>
    <w:rsid w:val="007B0E44"/>
    <w:rsid w:val="007B0F00"/>
    <w:rsid w:val="007B1075"/>
    <w:rsid w:val="007B12C3"/>
    <w:rsid w:val="007B12DD"/>
    <w:rsid w:val="007B13CE"/>
    <w:rsid w:val="007B14E7"/>
    <w:rsid w:val="007B1604"/>
    <w:rsid w:val="007B1718"/>
    <w:rsid w:val="007B1759"/>
    <w:rsid w:val="007B17ED"/>
    <w:rsid w:val="007B18D7"/>
    <w:rsid w:val="007B1D74"/>
    <w:rsid w:val="007B1D85"/>
    <w:rsid w:val="007B24AA"/>
    <w:rsid w:val="007B24B2"/>
    <w:rsid w:val="007B2642"/>
    <w:rsid w:val="007B270C"/>
    <w:rsid w:val="007B2734"/>
    <w:rsid w:val="007B27FE"/>
    <w:rsid w:val="007B2ADB"/>
    <w:rsid w:val="007B2EFA"/>
    <w:rsid w:val="007B2F47"/>
    <w:rsid w:val="007B2F7D"/>
    <w:rsid w:val="007B34D2"/>
    <w:rsid w:val="007B36B3"/>
    <w:rsid w:val="007B379F"/>
    <w:rsid w:val="007B39C4"/>
    <w:rsid w:val="007B3A1F"/>
    <w:rsid w:val="007B3D46"/>
    <w:rsid w:val="007B3E5C"/>
    <w:rsid w:val="007B3E8C"/>
    <w:rsid w:val="007B3F39"/>
    <w:rsid w:val="007B4080"/>
    <w:rsid w:val="007B4157"/>
    <w:rsid w:val="007B43EB"/>
    <w:rsid w:val="007B4504"/>
    <w:rsid w:val="007B45CD"/>
    <w:rsid w:val="007B461F"/>
    <w:rsid w:val="007B4692"/>
    <w:rsid w:val="007B47AE"/>
    <w:rsid w:val="007B48BD"/>
    <w:rsid w:val="007B4953"/>
    <w:rsid w:val="007B4B6C"/>
    <w:rsid w:val="007B4C1E"/>
    <w:rsid w:val="007B4D98"/>
    <w:rsid w:val="007B4F6C"/>
    <w:rsid w:val="007B5045"/>
    <w:rsid w:val="007B505E"/>
    <w:rsid w:val="007B5367"/>
    <w:rsid w:val="007B551E"/>
    <w:rsid w:val="007B55C7"/>
    <w:rsid w:val="007B587A"/>
    <w:rsid w:val="007B5A3D"/>
    <w:rsid w:val="007B5C6C"/>
    <w:rsid w:val="007B5CA9"/>
    <w:rsid w:val="007B5DBA"/>
    <w:rsid w:val="007B608E"/>
    <w:rsid w:val="007B60D2"/>
    <w:rsid w:val="007B627A"/>
    <w:rsid w:val="007B62B5"/>
    <w:rsid w:val="007B62F5"/>
    <w:rsid w:val="007B6364"/>
    <w:rsid w:val="007B6478"/>
    <w:rsid w:val="007B64AC"/>
    <w:rsid w:val="007B65C1"/>
    <w:rsid w:val="007B6622"/>
    <w:rsid w:val="007B666C"/>
    <w:rsid w:val="007B66D3"/>
    <w:rsid w:val="007B69C2"/>
    <w:rsid w:val="007B6A77"/>
    <w:rsid w:val="007B6BA7"/>
    <w:rsid w:val="007B6BEF"/>
    <w:rsid w:val="007B7057"/>
    <w:rsid w:val="007B7106"/>
    <w:rsid w:val="007B7317"/>
    <w:rsid w:val="007B7339"/>
    <w:rsid w:val="007B7658"/>
    <w:rsid w:val="007B76F8"/>
    <w:rsid w:val="007B782A"/>
    <w:rsid w:val="007B78FC"/>
    <w:rsid w:val="007B7BF6"/>
    <w:rsid w:val="007B7C3D"/>
    <w:rsid w:val="007B7E04"/>
    <w:rsid w:val="007B7E9E"/>
    <w:rsid w:val="007C0058"/>
    <w:rsid w:val="007C0136"/>
    <w:rsid w:val="007C02B4"/>
    <w:rsid w:val="007C0393"/>
    <w:rsid w:val="007C0421"/>
    <w:rsid w:val="007C0636"/>
    <w:rsid w:val="007C0673"/>
    <w:rsid w:val="007C070D"/>
    <w:rsid w:val="007C0729"/>
    <w:rsid w:val="007C0C60"/>
    <w:rsid w:val="007C0D9B"/>
    <w:rsid w:val="007C0E1F"/>
    <w:rsid w:val="007C0EA4"/>
    <w:rsid w:val="007C10A9"/>
    <w:rsid w:val="007C1186"/>
    <w:rsid w:val="007C139C"/>
    <w:rsid w:val="007C14AD"/>
    <w:rsid w:val="007C1669"/>
    <w:rsid w:val="007C17D0"/>
    <w:rsid w:val="007C18D5"/>
    <w:rsid w:val="007C18F8"/>
    <w:rsid w:val="007C1A23"/>
    <w:rsid w:val="007C1A33"/>
    <w:rsid w:val="007C1ABE"/>
    <w:rsid w:val="007C1B83"/>
    <w:rsid w:val="007C1CC3"/>
    <w:rsid w:val="007C1CDD"/>
    <w:rsid w:val="007C1E21"/>
    <w:rsid w:val="007C1F04"/>
    <w:rsid w:val="007C2220"/>
    <w:rsid w:val="007C224A"/>
    <w:rsid w:val="007C231B"/>
    <w:rsid w:val="007C23D0"/>
    <w:rsid w:val="007C2451"/>
    <w:rsid w:val="007C2548"/>
    <w:rsid w:val="007C2689"/>
    <w:rsid w:val="007C26DA"/>
    <w:rsid w:val="007C26E0"/>
    <w:rsid w:val="007C2820"/>
    <w:rsid w:val="007C2AB7"/>
    <w:rsid w:val="007C2B32"/>
    <w:rsid w:val="007C32B0"/>
    <w:rsid w:val="007C34CC"/>
    <w:rsid w:val="007C3549"/>
    <w:rsid w:val="007C3751"/>
    <w:rsid w:val="007C3792"/>
    <w:rsid w:val="007C385D"/>
    <w:rsid w:val="007C3B51"/>
    <w:rsid w:val="007C3C5C"/>
    <w:rsid w:val="007C3E25"/>
    <w:rsid w:val="007C4134"/>
    <w:rsid w:val="007C4479"/>
    <w:rsid w:val="007C4689"/>
    <w:rsid w:val="007C4929"/>
    <w:rsid w:val="007C49B7"/>
    <w:rsid w:val="007C4A1F"/>
    <w:rsid w:val="007C4BDD"/>
    <w:rsid w:val="007C4C16"/>
    <w:rsid w:val="007C4DB7"/>
    <w:rsid w:val="007C4ECB"/>
    <w:rsid w:val="007C4EE4"/>
    <w:rsid w:val="007C4EF8"/>
    <w:rsid w:val="007C4F7F"/>
    <w:rsid w:val="007C5147"/>
    <w:rsid w:val="007C54BA"/>
    <w:rsid w:val="007C5688"/>
    <w:rsid w:val="007C580F"/>
    <w:rsid w:val="007C596E"/>
    <w:rsid w:val="007C5AD8"/>
    <w:rsid w:val="007C5B32"/>
    <w:rsid w:val="007C5C0A"/>
    <w:rsid w:val="007C5C7E"/>
    <w:rsid w:val="007C5DF9"/>
    <w:rsid w:val="007C5E09"/>
    <w:rsid w:val="007C6004"/>
    <w:rsid w:val="007C627A"/>
    <w:rsid w:val="007C62CC"/>
    <w:rsid w:val="007C638B"/>
    <w:rsid w:val="007C646A"/>
    <w:rsid w:val="007C6A60"/>
    <w:rsid w:val="007C6B14"/>
    <w:rsid w:val="007C6C50"/>
    <w:rsid w:val="007C6D49"/>
    <w:rsid w:val="007C6DDB"/>
    <w:rsid w:val="007C6F26"/>
    <w:rsid w:val="007C6F72"/>
    <w:rsid w:val="007C7064"/>
    <w:rsid w:val="007C71C2"/>
    <w:rsid w:val="007C75F4"/>
    <w:rsid w:val="007C76E5"/>
    <w:rsid w:val="007C7858"/>
    <w:rsid w:val="007C788E"/>
    <w:rsid w:val="007C78FA"/>
    <w:rsid w:val="007C7987"/>
    <w:rsid w:val="007C7A7D"/>
    <w:rsid w:val="007C7BC6"/>
    <w:rsid w:val="007C7D4E"/>
    <w:rsid w:val="007C7DDD"/>
    <w:rsid w:val="007D0226"/>
    <w:rsid w:val="007D03A4"/>
    <w:rsid w:val="007D03EE"/>
    <w:rsid w:val="007D052C"/>
    <w:rsid w:val="007D061B"/>
    <w:rsid w:val="007D0759"/>
    <w:rsid w:val="007D07ED"/>
    <w:rsid w:val="007D0811"/>
    <w:rsid w:val="007D08CC"/>
    <w:rsid w:val="007D08FB"/>
    <w:rsid w:val="007D09C2"/>
    <w:rsid w:val="007D09E2"/>
    <w:rsid w:val="007D0A2A"/>
    <w:rsid w:val="007D0B63"/>
    <w:rsid w:val="007D0D43"/>
    <w:rsid w:val="007D0E7B"/>
    <w:rsid w:val="007D0F9F"/>
    <w:rsid w:val="007D12A0"/>
    <w:rsid w:val="007D13FB"/>
    <w:rsid w:val="007D1546"/>
    <w:rsid w:val="007D1613"/>
    <w:rsid w:val="007D1614"/>
    <w:rsid w:val="007D17ED"/>
    <w:rsid w:val="007D1A3D"/>
    <w:rsid w:val="007D1B41"/>
    <w:rsid w:val="007D1BB0"/>
    <w:rsid w:val="007D1BD0"/>
    <w:rsid w:val="007D1EDE"/>
    <w:rsid w:val="007D2007"/>
    <w:rsid w:val="007D2166"/>
    <w:rsid w:val="007D24F0"/>
    <w:rsid w:val="007D2598"/>
    <w:rsid w:val="007D261D"/>
    <w:rsid w:val="007D2639"/>
    <w:rsid w:val="007D2648"/>
    <w:rsid w:val="007D287C"/>
    <w:rsid w:val="007D2941"/>
    <w:rsid w:val="007D2B04"/>
    <w:rsid w:val="007D2B86"/>
    <w:rsid w:val="007D2C9B"/>
    <w:rsid w:val="007D2D82"/>
    <w:rsid w:val="007D307A"/>
    <w:rsid w:val="007D3110"/>
    <w:rsid w:val="007D330E"/>
    <w:rsid w:val="007D3485"/>
    <w:rsid w:val="007D35A8"/>
    <w:rsid w:val="007D36EC"/>
    <w:rsid w:val="007D3AB7"/>
    <w:rsid w:val="007D3AF6"/>
    <w:rsid w:val="007D3B45"/>
    <w:rsid w:val="007D3BAB"/>
    <w:rsid w:val="007D3D1F"/>
    <w:rsid w:val="007D3E80"/>
    <w:rsid w:val="007D3EB3"/>
    <w:rsid w:val="007D408A"/>
    <w:rsid w:val="007D4112"/>
    <w:rsid w:val="007D4184"/>
    <w:rsid w:val="007D4244"/>
    <w:rsid w:val="007D4309"/>
    <w:rsid w:val="007D450E"/>
    <w:rsid w:val="007D4623"/>
    <w:rsid w:val="007D464E"/>
    <w:rsid w:val="007D4BF9"/>
    <w:rsid w:val="007D4E47"/>
    <w:rsid w:val="007D4EBA"/>
    <w:rsid w:val="007D508E"/>
    <w:rsid w:val="007D50DA"/>
    <w:rsid w:val="007D521B"/>
    <w:rsid w:val="007D5222"/>
    <w:rsid w:val="007D54F1"/>
    <w:rsid w:val="007D5678"/>
    <w:rsid w:val="007D584D"/>
    <w:rsid w:val="007D586A"/>
    <w:rsid w:val="007D58CB"/>
    <w:rsid w:val="007D5BD6"/>
    <w:rsid w:val="007D5C23"/>
    <w:rsid w:val="007D5D1F"/>
    <w:rsid w:val="007D5E58"/>
    <w:rsid w:val="007D5F35"/>
    <w:rsid w:val="007D607A"/>
    <w:rsid w:val="007D6347"/>
    <w:rsid w:val="007D6393"/>
    <w:rsid w:val="007D63F7"/>
    <w:rsid w:val="007D6421"/>
    <w:rsid w:val="007D6634"/>
    <w:rsid w:val="007D6895"/>
    <w:rsid w:val="007D6B11"/>
    <w:rsid w:val="007D6D0A"/>
    <w:rsid w:val="007D6E4F"/>
    <w:rsid w:val="007D71B6"/>
    <w:rsid w:val="007D7359"/>
    <w:rsid w:val="007D73FB"/>
    <w:rsid w:val="007D7463"/>
    <w:rsid w:val="007D7580"/>
    <w:rsid w:val="007D7A05"/>
    <w:rsid w:val="007D7AC5"/>
    <w:rsid w:val="007D7ACE"/>
    <w:rsid w:val="007D7C51"/>
    <w:rsid w:val="007D7D57"/>
    <w:rsid w:val="007D7DFE"/>
    <w:rsid w:val="007E02CB"/>
    <w:rsid w:val="007E02E2"/>
    <w:rsid w:val="007E0386"/>
    <w:rsid w:val="007E03B3"/>
    <w:rsid w:val="007E03C1"/>
    <w:rsid w:val="007E090B"/>
    <w:rsid w:val="007E0A83"/>
    <w:rsid w:val="007E0AE3"/>
    <w:rsid w:val="007E0B40"/>
    <w:rsid w:val="007E0C07"/>
    <w:rsid w:val="007E0E61"/>
    <w:rsid w:val="007E120D"/>
    <w:rsid w:val="007E1256"/>
    <w:rsid w:val="007E1888"/>
    <w:rsid w:val="007E18A3"/>
    <w:rsid w:val="007E18C7"/>
    <w:rsid w:val="007E1A93"/>
    <w:rsid w:val="007E1A9B"/>
    <w:rsid w:val="007E20CE"/>
    <w:rsid w:val="007E21EC"/>
    <w:rsid w:val="007E2B83"/>
    <w:rsid w:val="007E2BD6"/>
    <w:rsid w:val="007E2C04"/>
    <w:rsid w:val="007E2CF9"/>
    <w:rsid w:val="007E2DE5"/>
    <w:rsid w:val="007E3168"/>
    <w:rsid w:val="007E326A"/>
    <w:rsid w:val="007E338E"/>
    <w:rsid w:val="007E3900"/>
    <w:rsid w:val="007E3A90"/>
    <w:rsid w:val="007E3B33"/>
    <w:rsid w:val="007E3D5B"/>
    <w:rsid w:val="007E410B"/>
    <w:rsid w:val="007E41C6"/>
    <w:rsid w:val="007E4328"/>
    <w:rsid w:val="007E4405"/>
    <w:rsid w:val="007E4541"/>
    <w:rsid w:val="007E4576"/>
    <w:rsid w:val="007E4579"/>
    <w:rsid w:val="007E461B"/>
    <w:rsid w:val="007E4665"/>
    <w:rsid w:val="007E4929"/>
    <w:rsid w:val="007E49FC"/>
    <w:rsid w:val="007E4AC6"/>
    <w:rsid w:val="007E4C02"/>
    <w:rsid w:val="007E4E86"/>
    <w:rsid w:val="007E5116"/>
    <w:rsid w:val="007E53FD"/>
    <w:rsid w:val="007E56A0"/>
    <w:rsid w:val="007E57EB"/>
    <w:rsid w:val="007E5A24"/>
    <w:rsid w:val="007E5A7A"/>
    <w:rsid w:val="007E5A9D"/>
    <w:rsid w:val="007E5CC8"/>
    <w:rsid w:val="007E5D05"/>
    <w:rsid w:val="007E5D2D"/>
    <w:rsid w:val="007E5F2F"/>
    <w:rsid w:val="007E5F42"/>
    <w:rsid w:val="007E615D"/>
    <w:rsid w:val="007E67CD"/>
    <w:rsid w:val="007E6902"/>
    <w:rsid w:val="007E6966"/>
    <w:rsid w:val="007E6B41"/>
    <w:rsid w:val="007E6BA4"/>
    <w:rsid w:val="007E6BD5"/>
    <w:rsid w:val="007E6F4C"/>
    <w:rsid w:val="007E716D"/>
    <w:rsid w:val="007E72D3"/>
    <w:rsid w:val="007E751C"/>
    <w:rsid w:val="007E77C3"/>
    <w:rsid w:val="007E7809"/>
    <w:rsid w:val="007E7814"/>
    <w:rsid w:val="007E783E"/>
    <w:rsid w:val="007E7B80"/>
    <w:rsid w:val="007E7C8B"/>
    <w:rsid w:val="007E7DF0"/>
    <w:rsid w:val="007E7E38"/>
    <w:rsid w:val="007E7EF0"/>
    <w:rsid w:val="007E7F47"/>
    <w:rsid w:val="007F0092"/>
    <w:rsid w:val="007F04C7"/>
    <w:rsid w:val="007F06C8"/>
    <w:rsid w:val="007F079B"/>
    <w:rsid w:val="007F09A3"/>
    <w:rsid w:val="007F0B51"/>
    <w:rsid w:val="007F0C55"/>
    <w:rsid w:val="007F0CBE"/>
    <w:rsid w:val="007F0E5C"/>
    <w:rsid w:val="007F0E7B"/>
    <w:rsid w:val="007F0FDE"/>
    <w:rsid w:val="007F10D2"/>
    <w:rsid w:val="007F12AC"/>
    <w:rsid w:val="007F140B"/>
    <w:rsid w:val="007F143D"/>
    <w:rsid w:val="007F1452"/>
    <w:rsid w:val="007F1638"/>
    <w:rsid w:val="007F16CE"/>
    <w:rsid w:val="007F1915"/>
    <w:rsid w:val="007F1964"/>
    <w:rsid w:val="007F1AE3"/>
    <w:rsid w:val="007F1D01"/>
    <w:rsid w:val="007F1DA1"/>
    <w:rsid w:val="007F2119"/>
    <w:rsid w:val="007F2157"/>
    <w:rsid w:val="007F21C1"/>
    <w:rsid w:val="007F21D5"/>
    <w:rsid w:val="007F2230"/>
    <w:rsid w:val="007F2271"/>
    <w:rsid w:val="007F2338"/>
    <w:rsid w:val="007F23DA"/>
    <w:rsid w:val="007F245D"/>
    <w:rsid w:val="007F247B"/>
    <w:rsid w:val="007F25E7"/>
    <w:rsid w:val="007F266D"/>
    <w:rsid w:val="007F2824"/>
    <w:rsid w:val="007F2A2D"/>
    <w:rsid w:val="007F2B3F"/>
    <w:rsid w:val="007F2BE7"/>
    <w:rsid w:val="007F2C4B"/>
    <w:rsid w:val="007F2DC8"/>
    <w:rsid w:val="007F2E91"/>
    <w:rsid w:val="007F3008"/>
    <w:rsid w:val="007F31C4"/>
    <w:rsid w:val="007F323D"/>
    <w:rsid w:val="007F32B9"/>
    <w:rsid w:val="007F33C9"/>
    <w:rsid w:val="007F36CC"/>
    <w:rsid w:val="007F375B"/>
    <w:rsid w:val="007F37EB"/>
    <w:rsid w:val="007F3B32"/>
    <w:rsid w:val="007F3EE4"/>
    <w:rsid w:val="007F3EF0"/>
    <w:rsid w:val="007F400E"/>
    <w:rsid w:val="007F46D5"/>
    <w:rsid w:val="007F47DD"/>
    <w:rsid w:val="007F48DB"/>
    <w:rsid w:val="007F495F"/>
    <w:rsid w:val="007F4A1D"/>
    <w:rsid w:val="007F4A2B"/>
    <w:rsid w:val="007F4C20"/>
    <w:rsid w:val="007F4D54"/>
    <w:rsid w:val="007F4E03"/>
    <w:rsid w:val="007F4E51"/>
    <w:rsid w:val="007F4F83"/>
    <w:rsid w:val="007F551E"/>
    <w:rsid w:val="007F55D8"/>
    <w:rsid w:val="007F586F"/>
    <w:rsid w:val="007F595C"/>
    <w:rsid w:val="007F5963"/>
    <w:rsid w:val="007F59B0"/>
    <w:rsid w:val="007F5DD5"/>
    <w:rsid w:val="007F5FA1"/>
    <w:rsid w:val="007F604D"/>
    <w:rsid w:val="007F622C"/>
    <w:rsid w:val="007F63EC"/>
    <w:rsid w:val="007F64AE"/>
    <w:rsid w:val="007F65EC"/>
    <w:rsid w:val="007F6684"/>
    <w:rsid w:val="007F6719"/>
    <w:rsid w:val="007F6998"/>
    <w:rsid w:val="007F69B3"/>
    <w:rsid w:val="007F6C9A"/>
    <w:rsid w:val="007F6EAA"/>
    <w:rsid w:val="007F72B9"/>
    <w:rsid w:val="007F7332"/>
    <w:rsid w:val="007F75AD"/>
    <w:rsid w:val="007F7793"/>
    <w:rsid w:val="007F7ADF"/>
    <w:rsid w:val="007F7B20"/>
    <w:rsid w:val="007F7D1F"/>
    <w:rsid w:val="007F7DA5"/>
    <w:rsid w:val="00800066"/>
    <w:rsid w:val="00800251"/>
    <w:rsid w:val="00800297"/>
    <w:rsid w:val="008007D1"/>
    <w:rsid w:val="008008A1"/>
    <w:rsid w:val="00800A55"/>
    <w:rsid w:val="00800DD3"/>
    <w:rsid w:val="00800E4B"/>
    <w:rsid w:val="00801024"/>
    <w:rsid w:val="0080107B"/>
    <w:rsid w:val="008015FB"/>
    <w:rsid w:val="00801871"/>
    <w:rsid w:val="00801AE7"/>
    <w:rsid w:val="00801B69"/>
    <w:rsid w:val="00801B8C"/>
    <w:rsid w:val="00801F16"/>
    <w:rsid w:val="00801F50"/>
    <w:rsid w:val="00802234"/>
    <w:rsid w:val="008022A4"/>
    <w:rsid w:val="00802410"/>
    <w:rsid w:val="00802431"/>
    <w:rsid w:val="00802593"/>
    <w:rsid w:val="00802689"/>
    <w:rsid w:val="0080277D"/>
    <w:rsid w:val="00802853"/>
    <w:rsid w:val="008028C2"/>
    <w:rsid w:val="00802985"/>
    <w:rsid w:val="008029AB"/>
    <w:rsid w:val="00802B7D"/>
    <w:rsid w:val="00802C15"/>
    <w:rsid w:val="00802D14"/>
    <w:rsid w:val="00802DBF"/>
    <w:rsid w:val="00802F7D"/>
    <w:rsid w:val="0080314C"/>
    <w:rsid w:val="0080327D"/>
    <w:rsid w:val="008032D6"/>
    <w:rsid w:val="00803352"/>
    <w:rsid w:val="008033D0"/>
    <w:rsid w:val="00803451"/>
    <w:rsid w:val="008036BB"/>
    <w:rsid w:val="008039E5"/>
    <w:rsid w:val="00803A28"/>
    <w:rsid w:val="00803A85"/>
    <w:rsid w:val="00803A97"/>
    <w:rsid w:val="00803C62"/>
    <w:rsid w:val="00803DE2"/>
    <w:rsid w:val="00803F70"/>
    <w:rsid w:val="00803FCE"/>
    <w:rsid w:val="0080402E"/>
    <w:rsid w:val="0080420D"/>
    <w:rsid w:val="0080435E"/>
    <w:rsid w:val="0080438C"/>
    <w:rsid w:val="00804769"/>
    <w:rsid w:val="008047D7"/>
    <w:rsid w:val="008048F3"/>
    <w:rsid w:val="008049DE"/>
    <w:rsid w:val="00804CB3"/>
    <w:rsid w:val="00804DFD"/>
    <w:rsid w:val="00804E43"/>
    <w:rsid w:val="00804FCA"/>
    <w:rsid w:val="00805010"/>
    <w:rsid w:val="00805103"/>
    <w:rsid w:val="008051D6"/>
    <w:rsid w:val="0080537C"/>
    <w:rsid w:val="008053EF"/>
    <w:rsid w:val="00805574"/>
    <w:rsid w:val="0080558B"/>
    <w:rsid w:val="00805711"/>
    <w:rsid w:val="00805839"/>
    <w:rsid w:val="008059CF"/>
    <w:rsid w:val="00805B22"/>
    <w:rsid w:val="00805E9C"/>
    <w:rsid w:val="008062A9"/>
    <w:rsid w:val="0080674F"/>
    <w:rsid w:val="00806B3D"/>
    <w:rsid w:val="00806C77"/>
    <w:rsid w:val="00806C8A"/>
    <w:rsid w:val="00806CE5"/>
    <w:rsid w:val="00806D50"/>
    <w:rsid w:val="00806D68"/>
    <w:rsid w:val="00806DF4"/>
    <w:rsid w:val="00806F01"/>
    <w:rsid w:val="00807263"/>
    <w:rsid w:val="008072E9"/>
    <w:rsid w:val="008075A9"/>
    <w:rsid w:val="00807718"/>
    <w:rsid w:val="00807AD8"/>
    <w:rsid w:val="00807FA6"/>
    <w:rsid w:val="008101CA"/>
    <w:rsid w:val="0081030B"/>
    <w:rsid w:val="00810444"/>
    <w:rsid w:val="008104D0"/>
    <w:rsid w:val="008104E5"/>
    <w:rsid w:val="00810725"/>
    <w:rsid w:val="008107A4"/>
    <w:rsid w:val="00810875"/>
    <w:rsid w:val="0081087F"/>
    <w:rsid w:val="008109CA"/>
    <w:rsid w:val="00810A7B"/>
    <w:rsid w:val="00810B10"/>
    <w:rsid w:val="00810C3B"/>
    <w:rsid w:val="00810E01"/>
    <w:rsid w:val="00810F11"/>
    <w:rsid w:val="00810F62"/>
    <w:rsid w:val="0081114B"/>
    <w:rsid w:val="008111CC"/>
    <w:rsid w:val="008114C6"/>
    <w:rsid w:val="0081156A"/>
    <w:rsid w:val="008115B1"/>
    <w:rsid w:val="008116AE"/>
    <w:rsid w:val="008119AE"/>
    <w:rsid w:val="00811A6E"/>
    <w:rsid w:val="00811C9F"/>
    <w:rsid w:val="00811EA8"/>
    <w:rsid w:val="00811F94"/>
    <w:rsid w:val="008122AD"/>
    <w:rsid w:val="008124E1"/>
    <w:rsid w:val="0081253D"/>
    <w:rsid w:val="0081263A"/>
    <w:rsid w:val="008128BC"/>
    <w:rsid w:val="00812A3A"/>
    <w:rsid w:val="00812BA2"/>
    <w:rsid w:val="00812CA1"/>
    <w:rsid w:val="00812CE3"/>
    <w:rsid w:val="00812CE8"/>
    <w:rsid w:val="0081303E"/>
    <w:rsid w:val="008132FF"/>
    <w:rsid w:val="00813549"/>
    <w:rsid w:val="00813737"/>
    <w:rsid w:val="00813915"/>
    <w:rsid w:val="00813AD1"/>
    <w:rsid w:val="00813B6E"/>
    <w:rsid w:val="00813C58"/>
    <w:rsid w:val="00813C61"/>
    <w:rsid w:val="00813C65"/>
    <w:rsid w:val="00813CEB"/>
    <w:rsid w:val="00813FB5"/>
    <w:rsid w:val="00814036"/>
    <w:rsid w:val="00814133"/>
    <w:rsid w:val="00814255"/>
    <w:rsid w:val="00814524"/>
    <w:rsid w:val="00814676"/>
    <w:rsid w:val="008149EA"/>
    <w:rsid w:val="00814A5D"/>
    <w:rsid w:val="00814B42"/>
    <w:rsid w:val="00814CA4"/>
    <w:rsid w:val="00814D23"/>
    <w:rsid w:val="00814FE3"/>
    <w:rsid w:val="00815074"/>
    <w:rsid w:val="00815231"/>
    <w:rsid w:val="00815899"/>
    <w:rsid w:val="00815912"/>
    <w:rsid w:val="00815A08"/>
    <w:rsid w:val="00815A8E"/>
    <w:rsid w:val="00815A98"/>
    <w:rsid w:val="00815CFE"/>
    <w:rsid w:val="00815E56"/>
    <w:rsid w:val="00815E64"/>
    <w:rsid w:val="00815FD8"/>
    <w:rsid w:val="00816039"/>
    <w:rsid w:val="00816053"/>
    <w:rsid w:val="0081611A"/>
    <w:rsid w:val="0081618E"/>
    <w:rsid w:val="008161E1"/>
    <w:rsid w:val="0081620A"/>
    <w:rsid w:val="0081647E"/>
    <w:rsid w:val="0081650A"/>
    <w:rsid w:val="0081650D"/>
    <w:rsid w:val="008166DC"/>
    <w:rsid w:val="008166E1"/>
    <w:rsid w:val="008167A7"/>
    <w:rsid w:val="00816BBC"/>
    <w:rsid w:val="00816C9A"/>
    <w:rsid w:val="00816D55"/>
    <w:rsid w:val="0081704E"/>
    <w:rsid w:val="008170BE"/>
    <w:rsid w:val="00817119"/>
    <w:rsid w:val="0081753A"/>
    <w:rsid w:val="008175A9"/>
    <w:rsid w:val="00817616"/>
    <w:rsid w:val="00817669"/>
    <w:rsid w:val="00817D1D"/>
    <w:rsid w:val="00817DC5"/>
    <w:rsid w:val="00817DE8"/>
    <w:rsid w:val="00817DF5"/>
    <w:rsid w:val="008205A3"/>
    <w:rsid w:val="008205C3"/>
    <w:rsid w:val="0082065C"/>
    <w:rsid w:val="008207BD"/>
    <w:rsid w:val="00820844"/>
    <w:rsid w:val="00820885"/>
    <w:rsid w:val="00820950"/>
    <w:rsid w:val="00820BFE"/>
    <w:rsid w:val="00820C89"/>
    <w:rsid w:val="00820D15"/>
    <w:rsid w:val="00820F2F"/>
    <w:rsid w:val="00820FD4"/>
    <w:rsid w:val="008210C8"/>
    <w:rsid w:val="008210CD"/>
    <w:rsid w:val="00821185"/>
    <w:rsid w:val="008212F5"/>
    <w:rsid w:val="0082150B"/>
    <w:rsid w:val="00821575"/>
    <w:rsid w:val="008215E1"/>
    <w:rsid w:val="008217F1"/>
    <w:rsid w:val="0082197F"/>
    <w:rsid w:val="00821B05"/>
    <w:rsid w:val="00821B98"/>
    <w:rsid w:val="00821F49"/>
    <w:rsid w:val="00821FC7"/>
    <w:rsid w:val="00821FD1"/>
    <w:rsid w:val="00822294"/>
    <w:rsid w:val="00822312"/>
    <w:rsid w:val="0082254C"/>
    <w:rsid w:val="00822611"/>
    <w:rsid w:val="00822699"/>
    <w:rsid w:val="008226DE"/>
    <w:rsid w:val="00822808"/>
    <w:rsid w:val="0082286A"/>
    <w:rsid w:val="00822944"/>
    <w:rsid w:val="00822A02"/>
    <w:rsid w:val="00822A4F"/>
    <w:rsid w:val="00822B67"/>
    <w:rsid w:val="00822BE7"/>
    <w:rsid w:val="00822E10"/>
    <w:rsid w:val="00822E31"/>
    <w:rsid w:val="00822F29"/>
    <w:rsid w:val="00822F93"/>
    <w:rsid w:val="00822FF1"/>
    <w:rsid w:val="00823137"/>
    <w:rsid w:val="00823149"/>
    <w:rsid w:val="008231EB"/>
    <w:rsid w:val="00823426"/>
    <w:rsid w:val="00823449"/>
    <w:rsid w:val="008235BC"/>
    <w:rsid w:val="00823699"/>
    <w:rsid w:val="008237C5"/>
    <w:rsid w:val="0082381F"/>
    <w:rsid w:val="00823836"/>
    <w:rsid w:val="00823922"/>
    <w:rsid w:val="00823932"/>
    <w:rsid w:val="00823966"/>
    <w:rsid w:val="0082399B"/>
    <w:rsid w:val="00823B11"/>
    <w:rsid w:val="00823B3B"/>
    <w:rsid w:val="00823E13"/>
    <w:rsid w:val="00823E36"/>
    <w:rsid w:val="00823F53"/>
    <w:rsid w:val="00823F5A"/>
    <w:rsid w:val="00824510"/>
    <w:rsid w:val="008245B6"/>
    <w:rsid w:val="008246D5"/>
    <w:rsid w:val="00824773"/>
    <w:rsid w:val="00824862"/>
    <w:rsid w:val="008249A2"/>
    <w:rsid w:val="008249F7"/>
    <w:rsid w:val="00824A53"/>
    <w:rsid w:val="00824A89"/>
    <w:rsid w:val="00824BDB"/>
    <w:rsid w:val="00824C4A"/>
    <w:rsid w:val="00824C89"/>
    <w:rsid w:val="00824CA0"/>
    <w:rsid w:val="00824D07"/>
    <w:rsid w:val="00824D9C"/>
    <w:rsid w:val="00824E9D"/>
    <w:rsid w:val="00825120"/>
    <w:rsid w:val="00825151"/>
    <w:rsid w:val="008251C3"/>
    <w:rsid w:val="008251D7"/>
    <w:rsid w:val="0082521E"/>
    <w:rsid w:val="008252CC"/>
    <w:rsid w:val="008257C5"/>
    <w:rsid w:val="0082587E"/>
    <w:rsid w:val="00825B4E"/>
    <w:rsid w:val="00825B86"/>
    <w:rsid w:val="00825BF2"/>
    <w:rsid w:val="00825CC6"/>
    <w:rsid w:val="00825CF8"/>
    <w:rsid w:val="00825D2F"/>
    <w:rsid w:val="00825D4B"/>
    <w:rsid w:val="00825D66"/>
    <w:rsid w:val="00826048"/>
    <w:rsid w:val="008260D0"/>
    <w:rsid w:val="0082643A"/>
    <w:rsid w:val="008267C8"/>
    <w:rsid w:val="0082681B"/>
    <w:rsid w:val="00826977"/>
    <w:rsid w:val="00826B2F"/>
    <w:rsid w:val="00826BF6"/>
    <w:rsid w:val="00826C69"/>
    <w:rsid w:val="00826C74"/>
    <w:rsid w:val="00826E68"/>
    <w:rsid w:val="00827078"/>
    <w:rsid w:val="00827348"/>
    <w:rsid w:val="00827473"/>
    <w:rsid w:val="0082767B"/>
    <w:rsid w:val="008277D1"/>
    <w:rsid w:val="00827910"/>
    <w:rsid w:val="008279E8"/>
    <w:rsid w:val="008279FB"/>
    <w:rsid w:val="00827D71"/>
    <w:rsid w:val="00827D7B"/>
    <w:rsid w:val="00830031"/>
    <w:rsid w:val="0083003E"/>
    <w:rsid w:val="008301F2"/>
    <w:rsid w:val="0083020E"/>
    <w:rsid w:val="00830923"/>
    <w:rsid w:val="008309E5"/>
    <w:rsid w:val="00830A00"/>
    <w:rsid w:val="00830AE6"/>
    <w:rsid w:val="00830B1D"/>
    <w:rsid w:val="00830B1E"/>
    <w:rsid w:val="00830B40"/>
    <w:rsid w:val="00830B7F"/>
    <w:rsid w:val="00830D03"/>
    <w:rsid w:val="008312B8"/>
    <w:rsid w:val="008315C3"/>
    <w:rsid w:val="008315E2"/>
    <w:rsid w:val="00831976"/>
    <w:rsid w:val="008319C5"/>
    <w:rsid w:val="00831A86"/>
    <w:rsid w:val="00831B0E"/>
    <w:rsid w:val="00831C13"/>
    <w:rsid w:val="00831C3C"/>
    <w:rsid w:val="00831C97"/>
    <w:rsid w:val="00831CAB"/>
    <w:rsid w:val="00831E1B"/>
    <w:rsid w:val="00831E4C"/>
    <w:rsid w:val="00831E51"/>
    <w:rsid w:val="00831E6D"/>
    <w:rsid w:val="00831F8D"/>
    <w:rsid w:val="00832059"/>
    <w:rsid w:val="00832173"/>
    <w:rsid w:val="0083240A"/>
    <w:rsid w:val="00832479"/>
    <w:rsid w:val="008324ED"/>
    <w:rsid w:val="008326C7"/>
    <w:rsid w:val="008326D3"/>
    <w:rsid w:val="00832809"/>
    <w:rsid w:val="00832813"/>
    <w:rsid w:val="0083285D"/>
    <w:rsid w:val="0083293E"/>
    <w:rsid w:val="0083297A"/>
    <w:rsid w:val="00832A16"/>
    <w:rsid w:val="00832B45"/>
    <w:rsid w:val="00832B99"/>
    <w:rsid w:val="00832CEA"/>
    <w:rsid w:val="00833324"/>
    <w:rsid w:val="00833404"/>
    <w:rsid w:val="0083362E"/>
    <w:rsid w:val="008336BE"/>
    <w:rsid w:val="008337B5"/>
    <w:rsid w:val="0083380D"/>
    <w:rsid w:val="008338C2"/>
    <w:rsid w:val="00833B4F"/>
    <w:rsid w:val="00833B68"/>
    <w:rsid w:val="00833DDE"/>
    <w:rsid w:val="00833E5F"/>
    <w:rsid w:val="00833F1F"/>
    <w:rsid w:val="008341E7"/>
    <w:rsid w:val="0083430E"/>
    <w:rsid w:val="0083449B"/>
    <w:rsid w:val="00834800"/>
    <w:rsid w:val="00834806"/>
    <w:rsid w:val="00834829"/>
    <w:rsid w:val="00834A8F"/>
    <w:rsid w:val="00834B81"/>
    <w:rsid w:val="00834E97"/>
    <w:rsid w:val="00834EA2"/>
    <w:rsid w:val="00835055"/>
    <w:rsid w:val="00835064"/>
    <w:rsid w:val="0083518A"/>
    <w:rsid w:val="008351BD"/>
    <w:rsid w:val="0083522A"/>
    <w:rsid w:val="00835250"/>
    <w:rsid w:val="008353A6"/>
    <w:rsid w:val="00835454"/>
    <w:rsid w:val="00835522"/>
    <w:rsid w:val="0083571F"/>
    <w:rsid w:val="008357F4"/>
    <w:rsid w:val="00835840"/>
    <w:rsid w:val="00835AC9"/>
    <w:rsid w:val="00835CB4"/>
    <w:rsid w:val="00835DDB"/>
    <w:rsid w:val="00835DFF"/>
    <w:rsid w:val="00835E5E"/>
    <w:rsid w:val="00835E77"/>
    <w:rsid w:val="00835E99"/>
    <w:rsid w:val="0083613F"/>
    <w:rsid w:val="00836150"/>
    <w:rsid w:val="00836428"/>
    <w:rsid w:val="0083669C"/>
    <w:rsid w:val="008366A8"/>
    <w:rsid w:val="00836EE3"/>
    <w:rsid w:val="008370B8"/>
    <w:rsid w:val="008373C2"/>
    <w:rsid w:val="00837472"/>
    <w:rsid w:val="0083750A"/>
    <w:rsid w:val="00837661"/>
    <w:rsid w:val="008377CD"/>
    <w:rsid w:val="0083780F"/>
    <w:rsid w:val="00837866"/>
    <w:rsid w:val="008378BA"/>
    <w:rsid w:val="00837CF4"/>
    <w:rsid w:val="00837E9F"/>
    <w:rsid w:val="00840007"/>
    <w:rsid w:val="0084010C"/>
    <w:rsid w:val="008406B9"/>
    <w:rsid w:val="0084081E"/>
    <w:rsid w:val="00840893"/>
    <w:rsid w:val="0084092F"/>
    <w:rsid w:val="00840CA2"/>
    <w:rsid w:val="00840D98"/>
    <w:rsid w:val="00840DB6"/>
    <w:rsid w:val="00840DCC"/>
    <w:rsid w:val="00841009"/>
    <w:rsid w:val="00841021"/>
    <w:rsid w:val="008410E2"/>
    <w:rsid w:val="008411D8"/>
    <w:rsid w:val="00841219"/>
    <w:rsid w:val="00841275"/>
    <w:rsid w:val="00841322"/>
    <w:rsid w:val="00841476"/>
    <w:rsid w:val="008414DF"/>
    <w:rsid w:val="0084153F"/>
    <w:rsid w:val="008415AA"/>
    <w:rsid w:val="00841742"/>
    <w:rsid w:val="0084180E"/>
    <w:rsid w:val="008418CF"/>
    <w:rsid w:val="0084190A"/>
    <w:rsid w:val="008419FC"/>
    <w:rsid w:val="00841B2F"/>
    <w:rsid w:val="00841BA2"/>
    <w:rsid w:val="00841D46"/>
    <w:rsid w:val="00841D92"/>
    <w:rsid w:val="0084234A"/>
    <w:rsid w:val="008424DE"/>
    <w:rsid w:val="008425DD"/>
    <w:rsid w:val="008427A7"/>
    <w:rsid w:val="00842A6A"/>
    <w:rsid w:val="00842A85"/>
    <w:rsid w:val="00842AE1"/>
    <w:rsid w:val="00842DD2"/>
    <w:rsid w:val="00842E40"/>
    <w:rsid w:val="00843156"/>
    <w:rsid w:val="00843349"/>
    <w:rsid w:val="008433E9"/>
    <w:rsid w:val="008434FF"/>
    <w:rsid w:val="008436D7"/>
    <w:rsid w:val="0084374D"/>
    <w:rsid w:val="008437B4"/>
    <w:rsid w:val="008438FC"/>
    <w:rsid w:val="00843905"/>
    <w:rsid w:val="008439F3"/>
    <w:rsid w:val="00843A36"/>
    <w:rsid w:val="00843B4A"/>
    <w:rsid w:val="00843B66"/>
    <w:rsid w:val="00843B8D"/>
    <w:rsid w:val="00843D61"/>
    <w:rsid w:val="00843DF1"/>
    <w:rsid w:val="00843EC6"/>
    <w:rsid w:val="00843F7F"/>
    <w:rsid w:val="00843FDC"/>
    <w:rsid w:val="0084403E"/>
    <w:rsid w:val="00844229"/>
    <w:rsid w:val="00844244"/>
    <w:rsid w:val="008442E0"/>
    <w:rsid w:val="00844724"/>
    <w:rsid w:val="0084472F"/>
    <w:rsid w:val="0084480A"/>
    <w:rsid w:val="00844885"/>
    <w:rsid w:val="00844D0F"/>
    <w:rsid w:val="00844E83"/>
    <w:rsid w:val="00844E88"/>
    <w:rsid w:val="00844F5F"/>
    <w:rsid w:val="0084536E"/>
    <w:rsid w:val="00845613"/>
    <w:rsid w:val="008457F2"/>
    <w:rsid w:val="0084582E"/>
    <w:rsid w:val="008459CA"/>
    <w:rsid w:val="00845C8E"/>
    <w:rsid w:val="00845E72"/>
    <w:rsid w:val="0084612C"/>
    <w:rsid w:val="008462E0"/>
    <w:rsid w:val="008465DF"/>
    <w:rsid w:val="0084669E"/>
    <w:rsid w:val="008466B1"/>
    <w:rsid w:val="00846B87"/>
    <w:rsid w:val="00847067"/>
    <w:rsid w:val="00847261"/>
    <w:rsid w:val="0084727B"/>
    <w:rsid w:val="0084736E"/>
    <w:rsid w:val="00847387"/>
    <w:rsid w:val="008474B6"/>
    <w:rsid w:val="008476B9"/>
    <w:rsid w:val="0084778D"/>
    <w:rsid w:val="008477CD"/>
    <w:rsid w:val="0084798A"/>
    <w:rsid w:val="00847B5A"/>
    <w:rsid w:val="00847CD1"/>
    <w:rsid w:val="00847E65"/>
    <w:rsid w:val="0085008B"/>
    <w:rsid w:val="008500C4"/>
    <w:rsid w:val="008501F7"/>
    <w:rsid w:val="0085068D"/>
    <w:rsid w:val="00850723"/>
    <w:rsid w:val="008509D9"/>
    <w:rsid w:val="00850B29"/>
    <w:rsid w:val="00850B57"/>
    <w:rsid w:val="00850B87"/>
    <w:rsid w:val="00850CDD"/>
    <w:rsid w:val="00850DD0"/>
    <w:rsid w:val="00850EDB"/>
    <w:rsid w:val="00851350"/>
    <w:rsid w:val="0085175A"/>
    <w:rsid w:val="008518D0"/>
    <w:rsid w:val="00851955"/>
    <w:rsid w:val="008519E9"/>
    <w:rsid w:val="00851ACF"/>
    <w:rsid w:val="00851B48"/>
    <w:rsid w:val="00851CB7"/>
    <w:rsid w:val="00851CF1"/>
    <w:rsid w:val="00851DF1"/>
    <w:rsid w:val="0085213C"/>
    <w:rsid w:val="00852221"/>
    <w:rsid w:val="008524ED"/>
    <w:rsid w:val="0085264E"/>
    <w:rsid w:val="008526AD"/>
    <w:rsid w:val="00852757"/>
    <w:rsid w:val="008527BE"/>
    <w:rsid w:val="008528E4"/>
    <w:rsid w:val="008528E6"/>
    <w:rsid w:val="0085291B"/>
    <w:rsid w:val="00852920"/>
    <w:rsid w:val="00852CFA"/>
    <w:rsid w:val="0085311D"/>
    <w:rsid w:val="00853352"/>
    <w:rsid w:val="00853358"/>
    <w:rsid w:val="00853487"/>
    <w:rsid w:val="0085349E"/>
    <w:rsid w:val="00853900"/>
    <w:rsid w:val="00854112"/>
    <w:rsid w:val="008542B5"/>
    <w:rsid w:val="0085441D"/>
    <w:rsid w:val="008544BD"/>
    <w:rsid w:val="008544D4"/>
    <w:rsid w:val="00854513"/>
    <w:rsid w:val="0085454B"/>
    <w:rsid w:val="008545DD"/>
    <w:rsid w:val="0085476A"/>
    <w:rsid w:val="00854882"/>
    <w:rsid w:val="00854C52"/>
    <w:rsid w:val="00854CBD"/>
    <w:rsid w:val="00854DEB"/>
    <w:rsid w:val="00854E3D"/>
    <w:rsid w:val="00854E53"/>
    <w:rsid w:val="00854ECE"/>
    <w:rsid w:val="00854FAE"/>
    <w:rsid w:val="00855336"/>
    <w:rsid w:val="008553BB"/>
    <w:rsid w:val="008553F4"/>
    <w:rsid w:val="0085544D"/>
    <w:rsid w:val="00855476"/>
    <w:rsid w:val="008554B9"/>
    <w:rsid w:val="008554F9"/>
    <w:rsid w:val="008558EC"/>
    <w:rsid w:val="00855967"/>
    <w:rsid w:val="00855AFB"/>
    <w:rsid w:val="00855E42"/>
    <w:rsid w:val="00856029"/>
    <w:rsid w:val="00856176"/>
    <w:rsid w:val="0085622F"/>
    <w:rsid w:val="00856349"/>
    <w:rsid w:val="008564ED"/>
    <w:rsid w:val="008568CF"/>
    <w:rsid w:val="00856B56"/>
    <w:rsid w:val="00856F01"/>
    <w:rsid w:val="00856F3E"/>
    <w:rsid w:val="00856F68"/>
    <w:rsid w:val="00856FC1"/>
    <w:rsid w:val="00857093"/>
    <w:rsid w:val="008570CF"/>
    <w:rsid w:val="00857506"/>
    <w:rsid w:val="0085757F"/>
    <w:rsid w:val="008579E6"/>
    <w:rsid w:val="00857C85"/>
    <w:rsid w:val="00857E1B"/>
    <w:rsid w:val="00857F94"/>
    <w:rsid w:val="00860111"/>
    <w:rsid w:val="00860282"/>
    <w:rsid w:val="008602C2"/>
    <w:rsid w:val="00860302"/>
    <w:rsid w:val="00860377"/>
    <w:rsid w:val="008603C2"/>
    <w:rsid w:val="0086040D"/>
    <w:rsid w:val="00860502"/>
    <w:rsid w:val="008605AA"/>
    <w:rsid w:val="0086072D"/>
    <w:rsid w:val="0086078B"/>
    <w:rsid w:val="0086085D"/>
    <w:rsid w:val="0086088D"/>
    <w:rsid w:val="008609E3"/>
    <w:rsid w:val="00860A13"/>
    <w:rsid w:val="00860A1F"/>
    <w:rsid w:val="00860B46"/>
    <w:rsid w:val="00861069"/>
    <w:rsid w:val="00861082"/>
    <w:rsid w:val="0086158E"/>
    <w:rsid w:val="0086182D"/>
    <w:rsid w:val="00861838"/>
    <w:rsid w:val="008619A4"/>
    <w:rsid w:val="00861A25"/>
    <w:rsid w:val="00861BCA"/>
    <w:rsid w:val="00861C54"/>
    <w:rsid w:val="00861DA4"/>
    <w:rsid w:val="00861F72"/>
    <w:rsid w:val="008621BA"/>
    <w:rsid w:val="008621FA"/>
    <w:rsid w:val="00862243"/>
    <w:rsid w:val="00862353"/>
    <w:rsid w:val="00862399"/>
    <w:rsid w:val="00862547"/>
    <w:rsid w:val="008626ED"/>
    <w:rsid w:val="008627FB"/>
    <w:rsid w:val="0086288A"/>
    <w:rsid w:val="00862A38"/>
    <w:rsid w:val="00862B61"/>
    <w:rsid w:val="00862C46"/>
    <w:rsid w:val="00862CF5"/>
    <w:rsid w:val="00862DDE"/>
    <w:rsid w:val="00862F1F"/>
    <w:rsid w:val="00862F8E"/>
    <w:rsid w:val="00862FC4"/>
    <w:rsid w:val="0086322C"/>
    <w:rsid w:val="0086325C"/>
    <w:rsid w:val="00863710"/>
    <w:rsid w:val="00863905"/>
    <w:rsid w:val="00863A09"/>
    <w:rsid w:val="00863A72"/>
    <w:rsid w:val="00863BCD"/>
    <w:rsid w:val="00863C33"/>
    <w:rsid w:val="00863D21"/>
    <w:rsid w:val="00863DFC"/>
    <w:rsid w:val="00863E06"/>
    <w:rsid w:val="00864239"/>
    <w:rsid w:val="008643AA"/>
    <w:rsid w:val="008644B4"/>
    <w:rsid w:val="008645CD"/>
    <w:rsid w:val="008649C1"/>
    <w:rsid w:val="00864A2B"/>
    <w:rsid w:val="00864ADD"/>
    <w:rsid w:val="00864C61"/>
    <w:rsid w:val="00864C89"/>
    <w:rsid w:val="00864CA2"/>
    <w:rsid w:val="00864CA9"/>
    <w:rsid w:val="00864DDB"/>
    <w:rsid w:val="00864E31"/>
    <w:rsid w:val="00864E3E"/>
    <w:rsid w:val="00864EF4"/>
    <w:rsid w:val="00864FD7"/>
    <w:rsid w:val="00865170"/>
    <w:rsid w:val="00865307"/>
    <w:rsid w:val="00865875"/>
    <w:rsid w:val="0086589F"/>
    <w:rsid w:val="00865A10"/>
    <w:rsid w:val="00865A49"/>
    <w:rsid w:val="00865B27"/>
    <w:rsid w:val="00865BA8"/>
    <w:rsid w:val="00866038"/>
    <w:rsid w:val="008660DC"/>
    <w:rsid w:val="00866145"/>
    <w:rsid w:val="008661BE"/>
    <w:rsid w:val="0086627A"/>
    <w:rsid w:val="00866560"/>
    <w:rsid w:val="00866565"/>
    <w:rsid w:val="008665B9"/>
    <w:rsid w:val="008667ED"/>
    <w:rsid w:val="00866AC0"/>
    <w:rsid w:val="00866B25"/>
    <w:rsid w:val="00866B88"/>
    <w:rsid w:val="00866C75"/>
    <w:rsid w:val="00866D01"/>
    <w:rsid w:val="00867402"/>
    <w:rsid w:val="008674CB"/>
    <w:rsid w:val="00867724"/>
    <w:rsid w:val="0086783A"/>
    <w:rsid w:val="00867CCA"/>
    <w:rsid w:val="00867F41"/>
    <w:rsid w:val="0087025E"/>
    <w:rsid w:val="00870768"/>
    <w:rsid w:val="0087091F"/>
    <w:rsid w:val="00870B8E"/>
    <w:rsid w:val="00870DC2"/>
    <w:rsid w:val="00870E83"/>
    <w:rsid w:val="00870F79"/>
    <w:rsid w:val="00871076"/>
    <w:rsid w:val="008712E6"/>
    <w:rsid w:val="00871358"/>
    <w:rsid w:val="00871375"/>
    <w:rsid w:val="00871519"/>
    <w:rsid w:val="00871781"/>
    <w:rsid w:val="00871821"/>
    <w:rsid w:val="008718B1"/>
    <w:rsid w:val="0087191E"/>
    <w:rsid w:val="00871994"/>
    <w:rsid w:val="00871A2E"/>
    <w:rsid w:val="00871A81"/>
    <w:rsid w:val="00871AAD"/>
    <w:rsid w:val="00871C86"/>
    <w:rsid w:val="00871E5E"/>
    <w:rsid w:val="00871F21"/>
    <w:rsid w:val="00871F9B"/>
    <w:rsid w:val="00872116"/>
    <w:rsid w:val="00872222"/>
    <w:rsid w:val="008722FE"/>
    <w:rsid w:val="00872357"/>
    <w:rsid w:val="0087241F"/>
    <w:rsid w:val="00872454"/>
    <w:rsid w:val="00872557"/>
    <w:rsid w:val="0087259D"/>
    <w:rsid w:val="00872810"/>
    <w:rsid w:val="00872A2F"/>
    <w:rsid w:val="00872BC8"/>
    <w:rsid w:val="00872C32"/>
    <w:rsid w:val="00872E4D"/>
    <w:rsid w:val="00872F8B"/>
    <w:rsid w:val="00873093"/>
    <w:rsid w:val="008730F3"/>
    <w:rsid w:val="0087339C"/>
    <w:rsid w:val="00873548"/>
    <w:rsid w:val="00873668"/>
    <w:rsid w:val="00873669"/>
    <w:rsid w:val="00873779"/>
    <w:rsid w:val="008737A4"/>
    <w:rsid w:val="00873921"/>
    <w:rsid w:val="00873AD0"/>
    <w:rsid w:val="00873B35"/>
    <w:rsid w:val="00873D70"/>
    <w:rsid w:val="00873FDB"/>
    <w:rsid w:val="008740C3"/>
    <w:rsid w:val="008740C9"/>
    <w:rsid w:val="00874107"/>
    <w:rsid w:val="0087454A"/>
    <w:rsid w:val="008746CC"/>
    <w:rsid w:val="008747A4"/>
    <w:rsid w:val="008747E9"/>
    <w:rsid w:val="00874B51"/>
    <w:rsid w:val="00874B54"/>
    <w:rsid w:val="00874D5C"/>
    <w:rsid w:val="00874DC6"/>
    <w:rsid w:val="00874F92"/>
    <w:rsid w:val="0087518E"/>
    <w:rsid w:val="00875203"/>
    <w:rsid w:val="0087536C"/>
    <w:rsid w:val="00875633"/>
    <w:rsid w:val="008756F4"/>
    <w:rsid w:val="008758AD"/>
    <w:rsid w:val="00875940"/>
    <w:rsid w:val="00875A14"/>
    <w:rsid w:val="00875A1D"/>
    <w:rsid w:val="00875A7B"/>
    <w:rsid w:val="00875AD0"/>
    <w:rsid w:val="00875DDB"/>
    <w:rsid w:val="00876037"/>
    <w:rsid w:val="0087640B"/>
    <w:rsid w:val="00876490"/>
    <w:rsid w:val="0087663D"/>
    <w:rsid w:val="008767A2"/>
    <w:rsid w:val="008767A6"/>
    <w:rsid w:val="008767E8"/>
    <w:rsid w:val="00876B98"/>
    <w:rsid w:val="00876DE8"/>
    <w:rsid w:val="00876E55"/>
    <w:rsid w:val="00876F13"/>
    <w:rsid w:val="00877170"/>
    <w:rsid w:val="00877179"/>
    <w:rsid w:val="008773B1"/>
    <w:rsid w:val="00877445"/>
    <w:rsid w:val="0087760A"/>
    <w:rsid w:val="008777B2"/>
    <w:rsid w:val="00877900"/>
    <w:rsid w:val="00877A0A"/>
    <w:rsid w:val="00877A14"/>
    <w:rsid w:val="00877AF9"/>
    <w:rsid w:val="00877D87"/>
    <w:rsid w:val="00877F2A"/>
    <w:rsid w:val="0088084A"/>
    <w:rsid w:val="0088084F"/>
    <w:rsid w:val="00880A05"/>
    <w:rsid w:val="00880C19"/>
    <w:rsid w:val="00880C87"/>
    <w:rsid w:val="00880D59"/>
    <w:rsid w:val="00880DBD"/>
    <w:rsid w:val="00880E1C"/>
    <w:rsid w:val="00881007"/>
    <w:rsid w:val="008810AF"/>
    <w:rsid w:val="008810BB"/>
    <w:rsid w:val="00881161"/>
    <w:rsid w:val="008811AE"/>
    <w:rsid w:val="00881376"/>
    <w:rsid w:val="008814FC"/>
    <w:rsid w:val="00881568"/>
    <w:rsid w:val="00881653"/>
    <w:rsid w:val="0088174D"/>
    <w:rsid w:val="0088186B"/>
    <w:rsid w:val="00881886"/>
    <w:rsid w:val="00881908"/>
    <w:rsid w:val="00881A31"/>
    <w:rsid w:val="00881C53"/>
    <w:rsid w:val="00881DFB"/>
    <w:rsid w:val="00881E4C"/>
    <w:rsid w:val="00881EC4"/>
    <w:rsid w:val="00882025"/>
    <w:rsid w:val="00882038"/>
    <w:rsid w:val="008821D8"/>
    <w:rsid w:val="00882274"/>
    <w:rsid w:val="00882333"/>
    <w:rsid w:val="008825CD"/>
    <w:rsid w:val="00882646"/>
    <w:rsid w:val="00882804"/>
    <w:rsid w:val="008828CC"/>
    <w:rsid w:val="00882A30"/>
    <w:rsid w:val="00882A6B"/>
    <w:rsid w:val="00882AF4"/>
    <w:rsid w:val="00882BEA"/>
    <w:rsid w:val="00882E9E"/>
    <w:rsid w:val="00883071"/>
    <w:rsid w:val="008832DD"/>
    <w:rsid w:val="008833AB"/>
    <w:rsid w:val="00883491"/>
    <w:rsid w:val="00883494"/>
    <w:rsid w:val="00883544"/>
    <w:rsid w:val="008835A0"/>
    <w:rsid w:val="0088364D"/>
    <w:rsid w:val="00883C1C"/>
    <w:rsid w:val="00883F57"/>
    <w:rsid w:val="008840A9"/>
    <w:rsid w:val="00884260"/>
    <w:rsid w:val="00884306"/>
    <w:rsid w:val="00884379"/>
    <w:rsid w:val="00884549"/>
    <w:rsid w:val="00884624"/>
    <w:rsid w:val="0088480C"/>
    <w:rsid w:val="00884951"/>
    <w:rsid w:val="008849DF"/>
    <w:rsid w:val="00884B11"/>
    <w:rsid w:val="00884D7F"/>
    <w:rsid w:val="00884EEA"/>
    <w:rsid w:val="00884FF6"/>
    <w:rsid w:val="0088502B"/>
    <w:rsid w:val="0088509C"/>
    <w:rsid w:val="0088527E"/>
    <w:rsid w:val="00885325"/>
    <w:rsid w:val="008855E5"/>
    <w:rsid w:val="0088560C"/>
    <w:rsid w:val="00885771"/>
    <w:rsid w:val="008857F8"/>
    <w:rsid w:val="0088580B"/>
    <w:rsid w:val="00885B12"/>
    <w:rsid w:val="00885B54"/>
    <w:rsid w:val="00885BF0"/>
    <w:rsid w:val="00885C43"/>
    <w:rsid w:val="00885D5F"/>
    <w:rsid w:val="00885E01"/>
    <w:rsid w:val="008860B3"/>
    <w:rsid w:val="00886204"/>
    <w:rsid w:val="00886213"/>
    <w:rsid w:val="0088626C"/>
    <w:rsid w:val="0088629B"/>
    <w:rsid w:val="0088652F"/>
    <w:rsid w:val="008868E2"/>
    <w:rsid w:val="008869FF"/>
    <w:rsid w:val="00886A61"/>
    <w:rsid w:val="00886F01"/>
    <w:rsid w:val="00886F51"/>
    <w:rsid w:val="0088706F"/>
    <w:rsid w:val="00887126"/>
    <w:rsid w:val="00887549"/>
    <w:rsid w:val="008876B8"/>
    <w:rsid w:val="00887935"/>
    <w:rsid w:val="0088796A"/>
    <w:rsid w:val="008879CA"/>
    <w:rsid w:val="00887B3D"/>
    <w:rsid w:val="00887B5D"/>
    <w:rsid w:val="00887F4B"/>
    <w:rsid w:val="008900C8"/>
    <w:rsid w:val="00890281"/>
    <w:rsid w:val="00890457"/>
    <w:rsid w:val="00890711"/>
    <w:rsid w:val="00890718"/>
    <w:rsid w:val="00890950"/>
    <w:rsid w:val="00890A47"/>
    <w:rsid w:val="00890B90"/>
    <w:rsid w:val="00890BB4"/>
    <w:rsid w:val="00891168"/>
    <w:rsid w:val="008913D3"/>
    <w:rsid w:val="00891444"/>
    <w:rsid w:val="008914F1"/>
    <w:rsid w:val="008918DD"/>
    <w:rsid w:val="00891A03"/>
    <w:rsid w:val="00891DFD"/>
    <w:rsid w:val="00891E96"/>
    <w:rsid w:val="00892054"/>
    <w:rsid w:val="008921D2"/>
    <w:rsid w:val="0089222C"/>
    <w:rsid w:val="0089255D"/>
    <w:rsid w:val="00892615"/>
    <w:rsid w:val="008926E1"/>
    <w:rsid w:val="00892716"/>
    <w:rsid w:val="0089297A"/>
    <w:rsid w:val="00892A69"/>
    <w:rsid w:val="00892AB6"/>
    <w:rsid w:val="00892CC2"/>
    <w:rsid w:val="00892D05"/>
    <w:rsid w:val="00892DBA"/>
    <w:rsid w:val="00892E98"/>
    <w:rsid w:val="00892FBD"/>
    <w:rsid w:val="00892FE3"/>
    <w:rsid w:val="0089325B"/>
    <w:rsid w:val="00893728"/>
    <w:rsid w:val="0089398F"/>
    <w:rsid w:val="008939AE"/>
    <w:rsid w:val="008939B2"/>
    <w:rsid w:val="00893C05"/>
    <w:rsid w:val="00893CDB"/>
    <w:rsid w:val="00893E7E"/>
    <w:rsid w:val="00893E88"/>
    <w:rsid w:val="00893EF9"/>
    <w:rsid w:val="00893F00"/>
    <w:rsid w:val="00894398"/>
    <w:rsid w:val="008943ED"/>
    <w:rsid w:val="00894495"/>
    <w:rsid w:val="008944BB"/>
    <w:rsid w:val="008945B7"/>
    <w:rsid w:val="0089463A"/>
    <w:rsid w:val="00894C4E"/>
    <w:rsid w:val="00894CC3"/>
    <w:rsid w:val="00895183"/>
    <w:rsid w:val="0089520A"/>
    <w:rsid w:val="008952B4"/>
    <w:rsid w:val="00895423"/>
    <w:rsid w:val="008954CD"/>
    <w:rsid w:val="0089568A"/>
    <w:rsid w:val="008956A2"/>
    <w:rsid w:val="008956CF"/>
    <w:rsid w:val="00895739"/>
    <w:rsid w:val="00895904"/>
    <w:rsid w:val="00895BC5"/>
    <w:rsid w:val="00895DE1"/>
    <w:rsid w:val="00895EAB"/>
    <w:rsid w:val="0089619A"/>
    <w:rsid w:val="008966DB"/>
    <w:rsid w:val="008967DC"/>
    <w:rsid w:val="00896831"/>
    <w:rsid w:val="0089696C"/>
    <w:rsid w:val="00896B38"/>
    <w:rsid w:val="00896D3F"/>
    <w:rsid w:val="00896EDD"/>
    <w:rsid w:val="00897178"/>
    <w:rsid w:val="00897234"/>
    <w:rsid w:val="00897260"/>
    <w:rsid w:val="00897547"/>
    <w:rsid w:val="0089756A"/>
    <w:rsid w:val="008975A6"/>
    <w:rsid w:val="00897695"/>
    <w:rsid w:val="008977FD"/>
    <w:rsid w:val="00897850"/>
    <w:rsid w:val="008978DB"/>
    <w:rsid w:val="00897A62"/>
    <w:rsid w:val="00897AA8"/>
    <w:rsid w:val="00897AF3"/>
    <w:rsid w:val="00897B44"/>
    <w:rsid w:val="00897D51"/>
    <w:rsid w:val="00897E06"/>
    <w:rsid w:val="00897E27"/>
    <w:rsid w:val="00897EC7"/>
    <w:rsid w:val="00897EE6"/>
    <w:rsid w:val="008A000A"/>
    <w:rsid w:val="008A0041"/>
    <w:rsid w:val="008A007B"/>
    <w:rsid w:val="008A0113"/>
    <w:rsid w:val="008A02B0"/>
    <w:rsid w:val="008A04DE"/>
    <w:rsid w:val="008A0586"/>
    <w:rsid w:val="008A06B7"/>
    <w:rsid w:val="008A0782"/>
    <w:rsid w:val="008A079C"/>
    <w:rsid w:val="008A07DF"/>
    <w:rsid w:val="008A07F6"/>
    <w:rsid w:val="008A0A36"/>
    <w:rsid w:val="008A0F1D"/>
    <w:rsid w:val="008A1234"/>
    <w:rsid w:val="008A1360"/>
    <w:rsid w:val="008A175B"/>
    <w:rsid w:val="008A187B"/>
    <w:rsid w:val="008A1901"/>
    <w:rsid w:val="008A1B05"/>
    <w:rsid w:val="008A1B1E"/>
    <w:rsid w:val="008A1B8C"/>
    <w:rsid w:val="008A1C66"/>
    <w:rsid w:val="008A1D3F"/>
    <w:rsid w:val="008A1D66"/>
    <w:rsid w:val="008A1EFA"/>
    <w:rsid w:val="008A1F90"/>
    <w:rsid w:val="008A2174"/>
    <w:rsid w:val="008A2597"/>
    <w:rsid w:val="008A25EA"/>
    <w:rsid w:val="008A263F"/>
    <w:rsid w:val="008A267D"/>
    <w:rsid w:val="008A2692"/>
    <w:rsid w:val="008A26FC"/>
    <w:rsid w:val="008A29EC"/>
    <w:rsid w:val="008A2A79"/>
    <w:rsid w:val="008A2B5D"/>
    <w:rsid w:val="008A2C04"/>
    <w:rsid w:val="008A2E72"/>
    <w:rsid w:val="008A30A6"/>
    <w:rsid w:val="008A31BA"/>
    <w:rsid w:val="008A322B"/>
    <w:rsid w:val="008A3AFD"/>
    <w:rsid w:val="008A3B1F"/>
    <w:rsid w:val="008A3BD3"/>
    <w:rsid w:val="008A3E12"/>
    <w:rsid w:val="008A3E4C"/>
    <w:rsid w:val="008A3E4F"/>
    <w:rsid w:val="008A3E57"/>
    <w:rsid w:val="008A3F05"/>
    <w:rsid w:val="008A4046"/>
    <w:rsid w:val="008A4271"/>
    <w:rsid w:val="008A440E"/>
    <w:rsid w:val="008A453A"/>
    <w:rsid w:val="008A4769"/>
    <w:rsid w:val="008A4785"/>
    <w:rsid w:val="008A499C"/>
    <w:rsid w:val="008A4B8C"/>
    <w:rsid w:val="008A4BE5"/>
    <w:rsid w:val="008A4C24"/>
    <w:rsid w:val="008A4CDF"/>
    <w:rsid w:val="008A4E19"/>
    <w:rsid w:val="008A4F65"/>
    <w:rsid w:val="008A56C5"/>
    <w:rsid w:val="008A5825"/>
    <w:rsid w:val="008A58A1"/>
    <w:rsid w:val="008A5A5F"/>
    <w:rsid w:val="008A5A8A"/>
    <w:rsid w:val="008A5D76"/>
    <w:rsid w:val="008A603E"/>
    <w:rsid w:val="008A60D1"/>
    <w:rsid w:val="008A6131"/>
    <w:rsid w:val="008A642F"/>
    <w:rsid w:val="008A64C9"/>
    <w:rsid w:val="008A6543"/>
    <w:rsid w:val="008A65E3"/>
    <w:rsid w:val="008A669E"/>
    <w:rsid w:val="008A6718"/>
    <w:rsid w:val="008A69BB"/>
    <w:rsid w:val="008A6AD5"/>
    <w:rsid w:val="008A6C49"/>
    <w:rsid w:val="008A6D17"/>
    <w:rsid w:val="008A6DB3"/>
    <w:rsid w:val="008A6E5C"/>
    <w:rsid w:val="008A7083"/>
    <w:rsid w:val="008A71E3"/>
    <w:rsid w:val="008A7219"/>
    <w:rsid w:val="008A73B4"/>
    <w:rsid w:val="008A73C3"/>
    <w:rsid w:val="008A74F2"/>
    <w:rsid w:val="008A74FB"/>
    <w:rsid w:val="008A759C"/>
    <w:rsid w:val="008A762D"/>
    <w:rsid w:val="008A768F"/>
    <w:rsid w:val="008A77BC"/>
    <w:rsid w:val="008A782A"/>
    <w:rsid w:val="008A7DC8"/>
    <w:rsid w:val="008B005B"/>
    <w:rsid w:val="008B015E"/>
    <w:rsid w:val="008B026A"/>
    <w:rsid w:val="008B0329"/>
    <w:rsid w:val="008B0360"/>
    <w:rsid w:val="008B053A"/>
    <w:rsid w:val="008B05E8"/>
    <w:rsid w:val="008B0732"/>
    <w:rsid w:val="008B073A"/>
    <w:rsid w:val="008B0763"/>
    <w:rsid w:val="008B089B"/>
    <w:rsid w:val="008B08CF"/>
    <w:rsid w:val="008B08E5"/>
    <w:rsid w:val="008B0904"/>
    <w:rsid w:val="008B0B83"/>
    <w:rsid w:val="008B0C93"/>
    <w:rsid w:val="008B0EC2"/>
    <w:rsid w:val="008B0ECE"/>
    <w:rsid w:val="008B0F34"/>
    <w:rsid w:val="008B104B"/>
    <w:rsid w:val="008B10F4"/>
    <w:rsid w:val="008B11EB"/>
    <w:rsid w:val="008B12DB"/>
    <w:rsid w:val="008B131C"/>
    <w:rsid w:val="008B14F9"/>
    <w:rsid w:val="008B15DE"/>
    <w:rsid w:val="008B15E5"/>
    <w:rsid w:val="008B17C9"/>
    <w:rsid w:val="008B186D"/>
    <w:rsid w:val="008B1995"/>
    <w:rsid w:val="008B1C4A"/>
    <w:rsid w:val="008B1D8C"/>
    <w:rsid w:val="008B1E6F"/>
    <w:rsid w:val="008B1EC9"/>
    <w:rsid w:val="008B2066"/>
    <w:rsid w:val="008B2696"/>
    <w:rsid w:val="008B28E1"/>
    <w:rsid w:val="008B295C"/>
    <w:rsid w:val="008B2A7B"/>
    <w:rsid w:val="008B2B74"/>
    <w:rsid w:val="008B2D71"/>
    <w:rsid w:val="008B2F8B"/>
    <w:rsid w:val="008B31D1"/>
    <w:rsid w:val="008B3871"/>
    <w:rsid w:val="008B39F7"/>
    <w:rsid w:val="008B3A23"/>
    <w:rsid w:val="008B3AEA"/>
    <w:rsid w:val="008B3C32"/>
    <w:rsid w:val="008B3DAA"/>
    <w:rsid w:val="008B3DD8"/>
    <w:rsid w:val="008B3E2A"/>
    <w:rsid w:val="008B3F5D"/>
    <w:rsid w:val="008B3F6A"/>
    <w:rsid w:val="008B40E9"/>
    <w:rsid w:val="008B4531"/>
    <w:rsid w:val="008B45E2"/>
    <w:rsid w:val="008B4784"/>
    <w:rsid w:val="008B4874"/>
    <w:rsid w:val="008B495E"/>
    <w:rsid w:val="008B49C3"/>
    <w:rsid w:val="008B4B56"/>
    <w:rsid w:val="008B4B8D"/>
    <w:rsid w:val="008B4BE9"/>
    <w:rsid w:val="008B4BF3"/>
    <w:rsid w:val="008B4BFA"/>
    <w:rsid w:val="008B4D85"/>
    <w:rsid w:val="008B5195"/>
    <w:rsid w:val="008B519E"/>
    <w:rsid w:val="008B52D8"/>
    <w:rsid w:val="008B52EE"/>
    <w:rsid w:val="008B5363"/>
    <w:rsid w:val="008B5657"/>
    <w:rsid w:val="008B57DC"/>
    <w:rsid w:val="008B57F5"/>
    <w:rsid w:val="008B58FA"/>
    <w:rsid w:val="008B592A"/>
    <w:rsid w:val="008B5A40"/>
    <w:rsid w:val="008B5D7B"/>
    <w:rsid w:val="008B5E3F"/>
    <w:rsid w:val="008B5F55"/>
    <w:rsid w:val="008B60AB"/>
    <w:rsid w:val="008B60CD"/>
    <w:rsid w:val="008B61BA"/>
    <w:rsid w:val="008B656E"/>
    <w:rsid w:val="008B6596"/>
    <w:rsid w:val="008B65D5"/>
    <w:rsid w:val="008B6770"/>
    <w:rsid w:val="008B698E"/>
    <w:rsid w:val="008B6AA9"/>
    <w:rsid w:val="008B6D1F"/>
    <w:rsid w:val="008B6E50"/>
    <w:rsid w:val="008B70D7"/>
    <w:rsid w:val="008B7150"/>
    <w:rsid w:val="008B71BD"/>
    <w:rsid w:val="008B735F"/>
    <w:rsid w:val="008B73CF"/>
    <w:rsid w:val="008B73FF"/>
    <w:rsid w:val="008B755F"/>
    <w:rsid w:val="008B7603"/>
    <w:rsid w:val="008B764C"/>
    <w:rsid w:val="008B7749"/>
    <w:rsid w:val="008B7AA4"/>
    <w:rsid w:val="008B7AEE"/>
    <w:rsid w:val="008B7DDD"/>
    <w:rsid w:val="008B7E7A"/>
    <w:rsid w:val="008C00E2"/>
    <w:rsid w:val="008C0117"/>
    <w:rsid w:val="008C0382"/>
    <w:rsid w:val="008C0402"/>
    <w:rsid w:val="008C0689"/>
    <w:rsid w:val="008C06D6"/>
    <w:rsid w:val="008C078E"/>
    <w:rsid w:val="008C0879"/>
    <w:rsid w:val="008C08EC"/>
    <w:rsid w:val="008C08F1"/>
    <w:rsid w:val="008C0C5B"/>
    <w:rsid w:val="008C0EDE"/>
    <w:rsid w:val="008C0FDA"/>
    <w:rsid w:val="008C10C4"/>
    <w:rsid w:val="008C10D7"/>
    <w:rsid w:val="008C1127"/>
    <w:rsid w:val="008C116D"/>
    <w:rsid w:val="008C11BD"/>
    <w:rsid w:val="008C12B9"/>
    <w:rsid w:val="008C1390"/>
    <w:rsid w:val="008C143C"/>
    <w:rsid w:val="008C1445"/>
    <w:rsid w:val="008C14D4"/>
    <w:rsid w:val="008C15B5"/>
    <w:rsid w:val="008C15ED"/>
    <w:rsid w:val="008C166B"/>
    <w:rsid w:val="008C184E"/>
    <w:rsid w:val="008C1852"/>
    <w:rsid w:val="008C18E5"/>
    <w:rsid w:val="008C1A68"/>
    <w:rsid w:val="008C1AAF"/>
    <w:rsid w:val="008C1C3C"/>
    <w:rsid w:val="008C1E27"/>
    <w:rsid w:val="008C1F02"/>
    <w:rsid w:val="008C1F76"/>
    <w:rsid w:val="008C2109"/>
    <w:rsid w:val="008C228F"/>
    <w:rsid w:val="008C2368"/>
    <w:rsid w:val="008C23AA"/>
    <w:rsid w:val="008C273D"/>
    <w:rsid w:val="008C27B0"/>
    <w:rsid w:val="008C2927"/>
    <w:rsid w:val="008C2936"/>
    <w:rsid w:val="008C2B42"/>
    <w:rsid w:val="008C2B7A"/>
    <w:rsid w:val="008C3193"/>
    <w:rsid w:val="008C31B9"/>
    <w:rsid w:val="008C31BB"/>
    <w:rsid w:val="008C32C4"/>
    <w:rsid w:val="008C32CC"/>
    <w:rsid w:val="008C343A"/>
    <w:rsid w:val="008C343B"/>
    <w:rsid w:val="008C3558"/>
    <w:rsid w:val="008C3685"/>
    <w:rsid w:val="008C3C07"/>
    <w:rsid w:val="008C3C17"/>
    <w:rsid w:val="008C3D43"/>
    <w:rsid w:val="008C3E97"/>
    <w:rsid w:val="008C3F90"/>
    <w:rsid w:val="008C4360"/>
    <w:rsid w:val="008C43B4"/>
    <w:rsid w:val="008C4651"/>
    <w:rsid w:val="008C46B7"/>
    <w:rsid w:val="008C4787"/>
    <w:rsid w:val="008C4835"/>
    <w:rsid w:val="008C4A24"/>
    <w:rsid w:val="008C4A77"/>
    <w:rsid w:val="008C4AC3"/>
    <w:rsid w:val="008C4C29"/>
    <w:rsid w:val="008C4CAB"/>
    <w:rsid w:val="008C4ED9"/>
    <w:rsid w:val="008C4EDE"/>
    <w:rsid w:val="008C4EE7"/>
    <w:rsid w:val="008C4F11"/>
    <w:rsid w:val="008C506C"/>
    <w:rsid w:val="008C5097"/>
    <w:rsid w:val="008C50B8"/>
    <w:rsid w:val="008C515A"/>
    <w:rsid w:val="008C515C"/>
    <w:rsid w:val="008C5325"/>
    <w:rsid w:val="008C5460"/>
    <w:rsid w:val="008C5563"/>
    <w:rsid w:val="008C5611"/>
    <w:rsid w:val="008C5C7C"/>
    <w:rsid w:val="008C5C92"/>
    <w:rsid w:val="008C5EFA"/>
    <w:rsid w:val="008C6076"/>
    <w:rsid w:val="008C614F"/>
    <w:rsid w:val="008C64BA"/>
    <w:rsid w:val="008C64EF"/>
    <w:rsid w:val="008C65AC"/>
    <w:rsid w:val="008C6612"/>
    <w:rsid w:val="008C6756"/>
    <w:rsid w:val="008C6890"/>
    <w:rsid w:val="008C6967"/>
    <w:rsid w:val="008C6AD5"/>
    <w:rsid w:val="008C6D1D"/>
    <w:rsid w:val="008C6D3E"/>
    <w:rsid w:val="008C6FD1"/>
    <w:rsid w:val="008C7120"/>
    <w:rsid w:val="008C7150"/>
    <w:rsid w:val="008C7260"/>
    <w:rsid w:val="008C72B8"/>
    <w:rsid w:val="008C72BA"/>
    <w:rsid w:val="008C730C"/>
    <w:rsid w:val="008C73ED"/>
    <w:rsid w:val="008C7415"/>
    <w:rsid w:val="008C743C"/>
    <w:rsid w:val="008C7592"/>
    <w:rsid w:val="008C76CE"/>
    <w:rsid w:val="008C77F7"/>
    <w:rsid w:val="008C7BFF"/>
    <w:rsid w:val="008C7DE6"/>
    <w:rsid w:val="008D0009"/>
    <w:rsid w:val="008D01D4"/>
    <w:rsid w:val="008D028A"/>
    <w:rsid w:val="008D0395"/>
    <w:rsid w:val="008D03A2"/>
    <w:rsid w:val="008D04DE"/>
    <w:rsid w:val="008D04E7"/>
    <w:rsid w:val="008D0503"/>
    <w:rsid w:val="008D055E"/>
    <w:rsid w:val="008D0567"/>
    <w:rsid w:val="008D0648"/>
    <w:rsid w:val="008D069C"/>
    <w:rsid w:val="008D0861"/>
    <w:rsid w:val="008D0867"/>
    <w:rsid w:val="008D0B5B"/>
    <w:rsid w:val="008D0BBF"/>
    <w:rsid w:val="008D0EFB"/>
    <w:rsid w:val="008D0F8A"/>
    <w:rsid w:val="008D1019"/>
    <w:rsid w:val="008D10BE"/>
    <w:rsid w:val="008D1448"/>
    <w:rsid w:val="008D1730"/>
    <w:rsid w:val="008D1781"/>
    <w:rsid w:val="008D1A0D"/>
    <w:rsid w:val="008D1ADB"/>
    <w:rsid w:val="008D1BDB"/>
    <w:rsid w:val="008D1BE0"/>
    <w:rsid w:val="008D1D7E"/>
    <w:rsid w:val="008D1E89"/>
    <w:rsid w:val="008D1F6B"/>
    <w:rsid w:val="008D2014"/>
    <w:rsid w:val="008D20D4"/>
    <w:rsid w:val="008D2252"/>
    <w:rsid w:val="008D22A0"/>
    <w:rsid w:val="008D243D"/>
    <w:rsid w:val="008D247A"/>
    <w:rsid w:val="008D25FA"/>
    <w:rsid w:val="008D2661"/>
    <w:rsid w:val="008D26B3"/>
    <w:rsid w:val="008D2DDE"/>
    <w:rsid w:val="008D2E5F"/>
    <w:rsid w:val="008D2F19"/>
    <w:rsid w:val="008D30F3"/>
    <w:rsid w:val="008D3201"/>
    <w:rsid w:val="008D32CD"/>
    <w:rsid w:val="008D32F7"/>
    <w:rsid w:val="008D3684"/>
    <w:rsid w:val="008D386F"/>
    <w:rsid w:val="008D38A3"/>
    <w:rsid w:val="008D3901"/>
    <w:rsid w:val="008D3A31"/>
    <w:rsid w:val="008D3A8A"/>
    <w:rsid w:val="008D3BFE"/>
    <w:rsid w:val="008D42AD"/>
    <w:rsid w:val="008D4374"/>
    <w:rsid w:val="008D44A2"/>
    <w:rsid w:val="008D4676"/>
    <w:rsid w:val="008D467F"/>
    <w:rsid w:val="008D46A0"/>
    <w:rsid w:val="008D47DA"/>
    <w:rsid w:val="008D49E5"/>
    <w:rsid w:val="008D49F2"/>
    <w:rsid w:val="008D4B64"/>
    <w:rsid w:val="008D4C82"/>
    <w:rsid w:val="008D4C86"/>
    <w:rsid w:val="008D4CC1"/>
    <w:rsid w:val="008D4E77"/>
    <w:rsid w:val="008D532E"/>
    <w:rsid w:val="008D56AF"/>
    <w:rsid w:val="008D57A6"/>
    <w:rsid w:val="008D584D"/>
    <w:rsid w:val="008D5A1E"/>
    <w:rsid w:val="008D5CD9"/>
    <w:rsid w:val="008D5E66"/>
    <w:rsid w:val="008D5ED9"/>
    <w:rsid w:val="008D5FB0"/>
    <w:rsid w:val="008D60C2"/>
    <w:rsid w:val="008D62FB"/>
    <w:rsid w:val="008D65A2"/>
    <w:rsid w:val="008D661A"/>
    <w:rsid w:val="008D6627"/>
    <w:rsid w:val="008D6673"/>
    <w:rsid w:val="008D6838"/>
    <w:rsid w:val="008D68B5"/>
    <w:rsid w:val="008D6AB8"/>
    <w:rsid w:val="008D6BBB"/>
    <w:rsid w:val="008D6C81"/>
    <w:rsid w:val="008D6CAB"/>
    <w:rsid w:val="008D6FE6"/>
    <w:rsid w:val="008D706A"/>
    <w:rsid w:val="008D70E7"/>
    <w:rsid w:val="008D71A0"/>
    <w:rsid w:val="008D7224"/>
    <w:rsid w:val="008D7280"/>
    <w:rsid w:val="008D75D4"/>
    <w:rsid w:val="008D761D"/>
    <w:rsid w:val="008D7721"/>
    <w:rsid w:val="008D788F"/>
    <w:rsid w:val="008D78E1"/>
    <w:rsid w:val="008D79B3"/>
    <w:rsid w:val="008D79C1"/>
    <w:rsid w:val="008D7A38"/>
    <w:rsid w:val="008D7A98"/>
    <w:rsid w:val="008D7CBF"/>
    <w:rsid w:val="008D7D77"/>
    <w:rsid w:val="008E00C0"/>
    <w:rsid w:val="008E0259"/>
    <w:rsid w:val="008E0438"/>
    <w:rsid w:val="008E0496"/>
    <w:rsid w:val="008E056A"/>
    <w:rsid w:val="008E0600"/>
    <w:rsid w:val="008E064D"/>
    <w:rsid w:val="008E06CE"/>
    <w:rsid w:val="008E0701"/>
    <w:rsid w:val="008E0866"/>
    <w:rsid w:val="008E09D0"/>
    <w:rsid w:val="008E0B0C"/>
    <w:rsid w:val="008E0D51"/>
    <w:rsid w:val="008E0DC0"/>
    <w:rsid w:val="008E0EA1"/>
    <w:rsid w:val="008E0FBA"/>
    <w:rsid w:val="008E10E4"/>
    <w:rsid w:val="008E14DC"/>
    <w:rsid w:val="008E1587"/>
    <w:rsid w:val="008E15CC"/>
    <w:rsid w:val="008E15F2"/>
    <w:rsid w:val="008E1647"/>
    <w:rsid w:val="008E1729"/>
    <w:rsid w:val="008E1885"/>
    <w:rsid w:val="008E18ED"/>
    <w:rsid w:val="008E19C6"/>
    <w:rsid w:val="008E1CA3"/>
    <w:rsid w:val="008E1E96"/>
    <w:rsid w:val="008E1EBE"/>
    <w:rsid w:val="008E208E"/>
    <w:rsid w:val="008E217B"/>
    <w:rsid w:val="008E22C4"/>
    <w:rsid w:val="008E24BE"/>
    <w:rsid w:val="008E25CE"/>
    <w:rsid w:val="008E25E4"/>
    <w:rsid w:val="008E2860"/>
    <w:rsid w:val="008E2960"/>
    <w:rsid w:val="008E2F51"/>
    <w:rsid w:val="008E2FB3"/>
    <w:rsid w:val="008E306D"/>
    <w:rsid w:val="008E307E"/>
    <w:rsid w:val="008E3206"/>
    <w:rsid w:val="008E32DE"/>
    <w:rsid w:val="008E380F"/>
    <w:rsid w:val="008E38C0"/>
    <w:rsid w:val="008E3928"/>
    <w:rsid w:val="008E3949"/>
    <w:rsid w:val="008E3968"/>
    <w:rsid w:val="008E3C22"/>
    <w:rsid w:val="008E3EBA"/>
    <w:rsid w:val="008E4183"/>
    <w:rsid w:val="008E41C1"/>
    <w:rsid w:val="008E4202"/>
    <w:rsid w:val="008E4232"/>
    <w:rsid w:val="008E425B"/>
    <w:rsid w:val="008E42BB"/>
    <w:rsid w:val="008E42C7"/>
    <w:rsid w:val="008E43F5"/>
    <w:rsid w:val="008E4489"/>
    <w:rsid w:val="008E4706"/>
    <w:rsid w:val="008E497F"/>
    <w:rsid w:val="008E4E63"/>
    <w:rsid w:val="008E4E95"/>
    <w:rsid w:val="008E4EBE"/>
    <w:rsid w:val="008E5159"/>
    <w:rsid w:val="008E51AD"/>
    <w:rsid w:val="008E52E6"/>
    <w:rsid w:val="008E5357"/>
    <w:rsid w:val="008E5698"/>
    <w:rsid w:val="008E595B"/>
    <w:rsid w:val="008E59CF"/>
    <w:rsid w:val="008E5A81"/>
    <w:rsid w:val="008E5A8B"/>
    <w:rsid w:val="008E5B18"/>
    <w:rsid w:val="008E5B99"/>
    <w:rsid w:val="008E5E25"/>
    <w:rsid w:val="008E5FB0"/>
    <w:rsid w:val="008E6299"/>
    <w:rsid w:val="008E63DB"/>
    <w:rsid w:val="008E64CB"/>
    <w:rsid w:val="008E64FF"/>
    <w:rsid w:val="008E6785"/>
    <w:rsid w:val="008E68D4"/>
    <w:rsid w:val="008E6A07"/>
    <w:rsid w:val="008E6A87"/>
    <w:rsid w:val="008E6B77"/>
    <w:rsid w:val="008E6BBE"/>
    <w:rsid w:val="008E6BFC"/>
    <w:rsid w:val="008E6E25"/>
    <w:rsid w:val="008E6E99"/>
    <w:rsid w:val="008E6EBF"/>
    <w:rsid w:val="008E707B"/>
    <w:rsid w:val="008E73EF"/>
    <w:rsid w:val="008E74D1"/>
    <w:rsid w:val="008E75A9"/>
    <w:rsid w:val="008E75AE"/>
    <w:rsid w:val="008E75DB"/>
    <w:rsid w:val="008E76F5"/>
    <w:rsid w:val="008E794A"/>
    <w:rsid w:val="008E7A00"/>
    <w:rsid w:val="008E7B1C"/>
    <w:rsid w:val="008E7B8A"/>
    <w:rsid w:val="008F0122"/>
    <w:rsid w:val="008F0211"/>
    <w:rsid w:val="008F0265"/>
    <w:rsid w:val="008F032E"/>
    <w:rsid w:val="008F03B0"/>
    <w:rsid w:val="008F0708"/>
    <w:rsid w:val="008F0723"/>
    <w:rsid w:val="008F076B"/>
    <w:rsid w:val="008F080B"/>
    <w:rsid w:val="008F084F"/>
    <w:rsid w:val="008F088E"/>
    <w:rsid w:val="008F08EA"/>
    <w:rsid w:val="008F08FD"/>
    <w:rsid w:val="008F096B"/>
    <w:rsid w:val="008F0A25"/>
    <w:rsid w:val="008F0A40"/>
    <w:rsid w:val="008F0A52"/>
    <w:rsid w:val="008F0B49"/>
    <w:rsid w:val="008F0CBD"/>
    <w:rsid w:val="008F0CC0"/>
    <w:rsid w:val="008F0D6E"/>
    <w:rsid w:val="008F0DD4"/>
    <w:rsid w:val="008F0E91"/>
    <w:rsid w:val="008F1320"/>
    <w:rsid w:val="008F1476"/>
    <w:rsid w:val="008F14D0"/>
    <w:rsid w:val="008F1683"/>
    <w:rsid w:val="008F183B"/>
    <w:rsid w:val="008F194E"/>
    <w:rsid w:val="008F1AF5"/>
    <w:rsid w:val="008F1B85"/>
    <w:rsid w:val="008F1E31"/>
    <w:rsid w:val="008F1EC8"/>
    <w:rsid w:val="008F1F81"/>
    <w:rsid w:val="008F2095"/>
    <w:rsid w:val="008F20B7"/>
    <w:rsid w:val="008F2204"/>
    <w:rsid w:val="008F2266"/>
    <w:rsid w:val="008F2401"/>
    <w:rsid w:val="008F25D7"/>
    <w:rsid w:val="008F2AE8"/>
    <w:rsid w:val="008F2CC6"/>
    <w:rsid w:val="008F2E0A"/>
    <w:rsid w:val="008F2E15"/>
    <w:rsid w:val="008F2F89"/>
    <w:rsid w:val="008F2FEF"/>
    <w:rsid w:val="008F3178"/>
    <w:rsid w:val="008F3204"/>
    <w:rsid w:val="008F33B2"/>
    <w:rsid w:val="008F3610"/>
    <w:rsid w:val="008F3667"/>
    <w:rsid w:val="008F3792"/>
    <w:rsid w:val="008F37C1"/>
    <w:rsid w:val="008F3A90"/>
    <w:rsid w:val="008F3A9B"/>
    <w:rsid w:val="008F3B71"/>
    <w:rsid w:val="008F3B81"/>
    <w:rsid w:val="008F3DDE"/>
    <w:rsid w:val="008F3EA3"/>
    <w:rsid w:val="008F3F20"/>
    <w:rsid w:val="008F40B9"/>
    <w:rsid w:val="008F4131"/>
    <w:rsid w:val="008F4181"/>
    <w:rsid w:val="008F4249"/>
    <w:rsid w:val="008F4284"/>
    <w:rsid w:val="008F4291"/>
    <w:rsid w:val="008F43D6"/>
    <w:rsid w:val="008F4523"/>
    <w:rsid w:val="008F45E3"/>
    <w:rsid w:val="008F46B8"/>
    <w:rsid w:val="008F46D0"/>
    <w:rsid w:val="008F4818"/>
    <w:rsid w:val="008F4956"/>
    <w:rsid w:val="008F4A0D"/>
    <w:rsid w:val="008F4B31"/>
    <w:rsid w:val="008F4CCB"/>
    <w:rsid w:val="008F4D4D"/>
    <w:rsid w:val="008F4DED"/>
    <w:rsid w:val="008F4E4B"/>
    <w:rsid w:val="008F4F70"/>
    <w:rsid w:val="008F5046"/>
    <w:rsid w:val="008F52DE"/>
    <w:rsid w:val="008F5396"/>
    <w:rsid w:val="008F5432"/>
    <w:rsid w:val="008F547E"/>
    <w:rsid w:val="008F54D9"/>
    <w:rsid w:val="008F57A4"/>
    <w:rsid w:val="008F59F5"/>
    <w:rsid w:val="008F5A9D"/>
    <w:rsid w:val="008F5C76"/>
    <w:rsid w:val="008F5FC7"/>
    <w:rsid w:val="008F62A6"/>
    <w:rsid w:val="008F62FB"/>
    <w:rsid w:val="008F661A"/>
    <w:rsid w:val="008F66E2"/>
    <w:rsid w:val="008F67C9"/>
    <w:rsid w:val="008F68FA"/>
    <w:rsid w:val="008F6D3A"/>
    <w:rsid w:val="008F6ECF"/>
    <w:rsid w:val="008F6FA0"/>
    <w:rsid w:val="008F731B"/>
    <w:rsid w:val="008F7527"/>
    <w:rsid w:val="008F756A"/>
    <w:rsid w:val="008F7814"/>
    <w:rsid w:val="008F795E"/>
    <w:rsid w:val="008F7983"/>
    <w:rsid w:val="008F7996"/>
    <w:rsid w:val="008F7DC6"/>
    <w:rsid w:val="008F7E04"/>
    <w:rsid w:val="0090005D"/>
    <w:rsid w:val="00900178"/>
    <w:rsid w:val="009001BD"/>
    <w:rsid w:val="009002EF"/>
    <w:rsid w:val="0090043B"/>
    <w:rsid w:val="0090065E"/>
    <w:rsid w:val="0090092D"/>
    <w:rsid w:val="00900A3A"/>
    <w:rsid w:val="00900A6A"/>
    <w:rsid w:val="00900DCE"/>
    <w:rsid w:val="00900EE9"/>
    <w:rsid w:val="00900F66"/>
    <w:rsid w:val="0090110A"/>
    <w:rsid w:val="00901114"/>
    <w:rsid w:val="00901175"/>
    <w:rsid w:val="00901262"/>
    <w:rsid w:val="0090142A"/>
    <w:rsid w:val="0090156E"/>
    <w:rsid w:val="0090164C"/>
    <w:rsid w:val="00901695"/>
    <w:rsid w:val="009016D3"/>
    <w:rsid w:val="009016EF"/>
    <w:rsid w:val="009017C6"/>
    <w:rsid w:val="009018AC"/>
    <w:rsid w:val="00901934"/>
    <w:rsid w:val="00901AE2"/>
    <w:rsid w:val="00901B9D"/>
    <w:rsid w:val="00901E27"/>
    <w:rsid w:val="00901E79"/>
    <w:rsid w:val="00901FCB"/>
    <w:rsid w:val="00902294"/>
    <w:rsid w:val="009023B2"/>
    <w:rsid w:val="0090244A"/>
    <w:rsid w:val="009024C4"/>
    <w:rsid w:val="00902938"/>
    <w:rsid w:val="00902A8C"/>
    <w:rsid w:val="00902F56"/>
    <w:rsid w:val="00902F5D"/>
    <w:rsid w:val="00902FE6"/>
    <w:rsid w:val="009032E2"/>
    <w:rsid w:val="00903524"/>
    <w:rsid w:val="009035CC"/>
    <w:rsid w:val="009036C1"/>
    <w:rsid w:val="00903812"/>
    <w:rsid w:val="00903900"/>
    <w:rsid w:val="00903B58"/>
    <w:rsid w:val="00903C97"/>
    <w:rsid w:val="00903CBD"/>
    <w:rsid w:val="0090437F"/>
    <w:rsid w:val="009045F3"/>
    <w:rsid w:val="009045FD"/>
    <w:rsid w:val="00904717"/>
    <w:rsid w:val="00904723"/>
    <w:rsid w:val="0090476E"/>
    <w:rsid w:val="009047EF"/>
    <w:rsid w:val="00904861"/>
    <w:rsid w:val="00904926"/>
    <w:rsid w:val="00904A8B"/>
    <w:rsid w:val="00904AA4"/>
    <w:rsid w:val="00904D74"/>
    <w:rsid w:val="009055A7"/>
    <w:rsid w:val="009055B9"/>
    <w:rsid w:val="00905607"/>
    <w:rsid w:val="009056D7"/>
    <w:rsid w:val="009057F9"/>
    <w:rsid w:val="00905A1D"/>
    <w:rsid w:val="00905C92"/>
    <w:rsid w:val="00905DAA"/>
    <w:rsid w:val="0090603A"/>
    <w:rsid w:val="009063A3"/>
    <w:rsid w:val="009066B9"/>
    <w:rsid w:val="009066C9"/>
    <w:rsid w:val="0090692F"/>
    <w:rsid w:val="00906B10"/>
    <w:rsid w:val="00906B9A"/>
    <w:rsid w:val="00906BE8"/>
    <w:rsid w:val="00906C65"/>
    <w:rsid w:val="00906DD2"/>
    <w:rsid w:val="00906EA1"/>
    <w:rsid w:val="00906F67"/>
    <w:rsid w:val="0090720B"/>
    <w:rsid w:val="00907281"/>
    <w:rsid w:val="009072E8"/>
    <w:rsid w:val="0090737E"/>
    <w:rsid w:val="009073B1"/>
    <w:rsid w:val="0090744C"/>
    <w:rsid w:val="009075E5"/>
    <w:rsid w:val="009075F6"/>
    <w:rsid w:val="009076EF"/>
    <w:rsid w:val="009077E1"/>
    <w:rsid w:val="009079EB"/>
    <w:rsid w:val="00907A92"/>
    <w:rsid w:val="00907C80"/>
    <w:rsid w:val="00907D77"/>
    <w:rsid w:val="00907DB2"/>
    <w:rsid w:val="00907EB0"/>
    <w:rsid w:val="00907F66"/>
    <w:rsid w:val="0091030A"/>
    <w:rsid w:val="00910493"/>
    <w:rsid w:val="00910523"/>
    <w:rsid w:val="00910822"/>
    <w:rsid w:val="00910870"/>
    <w:rsid w:val="00910948"/>
    <w:rsid w:val="00910D43"/>
    <w:rsid w:val="00910E75"/>
    <w:rsid w:val="00910E96"/>
    <w:rsid w:val="00910EC5"/>
    <w:rsid w:val="00910F04"/>
    <w:rsid w:val="00910F51"/>
    <w:rsid w:val="0091112F"/>
    <w:rsid w:val="00911388"/>
    <w:rsid w:val="00911418"/>
    <w:rsid w:val="00911423"/>
    <w:rsid w:val="00911699"/>
    <w:rsid w:val="00911755"/>
    <w:rsid w:val="0091190F"/>
    <w:rsid w:val="00911920"/>
    <w:rsid w:val="00911B6D"/>
    <w:rsid w:val="00911C80"/>
    <w:rsid w:val="00911CC0"/>
    <w:rsid w:val="00911DBC"/>
    <w:rsid w:val="00911E59"/>
    <w:rsid w:val="00911E8F"/>
    <w:rsid w:val="00911FD1"/>
    <w:rsid w:val="00912230"/>
    <w:rsid w:val="009122D8"/>
    <w:rsid w:val="009123D5"/>
    <w:rsid w:val="00912449"/>
    <w:rsid w:val="009124BF"/>
    <w:rsid w:val="00912685"/>
    <w:rsid w:val="00912844"/>
    <w:rsid w:val="00912890"/>
    <w:rsid w:val="00912898"/>
    <w:rsid w:val="0091296F"/>
    <w:rsid w:val="009129A2"/>
    <w:rsid w:val="00912B3F"/>
    <w:rsid w:val="00912B45"/>
    <w:rsid w:val="00912B88"/>
    <w:rsid w:val="00912D5E"/>
    <w:rsid w:val="00912E49"/>
    <w:rsid w:val="00912F08"/>
    <w:rsid w:val="00912FB6"/>
    <w:rsid w:val="00912FCF"/>
    <w:rsid w:val="00913147"/>
    <w:rsid w:val="009132C8"/>
    <w:rsid w:val="009133D1"/>
    <w:rsid w:val="009134BC"/>
    <w:rsid w:val="00913591"/>
    <w:rsid w:val="0091359C"/>
    <w:rsid w:val="009135D7"/>
    <w:rsid w:val="0091362B"/>
    <w:rsid w:val="00913686"/>
    <w:rsid w:val="0091379F"/>
    <w:rsid w:val="009137E2"/>
    <w:rsid w:val="00913828"/>
    <w:rsid w:val="0091384A"/>
    <w:rsid w:val="00913C23"/>
    <w:rsid w:val="00913C4E"/>
    <w:rsid w:val="00913CCA"/>
    <w:rsid w:val="00913DB7"/>
    <w:rsid w:val="00914077"/>
    <w:rsid w:val="00914215"/>
    <w:rsid w:val="009145F1"/>
    <w:rsid w:val="00914848"/>
    <w:rsid w:val="00914882"/>
    <w:rsid w:val="009149D9"/>
    <w:rsid w:val="00914C3A"/>
    <w:rsid w:val="00914CA7"/>
    <w:rsid w:val="00914F0F"/>
    <w:rsid w:val="00914FCB"/>
    <w:rsid w:val="009150B2"/>
    <w:rsid w:val="009150FA"/>
    <w:rsid w:val="00915195"/>
    <w:rsid w:val="00915699"/>
    <w:rsid w:val="009157A5"/>
    <w:rsid w:val="00915857"/>
    <w:rsid w:val="00915883"/>
    <w:rsid w:val="0091597A"/>
    <w:rsid w:val="0091598F"/>
    <w:rsid w:val="00915A8F"/>
    <w:rsid w:val="00915B41"/>
    <w:rsid w:val="00915D7C"/>
    <w:rsid w:val="00915E7C"/>
    <w:rsid w:val="00915F9A"/>
    <w:rsid w:val="00915FE8"/>
    <w:rsid w:val="009161DF"/>
    <w:rsid w:val="009162AD"/>
    <w:rsid w:val="009162E9"/>
    <w:rsid w:val="0091647A"/>
    <w:rsid w:val="00916536"/>
    <w:rsid w:val="0091680F"/>
    <w:rsid w:val="009169B7"/>
    <w:rsid w:val="00916A3A"/>
    <w:rsid w:val="00916B9E"/>
    <w:rsid w:val="00916D71"/>
    <w:rsid w:val="009170AD"/>
    <w:rsid w:val="009170BF"/>
    <w:rsid w:val="009171ED"/>
    <w:rsid w:val="0091725F"/>
    <w:rsid w:val="00917685"/>
    <w:rsid w:val="009176B1"/>
    <w:rsid w:val="009176B6"/>
    <w:rsid w:val="009178BE"/>
    <w:rsid w:val="00917BBD"/>
    <w:rsid w:val="00917CF0"/>
    <w:rsid w:val="00917EFF"/>
    <w:rsid w:val="0092000E"/>
    <w:rsid w:val="00920147"/>
    <w:rsid w:val="00920164"/>
    <w:rsid w:val="009203F0"/>
    <w:rsid w:val="00920594"/>
    <w:rsid w:val="00920596"/>
    <w:rsid w:val="009206F2"/>
    <w:rsid w:val="009209A9"/>
    <w:rsid w:val="00920A00"/>
    <w:rsid w:val="00920B28"/>
    <w:rsid w:val="00920C55"/>
    <w:rsid w:val="00920E04"/>
    <w:rsid w:val="00920E0C"/>
    <w:rsid w:val="00920E76"/>
    <w:rsid w:val="00920F4D"/>
    <w:rsid w:val="009210BC"/>
    <w:rsid w:val="009215C2"/>
    <w:rsid w:val="0092169C"/>
    <w:rsid w:val="009217A4"/>
    <w:rsid w:val="009218C5"/>
    <w:rsid w:val="0092195C"/>
    <w:rsid w:val="00921989"/>
    <w:rsid w:val="00921CA7"/>
    <w:rsid w:val="00921D22"/>
    <w:rsid w:val="00921E03"/>
    <w:rsid w:val="009222A3"/>
    <w:rsid w:val="00922403"/>
    <w:rsid w:val="00922579"/>
    <w:rsid w:val="00922609"/>
    <w:rsid w:val="00922717"/>
    <w:rsid w:val="009227AB"/>
    <w:rsid w:val="00922882"/>
    <w:rsid w:val="009228A0"/>
    <w:rsid w:val="0092294A"/>
    <w:rsid w:val="00922954"/>
    <w:rsid w:val="009229C3"/>
    <w:rsid w:val="00922A58"/>
    <w:rsid w:val="00922BFF"/>
    <w:rsid w:val="00922D50"/>
    <w:rsid w:val="00922DCA"/>
    <w:rsid w:val="00922E34"/>
    <w:rsid w:val="00922FB3"/>
    <w:rsid w:val="0092326C"/>
    <w:rsid w:val="009232C8"/>
    <w:rsid w:val="0092330A"/>
    <w:rsid w:val="009235CD"/>
    <w:rsid w:val="00923673"/>
    <w:rsid w:val="009236CA"/>
    <w:rsid w:val="0092375B"/>
    <w:rsid w:val="00923791"/>
    <w:rsid w:val="009239F9"/>
    <w:rsid w:val="00923B39"/>
    <w:rsid w:val="00923BD4"/>
    <w:rsid w:val="00924019"/>
    <w:rsid w:val="00924245"/>
    <w:rsid w:val="00924352"/>
    <w:rsid w:val="009243A2"/>
    <w:rsid w:val="0092445D"/>
    <w:rsid w:val="009245DA"/>
    <w:rsid w:val="00924692"/>
    <w:rsid w:val="009248AA"/>
    <w:rsid w:val="009249D4"/>
    <w:rsid w:val="00924D09"/>
    <w:rsid w:val="00924DD9"/>
    <w:rsid w:val="00924DDC"/>
    <w:rsid w:val="00925014"/>
    <w:rsid w:val="0092506B"/>
    <w:rsid w:val="0092508D"/>
    <w:rsid w:val="00925261"/>
    <w:rsid w:val="0092564B"/>
    <w:rsid w:val="00925854"/>
    <w:rsid w:val="00925A00"/>
    <w:rsid w:val="00925A12"/>
    <w:rsid w:val="00925B3A"/>
    <w:rsid w:val="00925BB9"/>
    <w:rsid w:val="00925C94"/>
    <w:rsid w:val="00925D02"/>
    <w:rsid w:val="00925D68"/>
    <w:rsid w:val="00925FF8"/>
    <w:rsid w:val="00926260"/>
    <w:rsid w:val="00926451"/>
    <w:rsid w:val="009266F1"/>
    <w:rsid w:val="00926953"/>
    <w:rsid w:val="00926B40"/>
    <w:rsid w:val="00926C01"/>
    <w:rsid w:val="00926C77"/>
    <w:rsid w:val="00926CF2"/>
    <w:rsid w:val="00926D13"/>
    <w:rsid w:val="00926E66"/>
    <w:rsid w:val="00926FCD"/>
    <w:rsid w:val="009270D9"/>
    <w:rsid w:val="00927119"/>
    <w:rsid w:val="009273DC"/>
    <w:rsid w:val="009274B0"/>
    <w:rsid w:val="009274FA"/>
    <w:rsid w:val="0092757F"/>
    <w:rsid w:val="009276B6"/>
    <w:rsid w:val="009279F2"/>
    <w:rsid w:val="00927AFA"/>
    <w:rsid w:val="00927C79"/>
    <w:rsid w:val="00927C8B"/>
    <w:rsid w:val="00927C94"/>
    <w:rsid w:val="00927CCB"/>
    <w:rsid w:val="00927F79"/>
    <w:rsid w:val="00927FA3"/>
    <w:rsid w:val="00927FF4"/>
    <w:rsid w:val="00930047"/>
    <w:rsid w:val="009300C8"/>
    <w:rsid w:val="0093016F"/>
    <w:rsid w:val="00930351"/>
    <w:rsid w:val="009303F1"/>
    <w:rsid w:val="0093043D"/>
    <w:rsid w:val="00930499"/>
    <w:rsid w:val="009306B2"/>
    <w:rsid w:val="00930C5F"/>
    <w:rsid w:val="00930D90"/>
    <w:rsid w:val="00930EBC"/>
    <w:rsid w:val="00931078"/>
    <w:rsid w:val="009311C6"/>
    <w:rsid w:val="00931409"/>
    <w:rsid w:val="009314D0"/>
    <w:rsid w:val="009317E1"/>
    <w:rsid w:val="00931862"/>
    <w:rsid w:val="00931866"/>
    <w:rsid w:val="009318D4"/>
    <w:rsid w:val="009319ED"/>
    <w:rsid w:val="00931ADA"/>
    <w:rsid w:val="00931C1B"/>
    <w:rsid w:val="00931D62"/>
    <w:rsid w:val="00931E17"/>
    <w:rsid w:val="00932092"/>
    <w:rsid w:val="0093228D"/>
    <w:rsid w:val="00932489"/>
    <w:rsid w:val="0093272E"/>
    <w:rsid w:val="0093291F"/>
    <w:rsid w:val="009329AC"/>
    <w:rsid w:val="00932A1A"/>
    <w:rsid w:val="00932C08"/>
    <w:rsid w:val="0093308F"/>
    <w:rsid w:val="00933175"/>
    <w:rsid w:val="0093318F"/>
    <w:rsid w:val="009333AC"/>
    <w:rsid w:val="009334F2"/>
    <w:rsid w:val="00933507"/>
    <w:rsid w:val="0093366E"/>
    <w:rsid w:val="0093377D"/>
    <w:rsid w:val="00933805"/>
    <w:rsid w:val="0093383E"/>
    <w:rsid w:val="00933924"/>
    <w:rsid w:val="00933C28"/>
    <w:rsid w:val="00933C8A"/>
    <w:rsid w:val="00933CB2"/>
    <w:rsid w:val="00933E78"/>
    <w:rsid w:val="00933FB0"/>
    <w:rsid w:val="009340F4"/>
    <w:rsid w:val="009342A8"/>
    <w:rsid w:val="00934459"/>
    <w:rsid w:val="00934530"/>
    <w:rsid w:val="009346A5"/>
    <w:rsid w:val="00934A0B"/>
    <w:rsid w:val="00934AD0"/>
    <w:rsid w:val="00934D03"/>
    <w:rsid w:val="00934DA0"/>
    <w:rsid w:val="00934EAC"/>
    <w:rsid w:val="0093515A"/>
    <w:rsid w:val="0093543B"/>
    <w:rsid w:val="00935536"/>
    <w:rsid w:val="0093575D"/>
    <w:rsid w:val="00935793"/>
    <w:rsid w:val="00935916"/>
    <w:rsid w:val="00935B66"/>
    <w:rsid w:val="00935BD2"/>
    <w:rsid w:val="00935E02"/>
    <w:rsid w:val="00935E9E"/>
    <w:rsid w:val="00936058"/>
    <w:rsid w:val="009361F7"/>
    <w:rsid w:val="009362BC"/>
    <w:rsid w:val="00936454"/>
    <w:rsid w:val="00936520"/>
    <w:rsid w:val="009367DE"/>
    <w:rsid w:val="00936900"/>
    <w:rsid w:val="0093691F"/>
    <w:rsid w:val="00936A89"/>
    <w:rsid w:val="00936A8F"/>
    <w:rsid w:val="00936AFC"/>
    <w:rsid w:val="00936CA0"/>
    <w:rsid w:val="00936CA8"/>
    <w:rsid w:val="00936E63"/>
    <w:rsid w:val="009373F2"/>
    <w:rsid w:val="00937438"/>
    <w:rsid w:val="00937466"/>
    <w:rsid w:val="009376A4"/>
    <w:rsid w:val="00937755"/>
    <w:rsid w:val="00937C9C"/>
    <w:rsid w:val="009401CE"/>
    <w:rsid w:val="009402B9"/>
    <w:rsid w:val="0094038B"/>
    <w:rsid w:val="00940612"/>
    <w:rsid w:val="00940956"/>
    <w:rsid w:val="009409EF"/>
    <w:rsid w:val="00940F5A"/>
    <w:rsid w:val="00940FE8"/>
    <w:rsid w:val="00941016"/>
    <w:rsid w:val="00941038"/>
    <w:rsid w:val="009411D8"/>
    <w:rsid w:val="00941217"/>
    <w:rsid w:val="0094147D"/>
    <w:rsid w:val="00941660"/>
    <w:rsid w:val="009417D2"/>
    <w:rsid w:val="00941821"/>
    <w:rsid w:val="00941AA7"/>
    <w:rsid w:val="00941B4A"/>
    <w:rsid w:val="00941C41"/>
    <w:rsid w:val="00941CE1"/>
    <w:rsid w:val="00941EC3"/>
    <w:rsid w:val="00942000"/>
    <w:rsid w:val="009420F9"/>
    <w:rsid w:val="00942282"/>
    <w:rsid w:val="00942320"/>
    <w:rsid w:val="00942323"/>
    <w:rsid w:val="0094247A"/>
    <w:rsid w:val="0094248D"/>
    <w:rsid w:val="0094266D"/>
    <w:rsid w:val="0094274E"/>
    <w:rsid w:val="009427C9"/>
    <w:rsid w:val="00942851"/>
    <w:rsid w:val="00942E34"/>
    <w:rsid w:val="00942ED2"/>
    <w:rsid w:val="00942ED8"/>
    <w:rsid w:val="00942F8E"/>
    <w:rsid w:val="009431F6"/>
    <w:rsid w:val="0094338A"/>
    <w:rsid w:val="009433E2"/>
    <w:rsid w:val="0094353F"/>
    <w:rsid w:val="00943956"/>
    <w:rsid w:val="00943BE4"/>
    <w:rsid w:val="00943D85"/>
    <w:rsid w:val="00943DE6"/>
    <w:rsid w:val="00943EFA"/>
    <w:rsid w:val="00944216"/>
    <w:rsid w:val="00944328"/>
    <w:rsid w:val="0094433C"/>
    <w:rsid w:val="009443AB"/>
    <w:rsid w:val="00944778"/>
    <w:rsid w:val="0094490A"/>
    <w:rsid w:val="00944A79"/>
    <w:rsid w:val="00944B8E"/>
    <w:rsid w:val="00944C78"/>
    <w:rsid w:val="00944DF9"/>
    <w:rsid w:val="00944F09"/>
    <w:rsid w:val="00944F59"/>
    <w:rsid w:val="009450D9"/>
    <w:rsid w:val="009451B9"/>
    <w:rsid w:val="00945289"/>
    <w:rsid w:val="0094538E"/>
    <w:rsid w:val="00945466"/>
    <w:rsid w:val="0094546C"/>
    <w:rsid w:val="0094568A"/>
    <w:rsid w:val="00945748"/>
    <w:rsid w:val="00945A9E"/>
    <w:rsid w:val="00945AC3"/>
    <w:rsid w:val="00945BCD"/>
    <w:rsid w:val="00945CCD"/>
    <w:rsid w:val="00945F50"/>
    <w:rsid w:val="00946386"/>
    <w:rsid w:val="009463F0"/>
    <w:rsid w:val="00946550"/>
    <w:rsid w:val="00946588"/>
    <w:rsid w:val="00946591"/>
    <w:rsid w:val="009465E6"/>
    <w:rsid w:val="00946641"/>
    <w:rsid w:val="00946680"/>
    <w:rsid w:val="00946745"/>
    <w:rsid w:val="00946840"/>
    <w:rsid w:val="00946927"/>
    <w:rsid w:val="00946B2B"/>
    <w:rsid w:val="00946B33"/>
    <w:rsid w:val="00946C04"/>
    <w:rsid w:val="00946F50"/>
    <w:rsid w:val="0094716D"/>
    <w:rsid w:val="00947454"/>
    <w:rsid w:val="0094753E"/>
    <w:rsid w:val="0094762E"/>
    <w:rsid w:val="009476FE"/>
    <w:rsid w:val="00947775"/>
    <w:rsid w:val="00947B11"/>
    <w:rsid w:val="00947BDD"/>
    <w:rsid w:val="00947C35"/>
    <w:rsid w:val="00947DFC"/>
    <w:rsid w:val="0095003B"/>
    <w:rsid w:val="00950070"/>
    <w:rsid w:val="009500C4"/>
    <w:rsid w:val="009500EB"/>
    <w:rsid w:val="009500EC"/>
    <w:rsid w:val="00950150"/>
    <w:rsid w:val="00950471"/>
    <w:rsid w:val="009506EC"/>
    <w:rsid w:val="00950774"/>
    <w:rsid w:val="0095087E"/>
    <w:rsid w:val="009508E1"/>
    <w:rsid w:val="00950919"/>
    <w:rsid w:val="00950AE7"/>
    <w:rsid w:val="00950BE4"/>
    <w:rsid w:val="00950C0B"/>
    <w:rsid w:val="00950C1C"/>
    <w:rsid w:val="00950C23"/>
    <w:rsid w:val="00950DF8"/>
    <w:rsid w:val="00950E73"/>
    <w:rsid w:val="009511C8"/>
    <w:rsid w:val="00951545"/>
    <w:rsid w:val="009515C1"/>
    <w:rsid w:val="00951662"/>
    <w:rsid w:val="00951709"/>
    <w:rsid w:val="009518E5"/>
    <w:rsid w:val="0095193A"/>
    <w:rsid w:val="00951AE3"/>
    <w:rsid w:val="00951EDE"/>
    <w:rsid w:val="00951FAC"/>
    <w:rsid w:val="009524D4"/>
    <w:rsid w:val="00952744"/>
    <w:rsid w:val="00952AD8"/>
    <w:rsid w:val="00952AF8"/>
    <w:rsid w:val="00952B76"/>
    <w:rsid w:val="00952C0D"/>
    <w:rsid w:val="00952C62"/>
    <w:rsid w:val="00952D36"/>
    <w:rsid w:val="00952E78"/>
    <w:rsid w:val="00953077"/>
    <w:rsid w:val="00953234"/>
    <w:rsid w:val="0095345D"/>
    <w:rsid w:val="009535F8"/>
    <w:rsid w:val="00953D58"/>
    <w:rsid w:val="00953DC6"/>
    <w:rsid w:val="00953DDF"/>
    <w:rsid w:val="009540DA"/>
    <w:rsid w:val="00954173"/>
    <w:rsid w:val="009541E2"/>
    <w:rsid w:val="009543C0"/>
    <w:rsid w:val="009543D7"/>
    <w:rsid w:val="009543EE"/>
    <w:rsid w:val="009544E5"/>
    <w:rsid w:val="0095467A"/>
    <w:rsid w:val="00954AB3"/>
    <w:rsid w:val="00954C5B"/>
    <w:rsid w:val="00954DF6"/>
    <w:rsid w:val="009550F1"/>
    <w:rsid w:val="009555D3"/>
    <w:rsid w:val="00955638"/>
    <w:rsid w:val="009557D6"/>
    <w:rsid w:val="009557FD"/>
    <w:rsid w:val="009558BD"/>
    <w:rsid w:val="0095639A"/>
    <w:rsid w:val="00956890"/>
    <w:rsid w:val="0095689C"/>
    <w:rsid w:val="00956AD9"/>
    <w:rsid w:val="00956B45"/>
    <w:rsid w:val="00956B4E"/>
    <w:rsid w:val="00956B56"/>
    <w:rsid w:val="00957077"/>
    <w:rsid w:val="009570A4"/>
    <w:rsid w:val="009570F7"/>
    <w:rsid w:val="009571EC"/>
    <w:rsid w:val="0095730E"/>
    <w:rsid w:val="0095758A"/>
    <w:rsid w:val="009575AA"/>
    <w:rsid w:val="0095782F"/>
    <w:rsid w:val="0095787A"/>
    <w:rsid w:val="00957976"/>
    <w:rsid w:val="009579BB"/>
    <w:rsid w:val="00957E60"/>
    <w:rsid w:val="009601F5"/>
    <w:rsid w:val="009602E2"/>
    <w:rsid w:val="00960491"/>
    <w:rsid w:val="009605A8"/>
    <w:rsid w:val="009605CA"/>
    <w:rsid w:val="0096072A"/>
    <w:rsid w:val="0096079D"/>
    <w:rsid w:val="00960956"/>
    <w:rsid w:val="00960983"/>
    <w:rsid w:val="0096098A"/>
    <w:rsid w:val="00960A12"/>
    <w:rsid w:val="00960A5A"/>
    <w:rsid w:val="00960A61"/>
    <w:rsid w:val="00960BC3"/>
    <w:rsid w:val="00960CB5"/>
    <w:rsid w:val="00960D9D"/>
    <w:rsid w:val="00960DEA"/>
    <w:rsid w:val="00960E2C"/>
    <w:rsid w:val="00961232"/>
    <w:rsid w:val="009612A7"/>
    <w:rsid w:val="009618B8"/>
    <w:rsid w:val="0096190A"/>
    <w:rsid w:val="00961927"/>
    <w:rsid w:val="00961A07"/>
    <w:rsid w:val="00961AF8"/>
    <w:rsid w:val="00961C8A"/>
    <w:rsid w:val="00961CE0"/>
    <w:rsid w:val="00961D99"/>
    <w:rsid w:val="00961E4E"/>
    <w:rsid w:val="00961FE9"/>
    <w:rsid w:val="00962308"/>
    <w:rsid w:val="00962368"/>
    <w:rsid w:val="0096239A"/>
    <w:rsid w:val="009623C0"/>
    <w:rsid w:val="00962407"/>
    <w:rsid w:val="0096282A"/>
    <w:rsid w:val="0096295B"/>
    <w:rsid w:val="00962D3E"/>
    <w:rsid w:val="00962FC2"/>
    <w:rsid w:val="00963591"/>
    <w:rsid w:val="009636D6"/>
    <w:rsid w:val="00963719"/>
    <w:rsid w:val="00963B0E"/>
    <w:rsid w:val="00963C14"/>
    <w:rsid w:val="00963CDC"/>
    <w:rsid w:val="00963D44"/>
    <w:rsid w:val="00963FDA"/>
    <w:rsid w:val="009641AD"/>
    <w:rsid w:val="00964417"/>
    <w:rsid w:val="00964486"/>
    <w:rsid w:val="009646F5"/>
    <w:rsid w:val="0096487A"/>
    <w:rsid w:val="00964993"/>
    <w:rsid w:val="009649EB"/>
    <w:rsid w:val="00964B1D"/>
    <w:rsid w:val="00964C83"/>
    <w:rsid w:val="00964C87"/>
    <w:rsid w:val="00965188"/>
    <w:rsid w:val="009654BE"/>
    <w:rsid w:val="00965575"/>
    <w:rsid w:val="009656EA"/>
    <w:rsid w:val="0096572E"/>
    <w:rsid w:val="00965C8A"/>
    <w:rsid w:val="00965D29"/>
    <w:rsid w:val="00965E1B"/>
    <w:rsid w:val="00965E85"/>
    <w:rsid w:val="00965F32"/>
    <w:rsid w:val="0096621B"/>
    <w:rsid w:val="00966265"/>
    <w:rsid w:val="0096647A"/>
    <w:rsid w:val="00966498"/>
    <w:rsid w:val="00966591"/>
    <w:rsid w:val="009666FF"/>
    <w:rsid w:val="009667D8"/>
    <w:rsid w:val="00966D2E"/>
    <w:rsid w:val="00966FE0"/>
    <w:rsid w:val="00966FE4"/>
    <w:rsid w:val="009670E4"/>
    <w:rsid w:val="00967400"/>
    <w:rsid w:val="0096759E"/>
    <w:rsid w:val="00967667"/>
    <w:rsid w:val="0096767D"/>
    <w:rsid w:val="00967791"/>
    <w:rsid w:val="00967836"/>
    <w:rsid w:val="00967938"/>
    <w:rsid w:val="009679A4"/>
    <w:rsid w:val="00967B3B"/>
    <w:rsid w:val="00967C5A"/>
    <w:rsid w:val="00967DB5"/>
    <w:rsid w:val="00967DCA"/>
    <w:rsid w:val="00967DD2"/>
    <w:rsid w:val="0097009C"/>
    <w:rsid w:val="0097037C"/>
    <w:rsid w:val="0097038E"/>
    <w:rsid w:val="0097049E"/>
    <w:rsid w:val="0097058F"/>
    <w:rsid w:val="0097074A"/>
    <w:rsid w:val="0097093A"/>
    <w:rsid w:val="0097093D"/>
    <w:rsid w:val="0097096B"/>
    <w:rsid w:val="00970A41"/>
    <w:rsid w:val="00970B5F"/>
    <w:rsid w:val="00970C6D"/>
    <w:rsid w:val="00970D05"/>
    <w:rsid w:val="00970DC3"/>
    <w:rsid w:val="00970E9D"/>
    <w:rsid w:val="00970EFE"/>
    <w:rsid w:val="009712E2"/>
    <w:rsid w:val="0097153D"/>
    <w:rsid w:val="0097162A"/>
    <w:rsid w:val="0097173F"/>
    <w:rsid w:val="00971920"/>
    <w:rsid w:val="00971A8D"/>
    <w:rsid w:val="00971AE4"/>
    <w:rsid w:val="00971C5F"/>
    <w:rsid w:val="00971CC2"/>
    <w:rsid w:val="00971D39"/>
    <w:rsid w:val="00971DA9"/>
    <w:rsid w:val="00971E7F"/>
    <w:rsid w:val="00971EE0"/>
    <w:rsid w:val="00971F20"/>
    <w:rsid w:val="00972339"/>
    <w:rsid w:val="00972474"/>
    <w:rsid w:val="009727FE"/>
    <w:rsid w:val="009729DE"/>
    <w:rsid w:val="00972B58"/>
    <w:rsid w:val="00972BEA"/>
    <w:rsid w:val="00972D1E"/>
    <w:rsid w:val="00972E8A"/>
    <w:rsid w:val="00972ED9"/>
    <w:rsid w:val="00973383"/>
    <w:rsid w:val="00973625"/>
    <w:rsid w:val="009736BD"/>
    <w:rsid w:val="0097379B"/>
    <w:rsid w:val="00973855"/>
    <w:rsid w:val="00973EEE"/>
    <w:rsid w:val="00973EF3"/>
    <w:rsid w:val="00974075"/>
    <w:rsid w:val="0097407F"/>
    <w:rsid w:val="0097446A"/>
    <w:rsid w:val="00974556"/>
    <w:rsid w:val="009745A6"/>
    <w:rsid w:val="00974795"/>
    <w:rsid w:val="009749F9"/>
    <w:rsid w:val="00974A38"/>
    <w:rsid w:val="00974AD0"/>
    <w:rsid w:val="00974D5A"/>
    <w:rsid w:val="00974E90"/>
    <w:rsid w:val="00974EE4"/>
    <w:rsid w:val="0097517B"/>
    <w:rsid w:val="009754E4"/>
    <w:rsid w:val="009754F0"/>
    <w:rsid w:val="0097579B"/>
    <w:rsid w:val="00975864"/>
    <w:rsid w:val="009758A2"/>
    <w:rsid w:val="009759C4"/>
    <w:rsid w:val="00975CF8"/>
    <w:rsid w:val="00975E36"/>
    <w:rsid w:val="00975F65"/>
    <w:rsid w:val="00975F95"/>
    <w:rsid w:val="00975FEB"/>
    <w:rsid w:val="00976493"/>
    <w:rsid w:val="00976601"/>
    <w:rsid w:val="00976788"/>
    <w:rsid w:val="00976BA5"/>
    <w:rsid w:val="00976CC4"/>
    <w:rsid w:val="00976CE8"/>
    <w:rsid w:val="00976D73"/>
    <w:rsid w:val="00976E60"/>
    <w:rsid w:val="00976EBF"/>
    <w:rsid w:val="00977066"/>
    <w:rsid w:val="009771CF"/>
    <w:rsid w:val="00977427"/>
    <w:rsid w:val="009778B4"/>
    <w:rsid w:val="009778EA"/>
    <w:rsid w:val="00977962"/>
    <w:rsid w:val="00977DA5"/>
    <w:rsid w:val="00980072"/>
    <w:rsid w:val="0098009F"/>
    <w:rsid w:val="009801C3"/>
    <w:rsid w:val="0098028B"/>
    <w:rsid w:val="009802EC"/>
    <w:rsid w:val="00980371"/>
    <w:rsid w:val="0098047D"/>
    <w:rsid w:val="00980A41"/>
    <w:rsid w:val="00980AA5"/>
    <w:rsid w:val="00980C08"/>
    <w:rsid w:val="00980E26"/>
    <w:rsid w:val="00980E58"/>
    <w:rsid w:val="00980EF2"/>
    <w:rsid w:val="009810C4"/>
    <w:rsid w:val="009811C7"/>
    <w:rsid w:val="009812B7"/>
    <w:rsid w:val="0098147F"/>
    <w:rsid w:val="00981486"/>
    <w:rsid w:val="00981491"/>
    <w:rsid w:val="0098150E"/>
    <w:rsid w:val="0098156D"/>
    <w:rsid w:val="00981598"/>
    <w:rsid w:val="009815D2"/>
    <w:rsid w:val="009815F1"/>
    <w:rsid w:val="00981736"/>
    <w:rsid w:val="00981919"/>
    <w:rsid w:val="00981A83"/>
    <w:rsid w:val="00981C70"/>
    <w:rsid w:val="00981F5B"/>
    <w:rsid w:val="00981FA7"/>
    <w:rsid w:val="00982071"/>
    <w:rsid w:val="00982092"/>
    <w:rsid w:val="009821E5"/>
    <w:rsid w:val="009822A5"/>
    <w:rsid w:val="00982458"/>
    <w:rsid w:val="00982599"/>
    <w:rsid w:val="0098278A"/>
    <w:rsid w:val="00982A4C"/>
    <w:rsid w:val="00982B36"/>
    <w:rsid w:val="00982FAB"/>
    <w:rsid w:val="00983352"/>
    <w:rsid w:val="00983B93"/>
    <w:rsid w:val="00983FAD"/>
    <w:rsid w:val="0098407C"/>
    <w:rsid w:val="009840B6"/>
    <w:rsid w:val="00984361"/>
    <w:rsid w:val="00984A76"/>
    <w:rsid w:val="00984AEC"/>
    <w:rsid w:val="00984C6F"/>
    <w:rsid w:val="00984E09"/>
    <w:rsid w:val="0098503A"/>
    <w:rsid w:val="00985156"/>
    <w:rsid w:val="00985354"/>
    <w:rsid w:val="0098535C"/>
    <w:rsid w:val="009857E0"/>
    <w:rsid w:val="0098580A"/>
    <w:rsid w:val="0098580C"/>
    <w:rsid w:val="009859D7"/>
    <w:rsid w:val="00985A9C"/>
    <w:rsid w:val="00985B39"/>
    <w:rsid w:val="00985B87"/>
    <w:rsid w:val="00985DF3"/>
    <w:rsid w:val="00985DFC"/>
    <w:rsid w:val="00985E2F"/>
    <w:rsid w:val="009864B5"/>
    <w:rsid w:val="00986A27"/>
    <w:rsid w:val="00986AB0"/>
    <w:rsid w:val="00986B6E"/>
    <w:rsid w:val="00986D38"/>
    <w:rsid w:val="00986DB1"/>
    <w:rsid w:val="00986E5C"/>
    <w:rsid w:val="00986F7E"/>
    <w:rsid w:val="009871F4"/>
    <w:rsid w:val="00987574"/>
    <w:rsid w:val="009875D2"/>
    <w:rsid w:val="009878B7"/>
    <w:rsid w:val="0098798D"/>
    <w:rsid w:val="00987AA2"/>
    <w:rsid w:val="00990237"/>
    <w:rsid w:val="00990239"/>
    <w:rsid w:val="00990492"/>
    <w:rsid w:val="0099062E"/>
    <w:rsid w:val="0099078F"/>
    <w:rsid w:val="0099085A"/>
    <w:rsid w:val="0099089A"/>
    <w:rsid w:val="009908EF"/>
    <w:rsid w:val="00990A00"/>
    <w:rsid w:val="00990A3F"/>
    <w:rsid w:val="009911E8"/>
    <w:rsid w:val="00991295"/>
    <w:rsid w:val="00991601"/>
    <w:rsid w:val="009917BA"/>
    <w:rsid w:val="00991ACC"/>
    <w:rsid w:val="00991AE5"/>
    <w:rsid w:val="00991B72"/>
    <w:rsid w:val="00991B79"/>
    <w:rsid w:val="00991BBB"/>
    <w:rsid w:val="00991BC0"/>
    <w:rsid w:val="00991C4D"/>
    <w:rsid w:val="00991C61"/>
    <w:rsid w:val="00991FE3"/>
    <w:rsid w:val="009921B5"/>
    <w:rsid w:val="009922AC"/>
    <w:rsid w:val="0099257B"/>
    <w:rsid w:val="009925AB"/>
    <w:rsid w:val="009925BA"/>
    <w:rsid w:val="0099268F"/>
    <w:rsid w:val="009926EA"/>
    <w:rsid w:val="00992737"/>
    <w:rsid w:val="00992743"/>
    <w:rsid w:val="00992AD4"/>
    <w:rsid w:val="00992C6C"/>
    <w:rsid w:val="00992CC7"/>
    <w:rsid w:val="00992D02"/>
    <w:rsid w:val="00992D89"/>
    <w:rsid w:val="00992DF2"/>
    <w:rsid w:val="00992F57"/>
    <w:rsid w:val="00992F5F"/>
    <w:rsid w:val="009930C9"/>
    <w:rsid w:val="0099328F"/>
    <w:rsid w:val="00993408"/>
    <w:rsid w:val="00993527"/>
    <w:rsid w:val="009935CA"/>
    <w:rsid w:val="00994050"/>
    <w:rsid w:val="009942E8"/>
    <w:rsid w:val="00994311"/>
    <w:rsid w:val="00994487"/>
    <w:rsid w:val="0099457E"/>
    <w:rsid w:val="00994639"/>
    <w:rsid w:val="0099484E"/>
    <w:rsid w:val="0099498A"/>
    <w:rsid w:val="009949DF"/>
    <w:rsid w:val="00994A99"/>
    <w:rsid w:val="00994AB9"/>
    <w:rsid w:val="00994AF2"/>
    <w:rsid w:val="00994DFD"/>
    <w:rsid w:val="00994FDC"/>
    <w:rsid w:val="0099509C"/>
    <w:rsid w:val="009951D1"/>
    <w:rsid w:val="009952DA"/>
    <w:rsid w:val="0099532B"/>
    <w:rsid w:val="0099580D"/>
    <w:rsid w:val="00995AD7"/>
    <w:rsid w:val="00995B4C"/>
    <w:rsid w:val="00995D7E"/>
    <w:rsid w:val="00995D8C"/>
    <w:rsid w:val="00995E55"/>
    <w:rsid w:val="00995F4E"/>
    <w:rsid w:val="009961D3"/>
    <w:rsid w:val="00996504"/>
    <w:rsid w:val="00996929"/>
    <w:rsid w:val="0099696A"/>
    <w:rsid w:val="00996AC5"/>
    <w:rsid w:val="00996B75"/>
    <w:rsid w:val="00996FDE"/>
    <w:rsid w:val="009970BB"/>
    <w:rsid w:val="00997127"/>
    <w:rsid w:val="00997249"/>
    <w:rsid w:val="00997452"/>
    <w:rsid w:val="00997538"/>
    <w:rsid w:val="00997674"/>
    <w:rsid w:val="00997779"/>
    <w:rsid w:val="0099777E"/>
    <w:rsid w:val="00997970"/>
    <w:rsid w:val="009979ED"/>
    <w:rsid w:val="00997B2D"/>
    <w:rsid w:val="00997C53"/>
    <w:rsid w:val="00997C5C"/>
    <w:rsid w:val="00997D4D"/>
    <w:rsid w:val="00997D8E"/>
    <w:rsid w:val="00997E8D"/>
    <w:rsid w:val="00997F89"/>
    <w:rsid w:val="00997FDC"/>
    <w:rsid w:val="009A0126"/>
    <w:rsid w:val="009A013C"/>
    <w:rsid w:val="009A0179"/>
    <w:rsid w:val="009A02EB"/>
    <w:rsid w:val="009A0393"/>
    <w:rsid w:val="009A0857"/>
    <w:rsid w:val="009A0965"/>
    <w:rsid w:val="009A0A62"/>
    <w:rsid w:val="009A0A82"/>
    <w:rsid w:val="009A0BAC"/>
    <w:rsid w:val="009A0C58"/>
    <w:rsid w:val="009A0C5F"/>
    <w:rsid w:val="009A10B7"/>
    <w:rsid w:val="009A1143"/>
    <w:rsid w:val="009A11C4"/>
    <w:rsid w:val="009A12D8"/>
    <w:rsid w:val="009A1405"/>
    <w:rsid w:val="009A14A7"/>
    <w:rsid w:val="009A179B"/>
    <w:rsid w:val="009A17FE"/>
    <w:rsid w:val="009A1999"/>
    <w:rsid w:val="009A1A5E"/>
    <w:rsid w:val="009A1D6B"/>
    <w:rsid w:val="009A1EDC"/>
    <w:rsid w:val="009A1F4C"/>
    <w:rsid w:val="009A2046"/>
    <w:rsid w:val="009A21B3"/>
    <w:rsid w:val="009A21FD"/>
    <w:rsid w:val="009A2216"/>
    <w:rsid w:val="009A22BD"/>
    <w:rsid w:val="009A2388"/>
    <w:rsid w:val="009A24E1"/>
    <w:rsid w:val="009A275D"/>
    <w:rsid w:val="009A278A"/>
    <w:rsid w:val="009A2920"/>
    <w:rsid w:val="009A298C"/>
    <w:rsid w:val="009A2A6B"/>
    <w:rsid w:val="009A2AE7"/>
    <w:rsid w:val="009A2F1B"/>
    <w:rsid w:val="009A2F39"/>
    <w:rsid w:val="009A2FE9"/>
    <w:rsid w:val="009A30AB"/>
    <w:rsid w:val="009A32F1"/>
    <w:rsid w:val="009A33D5"/>
    <w:rsid w:val="009A3495"/>
    <w:rsid w:val="009A37CB"/>
    <w:rsid w:val="009A3902"/>
    <w:rsid w:val="009A397F"/>
    <w:rsid w:val="009A3AA1"/>
    <w:rsid w:val="009A3CDB"/>
    <w:rsid w:val="009A3D56"/>
    <w:rsid w:val="009A3E30"/>
    <w:rsid w:val="009A3F47"/>
    <w:rsid w:val="009A4013"/>
    <w:rsid w:val="009A407F"/>
    <w:rsid w:val="009A4220"/>
    <w:rsid w:val="009A42AA"/>
    <w:rsid w:val="009A43EE"/>
    <w:rsid w:val="009A44B3"/>
    <w:rsid w:val="009A46C4"/>
    <w:rsid w:val="009A4843"/>
    <w:rsid w:val="009A486D"/>
    <w:rsid w:val="009A507D"/>
    <w:rsid w:val="009A5138"/>
    <w:rsid w:val="009A51B2"/>
    <w:rsid w:val="009A52E0"/>
    <w:rsid w:val="009A5537"/>
    <w:rsid w:val="009A565C"/>
    <w:rsid w:val="009A575F"/>
    <w:rsid w:val="009A590E"/>
    <w:rsid w:val="009A5C74"/>
    <w:rsid w:val="009A6023"/>
    <w:rsid w:val="009A6030"/>
    <w:rsid w:val="009A6219"/>
    <w:rsid w:val="009A62EB"/>
    <w:rsid w:val="009A63B4"/>
    <w:rsid w:val="009A64E6"/>
    <w:rsid w:val="009A6543"/>
    <w:rsid w:val="009A6643"/>
    <w:rsid w:val="009A676B"/>
    <w:rsid w:val="009A6926"/>
    <w:rsid w:val="009A6AB2"/>
    <w:rsid w:val="009A6B11"/>
    <w:rsid w:val="009A6BC7"/>
    <w:rsid w:val="009A6BF3"/>
    <w:rsid w:val="009A6C79"/>
    <w:rsid w:val="009A6CCC"/>
    <w:rsid w:val="009A6F96"/>
    <w:rsid w:val="009A6FC4"/>
    <w:rsid w:val="009A6FEC"/>
    <w:rsid w:val="009A7136"/>
    <w:rsid w:val="009A7294"/>
    <w:rsid w:val="009A72F3"/>
    <w:rsid w:val="009A77C0"/>
    <w:rsid w:val="009A77D4"/>
    <w:rsid w:val="009A7BB8"/>
    <w:rsid w:val="009A7C62"/>
    <w:rsid w:val="009A7D2C"/>
    <w:rsid w:val="009B0019"/>
    <w:rsid w:val="009B00EA"/>
    <w:rsid w:val="009B00EF"/>
    <w:rsid w:val="009B0161"/>
    <w:rsid w:val="009B0190"/>
    <w:rsid w:val="009B03D8"/>
    <w:rsid w:val="009B0472"/>
    <w:rsid w:val="009B0588"/>
    <w:rsid w:val="009B0642"/>
    <w:rsid w:val="009B06D2"/>
    <w:rsid w:val="009B07DC"/>
    <w:rsid w:val="009B0884"/>
    <w:rsid w:val="009B091B"/>
    <w:rsid w:val="009B09EB"/>
    <w:rsid w:val="009B09FD"/>
    <w:rsid w:val="009B0B25"/>
    <w:rsid w:val="009B0CC0"/>
    <w:rsid w:val="009B0ED5"/>
    <w:rsid w:val="009B0F92"/>
    <w:rsid w:val="009B10F1"/>
    <w:rsid w:val="009B1106"/>
    <w:rsid w:val="009B140F"/>
    <w:rsid w:val="009B167B"/>
    <w:rsid w:val="009B16E8"/>
    <w:rsid w:val="009B1734"/>
    <w:rsid w:val="009B199A"/>
    <w:rsid w:val="009B1D2D"/>
    <w:rsid w:val="009B1D30"/>
    <w:rsid w:val="009B1D91"/>
    <w:rsid w:val="009B1E4C"/>
    <w:rsid w:val="009B2067"/>
    <w:rsid w:val="009B20D9"/>
    <w:rsid w:val="009B2131"/>
    <w:rsid w:val="009B23B8"/>
    <w:rsid w:val="009B24A2"/>
    <w:rsid w:val="009B25AF"/>
    <w:rsid w:val="009B26FE"/>
    <w:rsid w:val="009B27C7"/>
    <w:rsid w:val="009B2C42"/>
    <w:rsid w:val="009B2D6E"/>
    <w:rsid w:val="009B2F24"/>
    <w:rsid w:val="009B327A"/>
    <w:rsid w:val="009B338E"/>
    <w:rsid w:val="009B35B5"/>
    <w:rsid w:val="009B373A"/>
    <w:rsid w:val="009B39D5"/>
    <w:rsid w:val="009B3D5D"/>
    <w:rsid w:val="009B3E02"/>
    <w:rsid w:val="009B3E59"/>
    <w:rsid w:val="009B3EE7"/>
    <w:rsid w:val="009B4013"/>
    <w:rsid w:val="009B4033"/>
    <w:rsid w:val="009B403D"/>
    <w:rsid w:val="009B40EC"/>
    <w:rsid w:val="009B41B2"/>
    <w:rsid w:val="009B44EA"/>
    <w:rsid w:val="009B450F"/>
    <w:rsid w:val="009B4563"/>
    <w:rsid w:val="009B45F8"/>
    <w:rsid w:val="009B4A7E"/>
    <w:rsid w:val="009B4BA6"/>
    <w:rsid w:val="009B4C17"/>
    <w:rsid w:val="009B50F1"/>
    <w:rsid w:val="009B510A"/>
    <w:rsid w:val="009B510C"/>
    <w:rsid w:val="009B5481"/>
    <w:rsid w:val="009B549A"/>
    <w:rsid w:val="009B54CA"/>
    <w:rsid w:val="009B5608"/>
    <w:rsid w:val="009B5611"/>
    <w:rsid w:val="009B5665"/>
    <w:rsid w:val="009B5943"/>
    <w:rsid w:val="009B5A56"/>
    <w:rsid w:val="009B5BD4"/>
    <w:rsid w:val="009B5DD9"/>
    <w:rsid w:val="009B62FA"/>
    <w:rsid w:val="009B6486"/>
    <w:rsid w:val="009B6504"/>
    <w:rsid w:val="009B65A4"/>
    <w:rsid w:val="009B65AE"/>
    <w:rsid w:val="009B65C9"/>
    <w:rsid w:val="009B67B5"/>
    <w:rsid w:val="009B6A1F"/>
    <w:rsid w:val="009B6C0B"/>
    <w:rsid w:val="009B6EF2"/>
    <w:rsid w:val="009B6F78"/>
    <w:rsid w:val="009B706D"/>
    <w:rsid w:val="009B72C4"/>
    <w:rsid w:val="009B74A4"/>
    <w:rsid w:val="009B7503"/>
    <w:rsid w:val="009B7558"/>
    <w:rsid w:val="009B7573"/>
    <w:rsid w:val="009B7684"/>
    <w:rsid w:val="009B7794"/>
    <w:rsid w:val="009B7836"/>
    <w:rsid w:val="009B7911"/>
    <w:rsid w:val="009B7C20"/>
    <w:rsid w:val="009B7EE6"/>
    <w:rsid w:val="009B7F15"/>
    <w:rsid w:val="009B7FA0"/>
    <w:rsid w:val="009C0236"/>
    <w:rsid w:val="009C0248"/>
    <w:rsid w:val="009C02E1"/>
    <w:rsid w:val="009C039B"/>
    <w:rsid w:val="009C044C"/>
    <w:rsid w:val="009C05A0"/>
    <w:rsid w:val="009C05F1"/>
    <w:rsid w:val="009C062D"/>
    <w:rsid w:val="009C0686"/>
    <w:rsid w:val="009C09FC"/>
    <w:rsid w:val="009C0A31"/>
    <w:rsid w:val="009C10AD"/>
    <w:rsid w:val="009C1299"/>
    <w:rsid w:val="009C1541"/>
    <w:rsid w:val="009C1785"/>
    <w:rsid w:val="009C192B"/>
    <w:rsid w:val="009C198C"/>
    <w:rsid w:val="009C1B9F"/>
    <w:rsid w:val="009C214F"/>
    <w:rsid w:val="009C22E0"/>
    <w:rsid w:val="009C245E"/>
    <w:rsid w:val="009C2566"/>
    <w:rsid w:val="009C25A5"/>
    <w:rsid w:val="009C26EF"/>
    <w:rsid w:val="009C2897"/>
    <w:rsid w:val="009C2CE1"/>
    <w:rsid w:val="009C2D9F"/>
    <w:rsid w:val="009C2F93"/>
    <w:rsid w:val="009C3178"/>
    <w:rsid w:val="009C3239"/>
    <w:rsid w:val="009C32C8"/>
    <w:rsid w:val="009C33E5"/>
    <w:rsid w:val="009C3441"/>
    <w:rsid w:val="009C344D"/>
    <w:rsid w:val="009C37A2"/>
    <w:rsid w:val="009C38EA"/>
    <w:rsid w:val="009C3A66"/>
    <w:rsid w:val="009C3E12"/>
    <w:rsid w:val="009C4196"/>
    <w:rsid w:val="009C41F5"/>
    <w:rsid w:val="009C426C"/>
    <w:rsid w:val="009C426D"/>
    <w:rsid w:val="009C4444"/>
    <w:rsid w:val="009C4688"/>
    <w:rsid w:val="009C468C"/>
    <w:rsid w:val="009C489D"/>
    <w:rsid w:val="009C48BF"/>
    <w:rsid w:val="009C4A88"/>
    <w:rsid w:val="009C4B2B"/>
    <w:rsid w:val="009C4BE8"/>
    <w:rsid w:val="009C4BFE"/>
    <w:rsid w:val="009C4F61"/>
    <w:rsid w:val="009C5109"/>
    <w:rsid w:val="009C51FA"/>
    <w:rsid w:val="009C521C"/>
    <w:rsid w:val="009C529E"/>
    <w:rsid w:val="009C52D5"/>
    <w:rsid w:val="009C5646"/>
    <w:rsid w:val="009C58DA"/>
    <w:rsid w:val="009C59F5"/>
    <w:rsid w:val="009C5B0C"/>
    <w:rsid w:val="009C5E0D"/>
    <w:rsid w:val="009C5E75"/>
    <w:rsid w:val="009C5F2B"/>
    <w:rsid w:val="009C6121"/>
    <w:rsid w:val="009C62B9"/>
    <w:rsid w:val="009C6440"/>
    <w:rsid w:val="009C6792"/>
    <w:rsid w:val="009C68F8"/>
    <w:rsid w:val="009C690B"/>
    <w:rsid w:val="009C70A8"/>
    <w:rsid w:val="009C73A7"/>
    <w:rsid w:val="009C75F5"/>
    <w:rsid w:val="009C7658"/>
    <w:rsid w:val="009C7690"/>
    <w:rsid w:val="009C79F2"/>
    <w:rsid w:val="009C7AC9"/>
    <w:rsid w:val="009C7B07"/>
    <w:rsid w:val="009C7D29"/>
    <w:rsid w:val="009D0013"/>
    <w:rsid w:val="009D014D"/>
    <w:rsid w:val="009D0363"/>
    <w:rsid w:val="009D04A0"/>
    <w:rsid w:val="009D04C1"/>
    <w:rsid w:val="009D0706"/>
    <w:rsid w:val="009D0A4B"/>
    <w:rsid w:val="009D0CBC"/>
    <w:rsid w:val="009D0D08"/>
    <w:rsid w:val="009D0E2E"/>
    <w:rsid w:val="009D0F43"/>
    <w:rsid w:val="009D12B2"/>
    <w:rsid w:val="009D1339"/>
    <w:rsid w:val="009D14CD"/>
    <w:rsid w:val="009D1588"/>
    <w:rsid w:val="009D170B"/>
    <w:rsid w:val="009D19B3"/>
    <w:rsid w:val="009D1B32"/>
    <w:rsid w:val="009D1FB0"/>
    <w:rsid w:val="009D2134"/>
    <w:rsid w:val="009D2157"/>
    <w:rsid w:val="009D2270"/>
    <w:rsid w:val="009D232B"/>
    <w:rsid w:val="009D249A"/>
    <w:rsid w:val="009D24C2"/>
    <w:rsid w:val="009D2524"/>
    <w:rsid w:val="009D252C"/>
    <w:rsid w:val="009D2634"/>
    <w:rsid w:val="009D2DDD"/>
    <w:rsid w:val="009D2E66"/>
    <w:rsid w:val="009D30E1"/>
    <w:rsid w:val="009D3512"/>
    <w:rsid w:val="009D38AF"/>
    <w:rsid w:val="009D39D8"/>
    <w:rsid w:val="009D3C44"/>
    <w:rsid w:val="009D3D89"/>
    <w:rsid w:val="009D3DE4"/>
    <w:rsid w:val="009D3E8C"/>
    <w:rsid w:val="009D41E0"/>
    <w:rsid w:val="009D4337"/>
    <w:rsid w:val="009D44CD"/>
    <w:rsid w:val="009D459A"/>
    <w:rsid w:val="009D461C"/>
    <w:rsid w:val="009D47F2"/>
    <w:rsid w:val="009D4832"/>
    <w:rsid w:val="009D49BC"/>
    <w:rsid w:val="009D49D2"/>
    <w:rsid w:val="009D4B56"/>
    <w:rsid w:val="009D4BAF"/>
    <w:rsid w:val="009D4EF9"/>
    <w:rsid w:val="009D4F5C"/>
    <w:rsid w:val="009D508F"/>
    <w:rsid w:val="009D50F9"/>
    <w:rsid w:val="009D5134"/>
    <w:rsid w:val="009D5294"/>
    <w:rsid w:val="009D557F"/>
    <w:rsid w:val="009D5668"/>
    <w:rsid w:val="009D56F4"/>
    <w:rsid w:val="009D57C1"/>
    <w:rsid w:val="009D58C7"/>
    <w:rsid w:val="009D5905"/>
    <w:rsid w:val="009D599A"/>
    <w:rsid w:val="009D5A99"/>
    <w:rsid w:val="009D5D7B"/>
    <w:rsid w:val="009D5EF8"/>
    <w:rsid w:val="009D64BB"/>
    <w:rsid w:val="009D6507"/>
    <w:rsid w:val="009D6515"/>
    <w:rsid w:val="009D66AB"/>
    <w:rsid w:val="009D69AB"/>
    <w:rsid w:val="009D69F1"/>
    <w:rsid w:val="009D6A36"/>
    <w:rsid w:val="009D6E6B"/>
    <w:rsid w:val="009D6E8E"/>
    <w:rsid w:val="009D6F51"/>
    <w:rsid w:val="009D6F5A"/>
    <w:rsid w:val="009D705C"/>
    <w:rsid w:val="009D744E"/>
    <w:rsid w:val="009D74A6"/>
    <w:rsid w:val="009D7682"/>
    <w:rsid w:val="009D77DF"/>
    <w:rsid w:val="009D782F"/>
    <w:rsid w:val="009D7859"/>
    <w:rsid w:val="009D7967"/>
    <w:rsid w:val="009D7AEA"/>
    <w:rsid w:val="009D7B72"/>
    <w:rsid w:val="009D7D5D"/>
    <w:rsid w:val="009D7D62"/>
    <w:rsid w:val="009D7E10"/>
    <w:rsid w:val="009D7EE0"/>
    <w:rsid w:val="009DAD19"/>
    <w:rsid w:val="009E009E"/>
    <w:rsid w:val="009E011E"/>
    <w:rsid w:val="009E0138"/>
    <w:rsid w:val="009E0171"/>
    <w:rsid w:val="009E0359"/>
    <w:rsid w:val="009E03BC"/>
    <w:rsid w:val="009E03D3"/>
    <w:rsid w:val="009E0520"/>
    <w:rsid w:val="009E0AB2"/>
    <w:rsid w:val="009E0B91"/>
    <w:rsid w:val="009E0DB2"/>
    <w:rsid w:val="009E0DBD"/>
    <w:rsid w:val="009E1113"/>
    <w:rsid w:val="009E14ED"/>
    <w:rsid w:val="009E15DD"/>
    <w:rsid w:val="009E16AA"/>
    <w:rsid w:val="009E1814"/>
    <w:rsid w:val="009E1995"/>
    <w:rsid w:val="009E1A23"/>
    <w:rsid w:val="009E1B5C"/>
    <w:rsid w:val="009E1D67"/>
    <w:rsid w:val="009E1D7F"/>
    <w:rsid w:val="009E1EF6"/>
    <w:rsid w:val="009E2235"/>
    <w:rsid w:val="009E223F"/>
    <w:rsid w:val="009E2349"/>
    <w:rsid w:val="009E2405"/>
    <w:rsid w:val="009E252C"/>
    <w:rsid w:val="009E2634"/>
    <w:rsid w:val="009E2804"/>
    <w:rsid w:val="009E2CE2"/>
    <w:rsid w:val="009E2D5E"/>
    <w:rsid w:val="009E2DC2"/>
    <w:rsid w:val="009E2E5C"/>
    <w:rsid w:val="009E2F1C"/>
    <w:rsid w:val="009E31ED"/>
    <w:rsid w:val="009E3812"/>
    <w:rsid w:val="009E3823"/>
    <w:rsid w:val="009E385C"/>
    <w:rsid w:val="009E3A87"/>
    <w:rsid w:val="009E3B78"/>
    <w:rsid w:val="009E3DC4"/>
    <w:rsid w:val="009E3FB8"/>
    <w:rsid w:val="009E41A9"/>
    <w:rsid w:val="009E4273"/>
    <w:rsid w:val="009E4326"/>
    <w:rsid w:val="009E454D"/>
    <w:rsid w:val="009E455A"/>
    <w:rsid w:val="009E4560"/>
    <w:rsid w:val="009E46CA"/>
    <w:rsid w:val="009E490C"/>
    <w:rsid w:val="009E4A07"/>
    <w:rsid w:val="009E4A82"/>
    <w:rsid w:val="009E4F33"/>
    <w:rsid w:val="009E50BD"/>
    <w:rsid w:val="009E520B"/>
    <w:rsid w:val="009E52DF"/>
    <w:rsid w:val="009E53E1"/>
    <w:rsid w:val="009E557A"/>
    <w:rsid w:val="009E5745"/>
    <w:rsid w:val="009E5826"/>
    <w:rsid w:val="009E5B14"/>
    <w:rsid w:val="009E5C87"/>
    <w:rsid w:val="009E5DF3"/>
    <w:rsid w:val="009E5E9B"/>
    <w:rsid w:val="009E617E"/>
    <w:rsid w:val="009E6244"/>
    <w:rsid w:val="009E63B2"/>
    <w:rsid w:val="009E64EA"/>
    <w:rsid w:val="009E67C2"/>
    <w:rsid w:val="009E6BD7"/>
    <w:rsid w:val="009E6C06"/>
    <w:rsid w:val="009E700F"/>
    <w:rsid w:val="009E7080"/>
    <w:rsid w:val="009E70C4"/>
    <w:rsid w:val="009E71CA"/>
    <w:rsid w:val="009E745A"/>
    <w:rsid w:val="009E7508"/>
    <w:rsid w:val="009E7517"/>
    <w:rsid w:val="009E7717"/>
    <w:rsid w:val="009E77E6"/>
    <w:rsid w:val="009E7804"/>
    <w:rsid w:val="009E7831"/>
    <w:rsid w:val="009E785C"/>
    <w:rsid w:val="009E7B21"/>
    <w:rsid w:val="009E7DAA"/>
    <w:rsid w:val="009E7DC4"/>
    <w:rsid w:val="009E7E1E"/>
    <w:rsid w:val="009E91EA"/>
    <w:rsid w:val="009F01AD"/>
    <w:rsid w:val="009F0282"/>
    <w:rsid w:val="009F0314"/>
    <w:rsid w:val="009F04E9"/>
    <w:rsid w:val="009F0747"/>
    <w:rsid w:val="009F0757"/>
    <w:rsid w:val="009F07B7"/>
    <w:rsid w:val="009F09B7"/>
    <w:rsid w:val="009F0A7E"/>
    <w:rsid w:val="009F0A8A"/>
    <w:rsid w:val="009F0D0D"/>
    <w:rsid w:val="009F103D"/>
    <w:rsid w:val="009F11AF"/>
    <w:rsid w:val="009F164B"/>
    <w:rsid w:val="009F16A6"/>
    <w:rsid w:val="009F1861"/>
    <w:rsid w:val="009F18A6"/>
    <w:rsid w:val="009F1B9E"/>
    <w:rsid w:val="009F1C92"/>
    <w:rsid w:val="009F1D56"/>
    <w:rsid w:val="009F1DD9"/>
    <w:rsid w:val="009F2024"/>
    <w:rsid w:val="009F2077"/>
    <w:rsid w:val="009F2224"/>
    <w:rsid w:val="009F22D3"/>
    <w:rsid w:val="009F2981"/>
    <w:rsid w:val="009F29AB"/>
    <w:rsid w:val="009F2B1C"/>
    <w:rsid w:val="009F2B7C"/>
    <w:rsid w:val="009F2C52"/>
    <w:rsid w:val="009F2CDD"/>
    <w:rsid w:val="009F30D6"/>
    <w:rsid w:val="009F31C5"/>
    <w:rsid w:val="009F3242"/>
    <w:rsid w:val="009F34CB"/>
    <w:rsid w:val="009F35AB"/>
    <w:rsid w:val="009F3673"/>
    <w:rsid w:val="009F3765"/>
    <w:rsid w:val="009F37F3"/>
    <w:rsid w:val="009F389B"/>
    <w:rsid w:val="009F3AAD"/>
    <w:rsid w:val="009F3B86"/>
    <w:rsid w:val="009F3C5A"/>
    <w:rsid w:val="009F3F3F"/>
    <w:rsid w:val="009F41A4"/>
    <w:rsid w:val="009F4392"/>
    <w:rsid w:val="009F477E"/>
    <w:rsid w:val="009F4A3A"/>
    <w:rsid w:val="009F4B0D"/>
    <w:rsid w:val="009F4C87"/>
    <w:rsid w:val="009F4E1C"/>
    <w:rsid w:val="009F4ECC"/>
    <w:rsid w:val="009F4FC0"/>
    <w:rsid w:val="009F50F0"/>
    <w:rsid w:val="009F5104"/>
    <w:rsid w:val="009F5152"/>
    <w:rsid w:val="009F51A2"/>
    <w:rsid w:val="009F52EA"/>
    <w:rsid w:val="009F5508"/>
    <w:rsid w:val="009F557D"/>
    <w:rsid w:val="009F55C1"/>
    <w:rsid w:val="009F56B6"/>
    <w:rsid w:val="009F578D"/>
    <w:rsid w:val="009F5812"/>
    <w:rsid w:val="009F599F"/>
    <w:rsid w:val="009F5A57"/>
    <w:rsid w:val="009F5BAB"/>
    <w:rsid w:val="009F5CC5"/>
    <w:rsid w:val="009F5D5C"/>
    <w:rsid w:val="009F5DA5"/>
    <w:rsid w:val="009F5F3C"/>
    <w:rsid w:val="009F5F7D"/>
    <w:rsid w:val="009F5F93"/>
    <w:rsid w:val="009F5FE7"/>
    <w:rsid w:val="009F6024"/>
    <w:rsid w:val="009F6037"/>
    <w:rsid w:val="009F6068"/>
    <w:rsid w:val="009F60F0"/>
    <w:rsid w:val="009F691E"/>
    <w:rsid w:val="009F6A65"/>
    <w:rsid w:val="009F6ACB"/>
    <w:rsid w:val="009F6CCF"/>
    <w:rsid w:val="009F6D59"/>
    <w:rsid w:val="009F6DA0"/>
    <w:rsid w:val="009F6DDE"/>
    <w:rsid w:val="009F6F21"/>
    <w:rsid w:val="009F7139"/>
    <w:rsid w:val="009F7279"/>
    <w:rsid w:val="009F730D"/>
    <w:rsid w:val="009F7424"/>
    <w:rsid w:val="009F7509"/>
    <w:rsid w:val="009F75DA"/>
    <w:rsid w:val="009F7602"/>
    <w:rsid w:val="009F779D"/>
    <w:rsid w:val="009F78FE"/>
    <w:rsid w:val="009F794E"/>
    <w:rsid w:val="009F796D"/>
    <w:rsid w:val="009F79A5"/>
    <w:rsid w:val="009F79A7"/>
    <w:rsid w:val="009F7ABC"/>
    <w:rsid w:val="009F7C37"/>
    <w:rsid w:val="009F7C96"/>
    <w:rsid w:val="009F7CE6"/>
    <w:rsid w:val="009F7DA0"/>
    <w:rsid w:val="009F7FA4"/>
    <w:rsid w:val="00A001CD"/>
    <w:rsid w:val="00A0036E"/>
    <w:rsid w:val="00A0040D"/>
    <w:rsid w:val="00A004CD"/>
    <w:rsid w:val="00A00506"/>
    <w:rsid w:val="00A00534"/>
    <w:rsid w:val="00A0078F"/>
    <w:rsid w:val="00A00914"/>
    <w:rsid w:val="00A00A6C"/>
    <w:rsid w:val="00A00AEB"/>
    <w:rsid w:val="00A00C09"/>
    <w:rsid w:val="00A00CB9"/>
    <w:rsid w:val="00A00CC5"/>
    <w:rsid w:val="00A00D2F"/>
    <w:rsid w:val="00A00DAA"/>
    <w:rsid w:val="00A010BB"/>
    <w:rsid w:val="00A011A9"/>
    <w:rsid w:val="00A011C3"/>
    <w:rsid w:val="00A011D7"/>
    <w:rsid w:val="00A01294"/>
    <w:rsid w:val="00A013B0"/>
    <w:rsid w:val="00A014B9"/>
    <w:rsid w:val="00A01566"/>
    <w:rsid w:val="00A016C8"/>
    <w:rsid w:val="00A016D9"/>
    <w:rsid w:val="00A0173F"/>
    <w:rsid w:val="00A01922"/>
    <w:rsid w:val="00A019AB"/>
    <w:rsid w:val="00A01B9E"/>
    <w:rsid w:val="00A01CCC"/>
    <w:rsid w:val="00A01D36"/>
    <w:rsid w:val="00A02106"/>
    <w:rsid w:val="00A02142"/>
    <w:rsid w:val="00A022E9"/>
    <w:rsid w:val="00A0235E"/>
    <w:rsid w:val="00A02506"/>
    <w:rsid w:val="00A026A1"/>
    <w:rsid w:val="00A0282E"/>
    <w:rsid w:val="00A02D5A"/>
    <w:rsid w:val="00A0304D"/>
    <w:rsid w:val="00A031D4"/>
    <w:rsid w:val="00A03470"/>
    <w:rsid w:val="00A03555"/>
    <w:rsid w:val="00A036AD"/>
    <w:rsid w:val="00A0384D"/>
    <w:rsid w:val="00A038A3"/>
    <w:rsid w:val="00A03953"/>
    <w:rsid w:val="00A039AA"/>
    <w:rsid w:val="00A039FB"/>
    <w:rsid w:val="00A03B29"/>
    <w:rsid w:val="00A03B6C"/>
    <w:rsid w:val="00A03B9C"/>
    <w:rsid w:val="00A04271"/>
    <w:rsid w:val="00A044DE"/>
    <w:rsid w:val="00A0452E"/>
    <w:rsid w:val="00A0468A"/>
    <w:rsid w:val="00A0468F"/>
    <w:rsid w:val="00A04AAC"/>
    <w:rsid w:val="00A04B9C"/>
    <w:rsid w:val="00A04C16"/>
    <w:rsid w:val="00A04C1F"/>
    <w:rsid w:val="00A04D36"/>
    <w:rsid w:val="00A04DDD"/>
    <w:rsid w:val="00A05195"/>
    <w:rsid w:val="00A0546A"/>
    <w:rsid w:val="00A0553E"/>
    <w:rsid w:val="00A0555D"/>
    <w:rsid w:val="00A055F5"/>
    <w:rsid w:val="00A056FA"/>
    <w:rsid w:val="00A05702"/>
    <w:rsid w:val="00A05BE7"/>
    <w:rsid w:val="00A05C45"/>
    <w:rsid w:val="00A05C55"/>
    <w:rsid w:val="00A05D53"/>
    <w:rsid w:val="00A05EB2"/>
    <w:rsid w:val="00A05F47"/>
    <w:rsid w:val="00A05FF1"/>
    <w:rsid w:val="00A06141"/>
    <w:rsid w:val="00A0664A"/>
    <w:rsid w:val="00A066DC"/>
    <w:rsid w:val="00A06717"/>
    <w:rsid w:val="00A06C16"/>
    <w:rsid w:val="00A06D54"/>
    <w:rsid w:val="00A07095"/>
    <w:rsid w:val="00A07162"/>
    <w:rsid w:val="00A07165"/>
    <w:rsid w:val="00A073EC"/>
    <w:rsid w:val="00A074A7"/>
    <w:rsid w:val="00A0754B"/>
    <w:rsid w:val="00A0757E"/>
    <w:rsid w:val="00A07665"/>
    <w:rsid w:val="00A07683"/>
    <w:rsid w:val="00A077D0"/>
    <w:rsid w:val="00A07B57"/>
    <w:rsid w:val="00A07DDB"/>
    <w:rsid w:val="00A07E8C"/>
    <w:rsid w:val="00A07FE5"/>
    <w:rsid w:val="00A10033"/>
    <w:rsid w:val="00A100AF"/>
    <w:rsid w:val="00A1010A"/>
    <w:rsid w:val="00A101B9"/>
    <w:rsid w:val="00A102C7"/>
    <w:rsid w:val="00A10474"/>
    <w:rsid w:val="00A10657"/>
    <w:rsid w:val="00A10742"/>
    <w:rsid w:val="00A108B2"/>
    <w:rsid w:val="00A10977"/>
    <w:rsid w:val="00A10AB2"/>
    <w:rsid w:val="00A10CDD"/>
    <w:rsid w:val="00A110A1"/>
    <w:rsid w:val="00A110A7"/>
    <w:rsid w:val="00A110D7"/>
    <w:rsid w:val="00A11624"/>
    <w:rsid w:val="00A1164A"/>
    <w:rsid w:val="00A1168A"/>
    <w:rsid w:val="00A11759"/>
    <w:rsid w:val="00A117E9"/>
    <w:rsid w:val="00A11839"/>
    <w:rsid w:val="00A11985"/>
    <w:rsid w:val="00A11A98"/>
    <w:rsid w:val="00A11B58"/>
    <w:rsid w:val="00A11BFC"/>
    <w:rsid w:val="00A11C83"/>
    <w:rsid w:val="00A11D9B"/>
    <w:rsid w:val="00A12018"/>
    <w:rsid w:val="00A12155"/>
    <w:rsid w:val="00A12159"/>
    <w:rsid w:val="00A121D7"/>
    <w:rsid w:val="00A126FF"/>
    <w:rsid w:val="00A12705"/>
    <w:rsid w:val="00A12722"/>
    <w:rsid w:val="00A1272E"/>
    <w:rsid w:val="00A1287E"/>
    <w:rsid w:val="00A12990"/>
    <w:rsid w:val="00A12A08"/>
    <w:rsid w:val="00A12A1E"/>
    <w:rsid w:val="00A12AC7"/>
    <w:rsid w:val="00A12AD3"/>
    <w:rsid w:val="00A12D2E"/>
    <w:rsid w:val="00A12D70"/>
    <w:rsid w:val="00A12DDA"/>
    <w:rsid w:val="00A12F51"/>
    <w:rsid w:val="00A1306F"/>
    <w:rsid w:val="00A13140"/>
    <w:rsid w:val="00A13240"/>
    <w:rsid w:val="00A132AB"/>
    <w:rsid w:val="00A13344"/>
    <w:rsid w:val="00A13553"/>
    <w:rsid w:val="00A13AB7"/>
    <w:rsid w:val="00A13BF5"/>
    <w:rsid w:val="00A13BFB"/>
    <w:rsid w:val="00A13D77"/>
    <w:rsid w:val="00A13DEF"/>
    <w:rsid w:val="00A13FBC"/>
    <w:rsid w:val="00A141DB"/>
    <w:rsid w:val="00A1421C"/>
    <w:rsid w:val="00A14248"/>
    <w:rsid w:val="00A142B7"/>
    <w:rsid w:val="00A145EF"/>
    <w:rsid w:val="00A14623"/>
    <w:rsid w:val="00A146C3"/>
    <w:rsid w:val="00A148D1"/>
    <w:rsid w:val="00A14B0F"/>
    <w:rsid w:val="00A14B51"/>
    <w:rsid w:val="00A14C97"/>
    <w:rsid w:val="00A14ECE"/>
    <w:rsid w:val="00A1510A"/>
    <w:rsid w:val="00A152EE"/>
    <w:rsid w:val="00A1540D"/>
    <w:rsid w:val="00A154A2"/>
    <w:rsid w:val="00A154B6"/>
    <w:rsid w:val="00A1563B"/>
    <w:rsid w:val="00A15764"/>
    <w:rsid w:val="00A15BAA"/>
    <w:rsid w:val="00A15BC3"/>
    <w:rsid w:val="00A15C67"/>
    <w:rsid w:val="00A15DF7"/>
    <w:rsid w:val="00A15E00"/>
    <w:rsid w:val="00A15ED5"/>
    <w:rsid w:val="00A16056"/>
    <w:rsid w:val="00A16177"/>
    <w:rsid w:val="00A1619B"/>
    <w:rsid w:val="00A161B9"/>
    <w:rsid w:val="00A16421"/>
    <w:rsid w:val="00A1642C"/>
    <w:rsid w:val="00A1677E"/>
    <w:rsid w:val="00A174A7"/>
    <w:rsid w:val="00A174ED"/>
    <w:rsid w:val="00A1771E"/>
    <w:rsid w:val="00A178C9"/>
    <w:rsid w:val="00A17BB3"/>
    <w:rsid w:val="00A17C71"/>
    <w:rsid w:val="00A17C8D"/>
    <w:rsid w:val="00A17DD4"/>
    <w:rsid w:val="00A20187"/>
    <w:rsid w:val="00A204E5"/>
    <w:rsid w:val="00A20599"/>
    <w:rsid w:val="00A2066F"/>
    <w:rsid w:val="00A207C6"/>
    <w:rsid w:val="00A20834"/>
    <w:rsid w:val="00A20859"/>
    <w:rsid w:val="00A20CD2"/>
    <w:rsid w:val="00A20E8C"/>
    <w:rsid w:val="00A20ECF"/>
    <w:rsid w:val="00A20F32"/>
    <w:rsid w:val="00A20FA4"/>
    <w:rsid w:val="00A20FD6"/>
    <w:rsid w:val="00A21092"/>
    <w:rsid w:val="00A21170"/>
    <w:rsid w:val="00A21612"/>
    <w:rsid w:val="00A21989"/>
    <w:rsid w:val="00A21A92"/>
    <w:rsid w:val="00A21D6D"/>
    <w:rsid w:val="00A21F52"/>
    <w:rsid w:val="00A21F91"/>
    <w:rsid w:val="00A21F93"/>
    <w:rsid w:val="00A21F94"/>
    <w:rsid w:val="00A220C5"/>
    <w:rsid w:val="00A2227F"/>
    <w:rsid w:val="00A223F9"/>
    <w:rsid w:val="00A22461"/>
    <w:rsid w:val="00A22854"/>
    <w:rsid w:val="00A228E4"/>
    <w:rsid w:val="00A22951"/>
    <w:rsid w:val="00A22B4E"/>
    <w:rsid w:val="00A22BD7"/>
    <w:rsid w:val="00A22BFF"/>
    <w:rsid w:val="00A22DA0"/>
    <w:rsid w:val="00A22DB8"/>
    <w:rsid w:val="00A22DEA"/>
    <w:rsid w:val="00A22EED"/>
    <w:rsid w:val="00A22F2E"/>
    <w:rsid w:val="00A22F74"/>
    <w:rsid w:val="00A23087"/>
    <w:rsid w:val="00A231BA"/>
    <w:rsid w:val="00A23324"/>
    <w:rsid w:val="00A23412"/>
    <w:rsid w:val="00A23454"/>
    <w:rsid w:val="00A23499"/>
    <w:rsid w:val="00A2399B"/>
    <w:rsid w:val="00A239BD"/>
    <w:rsid w:val="00A23B26"/>
    <w:rsid w:val="00A23B8F"/>
    <w:rsid w:val="00A23CD9"/>
    <w:rsid w:val="00A24098"/>
    <w:rsid w:val="00A242A5"/>
    <w:rsid w:val="00A24362"/>
    <w:rsid w:val="00A243A8"/>
    <w:rsid w:val="00A244EB"/>
    <w:rsid w:val="00A244F1"/>
    <w:rsid w:val="00A244FA"/>
    <w:rsid w:val="00A245B0"/>
    <w:rsid w:val="00A245C5"/>
    <w:rsid w:val="00A24779"/>
    <w:rsid w:val="00A24B49"/>
    <w:rsid w:val="00A24C7E"/>
    <w:rsid w:val="00A24D46"/>
    <w:rsid w:val="00A24DCA"/>
    <w:rsid w:val="00A24EC4"/>
    <w:rsid w:val="00A24EC6"/>
    <w:rsid w:val="00A24F3A"/>
    <w:rsid w:val="00A24FCF"/>
    <w:rsid w:val="00A25212"/>
    <w:rsid w:val="00A25259"/>
    <w:rsid w:val="00A256B5"/>
    <w:rsid w:val="00A256E0"/>
    <w:rsid w:val="00A2587E"/>
    <w:rsid w:val="00A258A0"/>
    <w:rsid w:val="00A258B5"/>
    <w:rsid w:val="00A259BF"/>
    <w:rsid w:val="00A25B1D"/>
    <w:rsid w:val="00A25BA8"/>
    <w:rsid w:val="00A25D6A"/>
    <w:rsid w:val="00A25ECE"/>
    <w:rsid w:val="00A261E0"/>
    <w:rsid w:val="00A26236"/>
    <w:rsid w:val="00A262C0"/>
    <w:rsid w:val="00A26366"/>
    <w:rsid w:val="00A2638E"/>
    <w:rsid w:val="00A265EC"/>
    <w:rsid w:val="00A26830"/>
    <w:rsid w:val="00A2684B"/>
    <w:rsid w:val="00A26CB3"/>
    <w:rsid w:val="00A27014"/>
    <w:rsid w:val="00A2703C"/>
    <w:rsid w:val="00A27117"/>
    <w:rsid w:val="00A27119"/>
    <w:rsid w:val="00A27282"/>
    <w:rsid w:val="00A27307"/>
    <w:rsid w:val="00A27327"/>
    <w:rsid w:val="00A279C9"/>
    <w:rsid w:val="00A27C30"/>
    <w:rsid w:val="00A27CA5"/>
    <w:rsid w:val="00A27DAE"/>
    <w:rsid w:val="00A27DDD"/>
    <w:rsid w:val="00A27F2E"/>
    <w:rsid w:val="00A30182"/>
    <w:rsid w:val="00A301E8"/>
    <w:rsid w:val="00A30566"/>
    <w:rsid w:val="00A3069F"/>
    <w:rsid w:val="00A3091D"/>
    <w:rsid w:val="00A30A4D"/>
    <w:rsid w:val="00A30A6C"/>
    <w:rsid w:val="00A30D89"/>
    <w:rsid w:val="00A30F34"/>
    <w:rsid w:val="00A311F0"/>
    <w:rsid w:val="00A31346"/>
    <w:rsid w:val="00A3152D"/>
    <w:rsid w:val="00A31673"/>
    <w:rsid w:val="00A3180A"/>
    <w:rsid w:val="00A318EF"/>
    <w:rsid w:val="00A31AC3"/>
    <w:rsid w:val="00A31B1D"/>
    <w:rsid w:val="00A31BE5"/>
    <w:rsid w:val="00A31C87"/>
    <w:rsid w:val="00A32147"/>
    <w:rsid w:val="00A3215C"/>
    <w:rsid w:val="00A32237"/>
    <w:rsid w:val="00A327FA"/>
    <w:rsid w:val="00A3283A"/>
    <w:rsid w:val="00A32A03"/>
    <w:rsid w:val="00A32A29"/>
    <w:rsid w:val="00A32B2F"/>
    <w:rsid w:val="00A32B9B"/>
    <w:rsid w:val="00A32D5F"/>
    <w:rsid w:val="00A330AA"/>
    <w:rsid w:val="00A330AC"/>
    <w:rsid w:val="00A33589"/>
    <w:rsid w:val="00A33777"/>
    <w:rsid w:val="00A3389F"/>
    <w:rsid w:val="00A338A8"/>
    <w:rsid w:val="00A33A84"/>
    <w:rsid w:val="00A33D04"/>
    <w:rsid w:val="00A33EBF"/>
    <w:rsid w:val="00A33ED0"/>
    <w:rsid w:val="00A33ED2"/>
    <w:rsid w:val="00A34134"/>
    <w:rsid w:val="00A3426B"/>
    <w:rsid w:val="00A34286"/>
    <w:rsid w:val="00A342E0"/>
    <w:rsid w:val="00A34437"/>
    <w:rsid w:val="00A345A3"/>
    <w:rsid w:val="00A345C6"/>
    <w:rsid w:val="00A346AE"/>
    <w:rsid w:val="00A346FF"/>
    <w:rsid w:val="00A3488E"/>
    <w:rsid w:val="00A348F6"/>
    <w:rsid w:val="00A34D92"/>
    <w:rsid w:val="00A34E6D"/>
    <w:rsid w:val="00A34EA3"/>
    <w:rsid w:val="00A3524F"/>
    <w:rsid w:val="00A3533B"/>
    <w:rsid w:val="00A3535C"/>
    <w:rsid w:val="00A35662"/>
    <w:rsid w:val="00A3569D"/>
    <w:rsid w:val="00A3569E"/>
    <w:rsid w:val="00A35797"/>
    <w:rsid w:val="00A3587C"/>
    <w:rsid w:val="00A359BA"/>
    <w:rsid w:val="00A35A34"/>
    <w:rsid w:val="00A35B7D"/>
    <w:rsid w:val="00A35BB8"/>
    <w:rsid w:val="00A35C1D"/>
    <w:rsid w:val="00A35D19"/>
    <w:rsid w:val="00A35F15"/>
    <w:rsid w:val="00A35F55"/>
    <w:rsid w:val="00A36005"/>
    <w:rsid w:val="00A3601E"/>
    <w:rsid w:val="00A362F3"/>
    <w:rsid w:val="00A36351"/>
    <w:rsid w:val="00A36441"/>
    <w:rsid w:val="00A364C6"/>
    <w:rsid w:val="00A36880"/>
    <w:rsid w:val="00A369A9"/>
    <w:rsid w:val="00A36AB8"/>
    <w:rsid w:val="00A36ABA"/>
    <w:rsid w:val="00A36BE9"/>
    <w:rsid w:val="00A36D1E"/>
    <w:rsid w:val="00A36D51"/>
    <w:rsid w:val="00A36D6F"/>
    <w:rsid w:val="00A36DC2"/>
    <w:rsid w:val="00A37016"/>
    <w:rsid w:val="00A37050"/>
    <w:rsid w:val="00A3710D"/>
    <w:rsid w:val="00A3762A"/>
    <w:rsid w:val="00A37665"/>
    <w:rsid w:val="00A3772C"/>
    <w:rsid w:val="00A37820"/>
    <w:rsid w:val="00A378AC"/>
    <w:rsid w:val="00A379FC"/>
    <w:rsid w:val="00A37A8D"/>
    <w:rsid w:val="00A37C4A"/>
    <w:rsid w:val="00A37D5B"/>
    <w:rsid w:val="00A37F8C"/>
    <w:rsid w:val="00A402C8"/>
    <w:rsid w:val="00A405CA"/>
    <w:rsid w:val="00A409CB"/>
    <w:rsid w:val="00A409F8"/>
    <w:rsid w:val="00A40A0E"/>
    <w:rsid w:val="00A40A37"/>
    <w:rsid w:val="00A40B95"/>
    <w:rsid w:val="00A40C76"/>
    <w:rsid w:val="00A40CA7"/>
    <w:rsid w:val="00A41620"/>
    <w:rsid w:val="00A41713"/>
    <w:rsid w:val="00A41752"/>
    <w:rsid w:val="00A41777"/>
    <w:rsid w:val="00A417CB"/>
    <w:rsid w:val="00A41838"/>
    <w:rsid w:val="00A41880"/>
    <w:rsid w:val="00A41906"/>
    <w:rsid w:val="00A41DFA"/>
    <w:rsid w:val="00A41E15"/>
    <w:rsid w:val="00A41E51"/>
    <w:rsid w:val="00A42013"/>
    <w:rsid w:val="00A4242A"/>
    <w:rsid w:val="00A4255A"/>
    <w:rsid w:val="00A425B5"/>
    <w:rsid w:val="00A427F0"/>
    <w:rsid w:val="00A4286A"/>
    <w:rsid w:val="00A429C6"/>
    <w:rsid w:val="00A42A7E"/>
    <w:rsid w:val="00A42B0A"/>
    <w:rsid w:val="00A42B1F"/>
    <w:rsid w:val="00A42CCE"/>
    <w:rsid w:val="00A42CE1"/>
    <w:rsid w:val="00A42FD4"/>
    <w:rsid w:val="00A430FA"/>
    <w:rsid w:val="00A43147"/>
    <w:rsid w:val="00A4320E"/>
    <w:rsid w:val="00A432A2"/>
    <w:rsid w:val="00A434DD"/>
    <w:rsid w:val="00A435CE"/>
    <w:rsid w:val="00A43628"/>
    <w:rsid w:val="00A437CD"/>
    <w:rsid w:val="00A438F8"/>
    <w:rsid w:val="00A43978"/>
    <w:rsid w:val="00A43CC6"/>
    <w:rsid w:val="00A43D20"/>
    <w:rsid w:val="00A43F9E"/>
    <w:rsid w:val="00A43FFF"/>
    <w:rsid w:val="00A44082"/>
    <w:rsid w:val="00A440A8"/>
    <w:rsid w:val="00A440C7"/>
    <w:rsid w:val="00A44211"/>
    <w:rsid w:val="00A4424D"/>
    <w:rsid w:val="00A443D9"/>
    <w:rsid w:val="00A443E1"/>
    <w:rsid w:val="00A44925"/>
    <w:rsid w:val="00A449A5"/>
    <w:rsid w:val="00A44B2E"/>
    <w:rsid w:val="00A44BC3"/>
    <w:rsid w:val="00A44C72"/>
    <w:rsid w:val="00A44C85"/>
    <w:rsid w:val="00A44D83"/>
    <w:rsid w:val="00A45046"/>
    <w:rsid w:val="00A45079"/>
    <w:rsid w:val="00A451DF"/>
    <w:rsid w:val="00A45439"/>
    <w:rsid w:val="00A45492"/>
    <w:rsid w:val="00A455E6"/>
    <w:rsid w:val="00A4560B"/>
    <w:rsid w:val="00A45656"/>
    <w:rsid w:val="00A45688"/>
    <w:rsid w:val="00A45776"/>
    <w:rsid w:val="00A45794"/>
    <w:rsid w:val="00A45A66"/>
    <w:rsid w:val="00A45BA5"/>
    <w:rsid w:val="00A45CA8"/>
    <w:rsid w:val="00A45CD0"/>
    <w:rsid w:val="00A45E09"/>
    <w:rsid w:val="00A45EA8"/>
    <w:rsid w:val="00A45EE1"/>
    <w:rsid w:val="00A45F13"/>
    <w:rsid w:val="00A462E7"/>
    <w:rsid w:val="00A46370"/>
    <w:rsid w:val="00A463C3"/>
    <w:rsid w:val="00A463D6"/>
    <w:rsid w:val="00A463FC"/>
    <w:rsid w:val="00A464E2"/>
    <w:rsid w:val="00A46522"/>
    <w:rsid w:val="00A46755"/>
    <w:rsid w:val="00A46992"/>
    <w:rsid w:val="00A46A84"/>
    <w:rsid w:val="00A46C34"/>
    <w:rsid w:val="00A46CF8"/>
    <w:rsid w:val="00A46DAB"/>
    <w:rsid w:val="00A46EA0"/>
    <w:rsid w:val="00A46F60"/>
    <w:rsid w:val="00A47223"/>
    <w:rsid w:val="00A47342"/>
    <w:rsid w:val="00A47524"/>
    <w:rsid w:val="00A478AA"/>
    <w:rsid w:val="00A47A41"/>
    <w:rsid w:val="00A47BF5"/>
    <w:rsid w:val="00A47C23"/>
    <w:rsid w:val="00A500FA"/>
    <w:rsid w:val="00A505C9"/>
    <w:rsid w:val="00A505F7"/>
    <w:rsid w:val="00A506CD"/>
    <w:rsid w:val="00A5095D"/>
    <w:rsid w:val="00A50B1E"/>
    <w:rsid w:val="00A50B36"/>
    <w:rsid w:val="00A50BC8"/>
    <w:rsid w:val="00A50C5D"/>
    <w:rsid w:val="00A50E86"/>
    <w:rsid w:val="00A50F0D"/>
    <w:rsid w:val="00A51043"/>
    <w:rsid w:val="00A51099"/>
    <w:rsid w:val="00A511A6"/>
    <w:rsid w:val="00A511DE"/>
    <w:rsid w:val="00A51370"/>
    <w:rsid w:val="00A51903"/>
    <w:rsid w:val="00A51A06"/>
    <w:rsid w:val="00A51AD2"/>
    <w:rsid w:val="00A51C29"/>
    <w:rsid w:val="00A51C42"/>
    <w:rsid w:val="00A51C64"/>
    <w:rsid w:val="00A51E25"/>
    <w:rsid w:val="00A51F15"/>
    <w:rsid w:val="00A5204C"/>
    <w:rsid w:val="00A52070"/>
    <w:rsid w:val="00A522C7"/>
    <w:rsid w:val="00A5245B"/>
    <w:rsid w:val="00A52532"/>
    <w:rsid w:val="00A5260C"/>
    <w:rsid w:val="00A5264E"/>
    <w:rsid w:val="00A5290C"/>
    <w:rsid w:val="00A5299A"/>
    <w:rsid w:val="00A52AB4"/>
    <w:rsid w:val="00A52ABA"/>
    <w:rsid w:val="00A52C67"/>
    <w:rsid w:val="00A52C85"/>
    <w:rsid w:val="00A52D51"/>
    <w:rsid w:val="00A52D9A"/>
    <w:rsid w:val="00A52DF0"/>
    <w:rsid w:val="00A52F58"/>
    <w:rsid w:val="00A52F81"/>
    <w:rsid w:val="00A53086"/>
    <w:rsid w:val="00A532CA"/>
    <w:rsid w:val="00A537D4"/>
    <w:rsid w:val="00A5396B"/>
    <w:rsid w:val="00A539BD"/>
    <w:rsid w:val="00A539EA"/>
    <w:rsid w:val="00A539FA"/>
    <w:rsid w:val="00A53B3E"/>
    <w:rsid w:val="00A53B59"/>
    <w:rsid w:val="00A53B8E"/>
    <w:rsid w:val="00A53C3A"/>
    <w:rsid w:val="00A53C3D"/>
    <w:rsid w:val="00A53E93"/>
    <w:rsid w:val="00A53F86"/>
    <w:rsid w:val="00A5407A"/>
    <w:rsid w:val="00A5416D"/>
    <w:rsid w:val="00A5420A"/>
    <w:rsid w:val="00A5421B"/>
    <w:rsid w:val="00A54594"/>
    <w:rsid w:val="00A54658"/>
    <w:rsid w:val="00A5486C"/>
    <w:rsid w:val="00A5497C"/>
    <w:rsid w:val="00A54A67"/>
    <w:rsid w:val="00A54BFB"/>
    <w:rsid w:val="00A54DA3"/>
    <w:rsid w:val="00A54E3A"/>
    <w:rsid w:val="00A55059"/>
    <w:rsid w:val="00A553B6"/>
    <w:rsid w:val="00A55461"/>
    <w:rsid w:val="00A555BF"/>
    <w:rsid w:val="00A555E4"/>
    <w:rsid w:val="00A5571C"/>
    <w:rsid w:val="00A558A1"/>
    <w:rsid w:val="00A558DA"/>
    <w:rsid w:val="00A55999"/>
    <w:rsid w:val="00A55D5A"/>
    <w:rsid w:val="00A561E0"/>
    <w:rsid w:val="00A562EC"/>
    <w:rsid w:val="00A56389"/>
    <w:rsid w:val="00A56510"/>
    <w:rsid w:val="00A56539"/>
    <w:rsid w:val="00A5670B"/>
    <w:rsid w:val="00A56816"/>
    <w:rsid w:val="00A56E22"/>
    <w:rsid w:val="00A56EFF"/>
    <w:rsid w:val="00A56FC2"/>
    <w:rsid w:val="00A56FD6"/>
    <w:rsid w:val="00A5717E"/>
    <w:rsid w:val="00A575D4"/>
    <w:rsid w:val="00A57649"/>
    <w:rsid w:val="00A5780A"/>
    <w:rsid w:val="00A579C4"/>
    <w:rsid w:val="00A57F7E"/>
    <w:rsid w:val="00A60145"/>
    <w:rsid w:val="00A60161"/>
    <w:rsid w:val="00A601F3"/>
    <w:rsid w:val="00A602C8"/>
    <w:rsid w:val="00A60328"/>
    <w:rsid w:val="00A604D0"/>
    <w:rsid w:val="00A60962"/>
    <w:rsid w:val="00A60968"/>
    <w:rsid w:val="00A60985"/>
    <w:rsid w:val="00A609B1"/>
    <w:rsid w:val="00A60BB2"/>
    <w:rsid w:val="00A60CBE"/>
    <w:rsid w:val="00A60FC5"/>
    <w:rsid w:val="00A6155A"/>
    <w:rsid w:val="00A61596"/>
    <w:rsid w:val="00A616F2"/>
    <w:rsid w:val="00A617F6"/>
    <w:rsid w:val="00A6197E"/>
    <w:rsid w:val="00A619F3"/>
    <w:rsid w:val="00A61AA2"/>
    <w:rsid w:val="00A61B04"/>
    <w:rsid w:val="00A61BFA"/>
    <w:rsid w:val="00A61C0F"/>
    <w:rsid w:val="00A61D96"/>
    <w:rsid w:val="00A61E0F"/>
    <w:rsid w:val="00A6214C"/>
    <w:rsid w:val="00A62285"/>
    <w:rsid w:val="00A622AD"/>
    <w:rsid w:val="00A623AE"/>
    <w:rsid w:val="00A623E9"/>
    <w:rsid w:val="00A6247B"/>
    <w:rsid w:val="00A62683"/>
    <w:rsid w:val="00A62A75"/>
    <w:rsid w:val="00A62C73"/>
    <w:rsid w:val="00A62D96"/>
    <w:rsid w:val="00A630AD"/>
    <w:rsid w:val="00A631BC"/>
    <w:rsid w:val="00A633F7"/>
    <w:rsid w:val="00A6350D"/>
    <w:rsid w:val="00A635F7"/>
    <w:rsid w:val="00A6367C"/>
    <w:rsid w:val="00A63785"/>
    <w:rsid w:val="00A637A9"/>
    <w:rsid w:val="00A638DA"/>
    <w:rsid w:val="00A63948"/>
    <w:rsid w:val="00A63BD6"/>
    <w:rsid w:val="00A63C13"/>
    <w:rsid w:val="00A63E65"/>
    <w:rsid w:val="00A63FD0"/>
    <w:rsid w:val="00A6422B"/>
    <w:rsid w:val="00A642A9"/>
    <w:rsid w:val="00A642E8"/>
    <w:rsid w:val="00A6430F"/>
    <w:rsid w:val="00A644D9"/>
    <w:rsid w:val="00A6471C"/>
    <w:rsid w:val="00A64AEE"/>
    <w:rsid w:val="00A64B3B"/>
    <w:rsid w:val="00A64CC9"/>
    <w:rsid w:val="00A65063"/>
    <w:rsid w:val="00A650FE"/>
    <w:rsid w:val="00A653B1"/>
    <w:rsid w:val="00A65428"/>
    <w:rsid w:val="00A6567C"/>
    <w:rsid w:val="00A65774"/>
    <w:rsid w:val="00A65AD1"/>
    <w:rsid w:val="00A65B68"/>
    <w:rsid w:val="00A65DA2"/>
    <w:rsid w:val="00A65F38"/>
    <w:rsid w:val="00A66071"/>
    <w:rsid w:val="00A660FD"/>
    <w:rsid w:val="00A6625B"/>
    <w:rsid w:val="00A662A0"/>
    <w:rsid w:val="00A662FA"/>
    <w:rsid w:val="00A66304"/>
    <w:rsid w:val="00A6641D"/>
    <w:rsid w:val="00A66631"/>
    <w:rsid w:val="00A66C19"/>
    <w:rsid w:val="00A66EA8"/>
    <w:rsid w:val="00A67004"/>
    <w:rsid w:val="00A67229"/>
    <w:rsid w:val="00A672B6"/>
    <w:rsid w:val="00A674CA"/>
    <w:rsid w:val="00A6754F"/>
    <w:rsid w:val="00A675CC"/>
    <w:rsid w:val="00A67707"/>
    <w:rsid w:val="00A6778E"/>
    <w:rsid w:val="00A67B2A"/>
    <w:rsid w:val="00A67B6D"/>
    <w:rsid w:val="00A67BA1"/>
    <w:rsid w:val="00A67C8D"/>
    <w:rsid w:val="00A67D58"/>
    <w:rsid w:val="00A67DF6"/>
    <w:rsid w:val="00A67E0A"/>
    <w:rsid w:val="00A67E40"/>
    <w:rsid w:val="00A67E69"/>
    <w:rsid w:val="00A67F0D"/>
    <w:rsid w:val="00A67FA5"/>
    <w:rsid w:val="00A70009"/>
    <w:rsid w:val="00A701D7"/>
    <w:rsid w:val="00A7028A"/>
    <w:rsid w:val="00A7049E"/>
    <w:rsid w:val="00A70522"/>
    <w:rsid w:val="00A706A9"/>
    <w:rsid w:val="00A706E3"/>
    <w:rsid w:val="00A7077C"/>
    <w:rsid w:val="00A70899"/>
    <w:rsid w:val="00A709B0"/>
    <w:rsid w:val="00A70B1D"/>
    <w:rsid w:val="00A70CF8"/>
    <w:rsid w:val="00A70DAA"/>
    <w:rsid w:val="00A70E67"/>
    <w:rsid w:val="00A70E81"/>
    <w:rsid w:val="00A70F09"/>
    <w:rsid w:val="00A70F6A"/>
    <w:rsid w:val="00A710D5"/>
    <w:rsid w:val="00A710EA"/>
    <w:rsid w:val="00A7126F"/>
    <w:rsid w:val="00A712BB"/>
    <w:rsid w:val="00A713BA"/>
    <w:rsid w:val="00A714ED"/>
    <w:rsid w:val="00A7187D"/>
    <w:rsid w:val="00A71885"/>
    <w:rsid w:val="00A718E0"/>
    <w:rsid w:val="00A71944"/>
    <w:rsid w:val="00A71B72"/>
    <w:rsid w:val="00A71CFC"/>
    <w:rsid w:val="00A7204D"/>
    <w:rsid w:val="00A721BF"/>
    <w:rsid w:val="00A72313"/>
    <w:rsid w:val="00A723A5"/>
    <w:rsid w:val="00A723E1"/>
    <w:rsid w:val="00A723F7"/>
    <w:rsid w:val="00A7248C"/>
    <w:rsid w:val="00A724C0"/>
    <w:rsid w:val="00A72A0C"/>
    <w:rsid w:val="00A72A28"/>
    <w:rsid w:val="00A72B84"/>
    <w:rsid w:val="00A72DF3"/>
    <w:rsid w:val="00A72EC9"/>
    <w:rsid w:val="00A732FD"/>
    <w:rsid w:val="00A733DB"/>
    <w:rsid w:val="00A733DE"/>
    <w:rsid w:val="00A73490"/>
    <w:rsid w:val="00A734B2"/>
    <w:rsid w:val="00A73571"/>
    <w:rsid w:val="00A73769"/>
    <w:rsid w:val="00A737B0"/>
    <w:rsid w:val="00A7381E"/>
    <w:rsid w:val="00A73901"/>
    <w:rsid w:val="00A739C5"/>
    <w:rsid w:val="00A73C17"/>
    <w:rsid w:val="00A73CC6"/>
    <w:rsid w:val="00A73DD0"/>
    <w:rsid w:val="00A73E20"/>
    <w:rsid w:val="00A73E40"/>
    <w:rsid w:val="00A73F3B"/>
    <w:rsid w:val="00A7421B"/>
    <w:rsid w:val="00A7437A"/>
    <w:rsid w:val="00A7451B"/>
    <w:rsid w:val="00A7498C"/>
    <w:rsid w:val="00A749A7"/>
    <w:rsid w:val="00A749B4"/>
    <w:rsid w:val="00A74A7E"/>
    <w:rsid w:val="00A74B83"/>
    <w:rsid w:val="00A74C97"/>
    <w:rsid w:val="00A74EE5"/>
    <w:rsid w:val="00A74F01"/>
    <w:rsid w:val="00A7523F"/>
    <w:rsid w:val="00A7543C"/>
    <w:rsid w:val="00A75463"/>
    <w:rsid w:val="00A7546C"/>
    <w:rsid w:val="00A755E8"/>
    <w:rsid w:val="00A75876"/>
    <w:rsid w:val="00A75931"/>
    <w:rsid w:val="00A75AAD"/>
    <w:rsid w:val="00A75B20"/>
    <w:rsid w:val="00A7601F"/>
    <w:rsid w:val="00A7613C"/>
    <w:rsid w:val="00A7619B"/>
    <w:rsid w:val="00A76216"/>
    <w:rsid w:val="00A764AB"/>
    <w:rsid w:val="00A764DC"/>
    <w:rsid w:val="00A764E2"/>
    <w:rsid w:val="00A768AD"/>
    <w:rsid w:val="00A768C3"/>
    <w:rsid w:val="00A76A38"/>
    <w:rsid w:val="00A76C4C"/>
    <w:rsid w:val="00A76CB3"/>
    <w:rsid w:val="00A76D00"/>
    <w:rsid w:val="00A77000"/>
    <w:rsid w:val="00A7701B"/>
    <w:rsid w:val="00A77244"/>
    <w:rsid w:val="00A774D4"/>
    <w:rsid w:val="00A77540"/>
    <w:rsid w:val="00A77A77"/>
    <w:rsid w:val="00A77A80"/>
    <w:rsid w:val="00A77ADF"/>
    <w:rsid w:val="00A77B01"/>
    <w:rsid w:val="00A77BCB"/>
    <w:rsid w:val="00A77C5F"/>
    <w:rsid w:val="00A77CCC"/>
    <w:rsid w:val="00A8018C"/>
    <w:rsid w:val="00A80240"/>
    <w:rsid w:val="00A80313"/>
    <w:rsid w:val="00A80576"/>
    <w:rsid w:val="00A80595"/>
    <w:rsid w:val="00A806A2"/>
    <w:rsid w:val="00A80B35"/>
    <w:rsid w:val="00A8104D"/>
    <w:rsid w:val="00A811CB"/>
    <w:rsid w:val="00A81323"/>
    <w:rsid w:val="00A8150F"/>
    <w:rsid w:val="00A815CB"/>
    <w:rsid w:val="00A816C5"/>
    <w:rsid w:val="00A818CF"/>
    <w:rsid w:val="00A819E3"/>
    <w:rsid w:val="00A81B98"/>
    <w:rsid w:val="00A8234F"/>
    <w:rsid w:val="00A823A4"/>
    <w:rsid w:val="00A82595"/>
    <w:rsid w:val="00A82601"/>
    <w:rsid w:val="00A82898"/>
    <w:rsid w:val="00A82B34"/>
    <w:rsid w:val="00A82C15"/>
    <w:rsid w:val="00A83088"/>
    <w:rsid w:val="00A831E4"/>
    <w:rsid w:val="00A833E6"/>
    <w:rsid w:val="00A8351F"/>
    <w:rsid w:val="00A835C8"/>
    <w:rsid w:val="00A836B0"/>
    <w:rsid w:val="00A836CD"/>
    <w:rsid w:val="00A836DE"/>
    <w:rsid w:val="00A836E3"/>
    <w:rsid w:val="00A837FD"/>
    <w:rsid w:val="00A83926"/>
    <w:rsid w:val="00A83933"/>
    <w:rsid w:val="00A839CD"/>
    <w:rsid w:val="00A83B10"/>
    <w:rsid w:val="00A83DE5"/>
    <w:rsid w:val="00A83DFE"/>
    <w:rsid w:val="00A83F98"/>
    <w:rsid w:val="00A83FA3"/>
    <w:rsid w:val="00A842B4"/>
    <w:rsid w:val="00A848EA"/>
    <w:rsid w:val="00A84A16"/>
    <w:rsid w:val="00A84B29"/>
    <w:rsid w:val="00A84E50"/>
    <w:rsid w:val="00A84F57"/>
    <w:rsid w:val="00A84FF9"/>
    <w:rsid w:val="00A8519F"/>
    <w:rsid w:val="00A85393"/>
    <w:rsid w:val="00A856EB"/>
    <w:rsid w:val="00A859C5"/>
    <w:rsid w:val="00A85AAB"/>
    <w:rsid w:val="00A85B4B"/>
    <w:rsid w:val="00A85C70"/>
    <w:rsid w:val="00A85CF4"/>
    <w:rsid w:val="00A85D69"/>
    <w:rsid w:val="00A85E54"/>
    <w:rsid w:val="00A85EC8"/>
    <w:rsid w:val="00A86020"/>
    <w:rsid w:val="00A860AE"/>
    <w:rsid w:val="00A8610E"/>
    <w:rsid w:val="00A8614A"/>
    <w:rsid w:val="00A86192"/>
    <w:rsid w:val="00A86456"/>
    <w:rsid w:val="00A8657D"/>
    <w:rsid w:val="00A868DD"/>
    <w:rsid w:val="00A86A05"/>
    <w:rsid w:val="00A86C2B"/>
    <w:rsid w:val="00A86C30"/>
    <w:rsid w:val="00A870B0"/>
    <w:rsid w:val="00A87142"/>
    <w:rsid w:val="00A872C7"/>
    <w:rsid w:val="00A8732D"/>
    <w:rsid w:val="00A87503"/>
    <w:rsid w:val="00A875A9"/>
    <w:rsid w:val="00A875F5"/>
    <w:rsid w:val="00A876C3"/>
    <w:rsid w:val="00A8783F"/>
    <w:rsid w:val="00A87873"/>
    <w:rsid w:val="00A87880"/>
    <w:rsid w:val="00A878F8"/>
    <w:rsid w:val="00A87B52"/>
    <w:rsid w:val="00A87E2A"/>
    <w:rsid w:val="00A87FA8"/>
    <w:rsid w:val="00A900CE"/>
    <w:rsid w:val="00A90232"/>
    <w:rsid w:val="00A904E2"/>
    <w:rsid w:val="00A90899"/>
    <w:rsid w:val="00A908DF"/>
    <w:rsid w:val="00A90A02"/>
    <w:rsid w:val="00A90D0B"/>
    <w:rsid w:val="00A91115"/>
    <w:rsid w:val="00A913D1"/>
    <w:rsid w:val="00A914A3"/>
    <w:rsid w:val="00A91572"/>
    <w:rsid w:val="00A91583"/>
    <w:rsid w:val="00A917F6"/>
    <w:rsid w:val="00A91884"/>
    <w:rsid w:val="00A91B58"/>
    <w:rsid w:val="00A91D9E"/>
    <w:rsid w:val="00A91FA3"/>
    <w:rsid w:val="00A926C9"/>
    <w:rsid w:val="00A927C0"/>
    <w:rsid w:val="00A928D5"/>
    <w:rsid w:val="00A92A93"/>
    <w:rsid w:val="00A92B9D"/>
    <w:rsid w:val="00A92C2A"/>
    <w:rsid w:val="00A92D19"/>
    <w:rsid w:val="00A92D64"/>
    <w:rsid w:val="00A92E95"/>
    <w:rsid w:val="00A9306D"/>
    <w:rsid w:val="00A93376"/>
    <w:rsid w:val="00A935E5"/>
    <w:rsid w:val="00A93635"/>
    <w:rsid w:val="00A936B1"/>
    <w:rsid w:val="00A937EB"/>
    <w:rsid w:val="00A93A4B"/>
    <w:rsid w:val="00A93A95"/>
    <w:rsid w:val="00A93BB8"/>
    <w:rsid w:val="00A93DFD"/>
    <w:rsid w:val="00A93E59"/>
    <w:rsid w:val="00A94115"/>
    <w:rsid w:val="00A94356"/>
    <w:rsid w:val="00A943E4"/>
    <w:rsid w:val="00A9470F"/>
    <w:rsid w:val="00A94713"/>
    <w:rsid w:val="00A94794"/>
    <w:rsid w:val="00A947FD"/>
    <w:rsid w:val="00A94805"/>
    <w:rsid w:val="00A94833"/>
    <w:rsid w:val="00A94C5C"/>
    <w:rsid w:val="00A94D0F"/>
    <w:rsid w:val="00A9529D"/>
    <w:rsid w:val="00A95363"/>
    <w:rsid w:val="00A95454"/>
    <w:rsid w:val="00A959D7"/>
    <w:rsid w:val="00A959F8"/>
    <w:rsid w:val="00A95F79"/>
    <w:rsid w:val="00A9601E"/>
    <w:rsid w:val="00A9650E"/>
    <w:rsid w:val="00A965C3"/>
    <w:rsid w:val="00A967E5"/>
    <w:rsid w:val="00A968BD"/>
    <w:rsid w:val="00A9698D"/>
    <w:rsid w:val="00A969C7"/>
    <w:rsid w:val="00A96A66"/>
    <w:rsid w:val="00A96A79"/>
    <w:rsid w:val="00A96D22"/>
    <w:rsid w:val="00A96D27"/>
    <w:rsid w:val="00A96E36"/>
    <w:rsid w:val="00A96EE5"/>
    <w:rsid w:val="00A96FB9"/>
    <w:rsid w:val="00A972CF"/>
    <w:rsid w:val="00A9737E"/>
    <w:rsid w:val="00A973EA"/>
    <w:rsid w:val="00A973EB"/>
    <w:rsid w:val="00A973FF"/>
    <w:rsid w:val="00A9747D"/>
    <w:rsid w:val="00A976C8"/>
    <w:rsid w:val="00A9789E"/>
    <w:rsid w:val="00A97A3B"/>
    <w:rsid w:val="00A97CA6"/>
    <w:rsid w:val="00A97D36"/>
    <w:rsid w:val="00A97FB1"/>
    <w:rsid w:val="00A97FB4"/>
    <w:rsid w:val="00A97FB6"/>
    <w:rsid w:val="00AA0021"/>
    <w:rsid w:val="00AA014B"/>
    <w:rsid w:val="00AA0437"/>
    <w:rsid w:val="00AA07C5"/>
    <w:rsid w:val="00AA07EB"/>
    <w:rsid w:val="00AA0A43"/>
    <w:rsid w:val="00AA0B6B"/>
    <w:rsid w:val="00AA0B6D"/>
    <w:rsid w:val="00AA0BB5"/>
    <w:rsid w:val="00AA0D3D"/>
    <w:rsid w:val="00AA0D72"/>
    <w:rsid w:val="00AA0E34"/>
    <w:rsid w:val="00AA0E7B"/>
    <w:rsid w:val="00AA10E6"/>
    <w:rsid w:val="00AA1415"/>
    <w:rsid w:val="00AA153F"/>
    <w:rsid w:val="00AA154E"/>
    <w:rsid w:val="00AA1740"/>
    <w:rsid w:val="00AA17A4"/>
    <w:rsid w:val="00AA17B2"/>
    <w:rsid w:val="00AA1815"/>
    <w:rsid w:val="00AA1BB8"/>
    <w:rsid w:val="00AA1C4B"/>
    <w:rsid w:val="00AA1C61"/>
    <w:rsid w:val="00AA1CA8"/>
    <w:rsid w:val="00AA1E84"/>
    <w:rsid w:val="00AA1FD5"/>
    <w:rsid w:val="00AA212F"/>
    <w:rsid w:val="00AA214F"/>
    <w:rsid w:val="00AA2183"/>
    <w:rsid w:val="00AA2239"/>
    <w:rsid w:val="00AA2326"/>
    <w:rsid w:val="00AA2907"/>
    <w:rsid w:val="00AA2B6F"/>
    <w:rsid w:val="00AA2EC6"/>
    <w:rsid w:val="00AA2FE7"/>
    <w:rsid w:val="00AA301F"/>
    <w:rsid w:val="00AA31A3"/>
    <w:rsid w:val="00AA325A"/>
    <w:rsid w:val="00AA330D"/>
    <w:rsid w:val="00AA3A14"/>
    <w:rsid w:val="00AA3B87"/>
    <w:rsid w:val="00AA3CFD"/>
    <w:rsid w:val="00AA404A"/>
    <w:rsid w:val="00AA411A"/>
    <w:rsid w:val="00AA41B0"/>
    <w:rsid w:val="00AA4320"/>
    <w:rsid w:val="00AA4392"/>
    <w:rsid w:val="00AA4656"/>
    <w:rsid w:val="00AA46CB"/>
    <w:rsid w:val="00AA4737"/>
    <w:rsid w:val="00AA4957"/>
    <w:rsid w:val="00AA49C1"/>
    <w:rsid w:val="00AA4C4E"/>
    <w:rsid w:val="00AA4C9B"/>
    <w:rsid w:val="00AA4F17"/>
    <w:rsid w:val="00AA4F40"/>
    <w:rsid w:val="00AA52E9"/>
    <w:rsid w:val="00AA53B8"/>
    <w:rsid w:val="00AA55C4"/>
    <w:rsid w:val="00AA55E8"/>
    <w:rsid w:val="00AA5683"/>
    <w:rsid w:val="00AA57BE"/>
    <w:rsid w:val="00AA57FB"/>
    <w:rsid w:val="00AA5B94"/>
    <w:rsid w:val="00AA5C0F"/>
    <w:rsid w:val="00AA5CCE"/>
    <w:rsid w:val="00AA6019"/>
    <w:rsid w:val="00AA62E2"/>
    <w:rsid w:val="00AA6AC9"/>
    <w:rsid w:val="00AA6B0C"/>
    <w:rsid w:val="00AA6BA7"/>
    <w:rsid w:val="00AA6D3C"/>
    <w:rsid w:val="00AA6E6F"/>
    <w:rsid w:val="00AA6F16"/>
    <w:rsid w:val="00AA70CF"/>
    <w:rsid w:val="00AA70F0"/>
    <w:rsid w:val="00AA721B"/>
    <w:rsid w:val="00AA7309"/>
    <w:rsid w:val="00AA73AC"/>
    <w:rsid w:val="00AA7461"/>
    <w:rsid w:val="00AA76CC"/>
    <w:rsid w:val="00AA78B8"/>
    <w:rsid w:val="00AA7937"/>
    <w:rsid w:val="00AA7A09"/>
    <w:rsid w:val="00AA7B87"/>
    <w:rsid w:val="00AA7CB5"/>
    <w:rsid w:val="00AA7D21"/>
    <w:rsid w:val="00AB000F"/>
    <w:rsid w:val="00AB006C"/>
    <w:rsid w:val="00AB0162"/>
    <w:rsid w:val="00AB0246"/>
    <w:rsid w:val="00AB04B4"/>
    <w:rsid w:val="00AB06A4"/>
    <w:rsid w:val="00AB0706"/>
    <w:rsid w:val="00AB07A1"/>
    <w:rsid w:val="00AB07C3"/>
    <w:rsid w:val="00AB0829"/>
    <w:rsid w:val="00AB0937"/>
    <w:rsid w:val="00AB0A3A"/>
    <w:rsid w:val="00AB0E2C"/>
    <w:rsid w:val="00AB0E4D"/>
    <w:rsid w:val="00AB107D"/>
    <w:rsid w:val="00AB10D0"/>
    <w:rsid w:val="00AB1221"/>
    <w:rsid w:val="00AB1307"/>
    <w:rsid w:val="00AB13F5"/>
    <w:rsid w:val="00AB1481"/>
    <w:rsid w:val="00AB14CF"/>
    <w:rsid w:val="00AB151B"/>
    <w:rsid w:val="00AB1716"/>
    <w:rsid w:val="00AB1792"/>
    <w:rsid w:val="00AB19C7"/>
    <w:rsid w:val="00AB1B7F"/>
    <w:rsid w:val="00AB2095"/>
    <w:rsid w:val="00AB20AD"/>
    <w:rsid w:val="00AB20C4"/>
    <w:rsid w:val="00AB21C5"/>
    <w:rsid w:val="00AB2428"/>
    <w:rsid w:val="00AB2A49"/>
    <w:rsid w:val="00AB2BD5"/>
    <w:rsid w:val="00AB2DAE"/>
    <w:rsid w:val="00AB3010"/>
    <w:rsid w:val="00AB3097"/>
    <w:rsid w:val="00AB34B6"/>
    <w:rsid w:val="00AB3697"/>
    <w:rsid w:val="00AB38D5"/>
    <w:rsid w:val="00AB3A0C"/>
    <w:rsid w:val="00AB3B12"/>
    <w:rsid w:val="00AB3E3D"/>
    <w:rsid w:val="00AB3F4B"/>
    <w:rsid w:val="00AB3F57"/>
    <w:rsid w:val="00AB43C6"/>
    <w:rsid w:val="00AB4408"/>
    <w:rsid w:val="00AB4424"/>
    <w:rsid w:val="00AB44C6"/>
    <w:rsid w:val="00AB4541"/>
    <w:rsid w:val="00AB458B"/>
    <w:rsid w:val="00AB4828"/>
    <w:rsid w:val="00AB498A"/>
    <w:rsid w:val="00AB4A30"/>
    <w:rsid w:val="00AB4D2A"/>
    <w:rsid w:val="00AB4D82"/>
    <w:rsid w:val="00AB4DA3"/>
    <w:rsid w:val="00AB5441"/>
    <w:rsid w:val="00AB5527"/>
    <w:rsid w:val="00AB569D"/>
    <w:rsid w:val="00AB5706"/>
    <w:rsid w:val="00AB5A8F"/>
    <w:rsid w:val="00AB5B61"/>
    <w:rsid w:val="00AB5FE9"/>
    <w:rsid w:val="00AB61B8"/>
    <w:rsid w:val="00AB62F8"/>
    <w:rsid w:val="00AB669D"/>
    <w:rsid w:val="00AB6847"/>
    <w:rsid w:val="00AB6919"/>
    <w:rsid w:val="00AB6A85"/>
    <w:rsid w:val="00AB6BCB"/>
    <w:rsid w:val="00AB6C04"/>
    <w:rsid w:val="00AB7147"/>
    <w:rsid w:val="00AB7197"/>
    <w:rsid w:val="00AB727D"/>
    <w:rsid w:val="00AB73EE"/>
    <w:rsid w:val="00AB740D"/>
    <w:rsid w:val="00AB74EC"/>
    <w:rsid w:val="00AB74F0"/>
    <w:rsid w:val="00AB7542"/>
    <w:rsid w:val="00AB7562"/>
    <w:rsid w:val="00AB76C1"/>
    <w:rsid w:val="00AB7706"/>
    <w:rsid w:val="00AB7813"/>
    <w:rsid w:val="00AB783B"/>
    <w:rsid w:val="00AB7A06"/>
    <w:rsid w:val="00AB7A28"/>
    <w:rsid w:val="00AB7ABB"/>
    <w:rsid w:val="00AB7CDD"/>
    <w:rsid w:val="00AB7FD9"/>
    <w:rsid w:val="00AC0055"/>
    <w:rsid w:val="00AC005B"/>
    <w:rsid w:val="00AC01D1"/>
    <w:rsid w:val="00AC036B"/>
    <w:rsid w:val="00AC042C"/>
    <w:rsid w:val="00AC06AE"/>
    <w:rsid w:val="00AC06FF"/>
    <w:rsid w:val="00AC0718"/>
    <w:rsid w:val="00AC07B8"/>
    <w:rsid w:val="00AC08F2"/>
    <w:rsid w:val="00AC0A38"/>
    <w:rsid w:val="00AC0B8E"/>
    <w:rsid w:val="00AC0B97"/>
    <w:rsid w:val="00AC0D31"/>
    <w:rsid w:val="00AC0E07"/>
    <w:rsid w:val="00AC0F80"/>
    <w:rsid w:val="00AC1212"/>
    <w:rsid w:val="00AC1250"/>
    <w:rsid w:val="00AC14CA"/>
    <w:rsid w:val="00AC157F"/>
    <w:rsid w:val="00AC15AF"/>
    <w:rsid w:val="00AC17A7"/>
    <w:rsid w:val="00AC1D9D"/>
    <w:rsid w:val="00AC1E8D"/>
    <w:rsid w:val="00AC207D"/>
    <w:rsid w:val="00AC2110"/>
    <w:rsid w:val="00AC21BD"/>
    <w:rsid w:val="00AC21E0"/>
    <w:rsid w:val="00AC21E5"/>
    <w:rsid w:val="00AC2645"/>
    <w:rsid w:val="00AC2950"/>
    <w:rsid w:val="00AC2983"/>
    <w:rsid w:val="00AC2C30"/>
    <w:rsid w:val="00AC2D4D"/>
    <w:rsid w:val="00AC2EE7"/>
    <w:rsid w:val="00AC30D7"/>
    <w:rsid w:val="00AC3549"/>
    <w:rsid w:val="00AC3640"/>
    <w:rsid w:val="00AC3A22"/>
    <w:rsid w:val="00AC3D5F"/>
    <w:rsid w:val="00AC3F5B"/>
    <w:rsid w:val="00AC4045"/>
    <w:rsid w:val="00AC407C"/>
    <w:rsid w:val="00AC4103"/>
    <w:rsid w:val="00AC410E"/>
    <w:rsid w:val="00AC422C"/>
    <w:rsid w:val="00AC4244"/>
    <w:rsid w:val="00AC4581"/>
    <w:rsid w:val="00AC489C"/>
    <w:rsid w:val="00AC4B54"/>
    <w:rsid w:val="00AC4C17"/>
    <w:rsid w:val="00AC4C1E"/>
    <w:rsid w:val="00AC4CCE"/>
    <w:rsid w:val="00AC4E60"/>
    <w:rsid w:val="00AC4E8B"/>
    <w:rsid w:val="00AC5290"/>
    <w:rsid w:val="00AC535E"/>
    <w:rsid w:val="00AC53DB"/>
    <w:rsid w:val="00AC53EF"/>
    <w:rsid w:val="00AC5770"/>
    <w:rsid w:val="00AC5B72"/>
    <w:rsid w:val="00AC5C4F"/>
    <w:rsid w:val="00AC5E6B"/>
    <w:rsid w:val="00AC5ED4"/>
    <w:rsid w:val="00AC5F4D"/>
    <w:rsid w:val="00AC61FF"/>
    <w:rsid w:val="00AC649D"/>
    <w:rsid w:val="00AC64A1"/>
    <w:rsid w:val="00AC653A"/>
    <w:rsid w:val="00AC67E8"/>
    <w:rsid w:val="00AC6895"/>
    <w:rsid w:val="00AC6A61"/>
    <w:rsid w:val="00AC6C69"/>
    <w:rsid w:val="00AC6C90"/>
    <w:rsid w:val="00AC6D67"/>
    <w:rsid w:val="00AC6D89"/>
    <w:rsid w:val="00AC7155"/>
    <w:rsid w:val="00AC75B3"/>
    <w:rsid w:val="00AC7960"/>
    <w:rsid w:val="00AC7BD7"/>
    <w:rsid w:val="00AC7BE6"/>
    <w:rsid w:val="00AC7EF8"/>
    <w:rsid w:val="00AC7F07"/>
    <w:rsid w:val="00AC7F7C"/>
    <w:rsid w:val="00AC7FDB"/>
    <w:rsid w:val="00AD0022"/>
    <w:rsid w:val="00AD04C2"/>
    <w:rsid w:val="00AD06B3"/>
    <w:rsid w:val="00AD07F5"/>
    <w:rsid w:val="00AD0857"/>
    <w:rsid w:val="00AD09D0"/>
    <w:rsid w:val="00AD0B18"/>
    <w:rsid w:val="00AD0F0C"/>
    <w:rsid w:val="00AD0F1D"/>
    <w:rsid w:val="00AD1005"/>
    <w:rsid w:val="00AD1034"/>
    <w:rsid w:val="00AD13CA"/>
    <w:rsid w:val="00AD13F1"/>
    <w:rsid w:val="00AD1892"/>
    <w:rsid w:val="00AD19E6"/>
    <w:rsid w:val="00AD19F6"/>
    <w:rsid w:val="00AD1BBC"/>
    <w:rsid w:val="00AD1C1F"/>
    <w:rsid w:val="00AD1CB2"/>
    <w:rsid w:val="00AD1ED5"/>
    <w:rsid w:val="00AD1EFC"/>
    <w:rsid w:val="00AD1F43"/>
    <w:rsid w:val="00AD2131"/>
    <w:rsid w:val="00AD2212"/>
    <w:rsid w:val="00AD23C5"/>
    <w:rsid w:val="00AD23D4"/>
    <w:rsid w:val="00AD267F"/>
    <w:rsid w:val="00AD27CC"/>
    <w:rsid w:val="00AD27E2"/>
    <w:rsid w:val="00AD283A"/>
    <w:rsid w:val="00AD2903"/>
    <w:rsid w:val="00AD29F0"/>
    <w:rsid w:val="00AD2C57"/>
    <w:rsid w:val="00AD2E36"/>
    <w:rsid w:val="00AD2EDC"/>
    <w:rsid w:val="00AD31DA"/>
    <w:rsid w:val="00AD32DD"/>
    <w:rsid w:val="00AD32F1"/>
    <w:rsid w:val="00AD35FB"/>
    <w:rsid w:val="00AD3672"/>
    <w:rsid w:val="00AD38B0"/>
    <w:rsid w:val="00AD38E7"/>
    <w:rsid w:val="00AD391F"/>
    <w:rsid w:val="00AD39A5"/>
    <w:rsid w:val="00AD3A4F"/>
    <w:rsid w:val="00AD3BE4"/>
    <w:rsid w:val="00AD3C47"/>
    <w:rsid w:val="00AD3F32"/>
    <w:rsid w:val="00AD3F95"/>
    <w:rsid w:val="00AD4237"/>
    <w:rsid w:val="00AD4365"/>
    <w:rsid w:val="00AD43E5"/>
    <w:rsid w:val="00AD474D"/>
    <w:rsid w:val="00AD4C90"/>
    <w:rsid w:val="00AD4EAC"/>
    <w:rsid w:val="00AD5054"/>
    <w:rsid w:val="00AD51B8"/>
    <w:rsid w:val="00AD520C"/>
    <w:rsid w:val="00AD523D"/>
    <w:rsid w:val="00AD54B6"/>
    <w:rsid w:val="00AD54DC"/>
    <w:rsid w:val="00AD5702"/>
    <w:rsid w:val="00AD5723"/>
    <w:rsid w:val="00AD57AE"/>
    <w:rsid w:val="00AD57CF"/>
    <w:rsid w:val="00AD5B0A"/>
    <w:rsid w:val="00AD5EE3"/>
    <w:rsid w:val="00AD63E5"/>
    <w:rsid w:val="00AD641A"/>
    <w:rsid w:val="00AD659D"/>
    <w:rsid w:val="00AD6688"/>
    <w:rsid w:val="00AD68D4"/>
    <w:rsid w:val="00AD6908"/>
    <w:rsid w:val="00AD6994"/>
    <w:rsid w:val="00AD6E6A"/>
    <w:rsid w:val="00AD6ED9"/>
    <w:rsid w:val="00AD6F36"/>
    <w:rsid w:val="00AD7122"/>
    <w:rsid w:val="00AD71E1"/>
    <w:rsid w:val="00AD7536"/>
    <w:rsid w:val="00AD75E6"/>
    <w:rsid w:val="00AD7657"/>
    <w:rsid w:val="00AD768A"/>
    <w:rsid w:val="00AD771A"/>
    <w:rsid w:val="00AD791A"/>
    <w:rsid w:val="00AD7C4F"/>
    <w:rsid w:val="00AD7C87"/>
    <w:rsid w:val="00AE0447"/>
    <w:rsid w:val="00AE068C"/>
    <w:rsid w:val="00AE094C"/>
    <w:rsid w:val="00AE0A34"/>
    <w:rsid w:val="00AE0B33"/>
    <w:rsid w:val="00AE0B7C"/>
    <w:rsid w:val="00AE0D97"/>
    <w:rsid w:val="00AE0E2A"/>
    <w:rsid w:val="00AE101D"/>
    <w:rsid w:val="00AE1119"/>
    <w:rsid w:val="00AE1191"/>
    <w:rsid w:val="00AE132E"/>
    <w:rsid w:val="00AE13B4"/>
    <w:rsid w:val="00AE156A"/>
    <w:rsid w:val="00AE18AB"/>
    <w:rsid w:val="00AE19CC"/>
    <w:rsid w:val="00AE1BBE"/>
    <w:rsid w:val="00AE1C64"/>
    <w:rsid w:val="00AE1D3F"/>
    <w:rsid w:val="00AE1FF7"/>
    <w:rsid w:val="00AE2053"/>
    <w:rsid w:val="00AE2064"/>
    <w:rsid w:val="00AE2386"/>
    <w:rsid w:val="00AE2432"/>
    <w:rsid w:val="00AE250F"/>
    <w:rsid w:val="00AE2549"/>
    <w:rsid w:val="00AE25C2"/>
    <w:rsid w:val="00AE295F"/>
    <w:rsid w:val="00AE2AAB"/>
    <w:rsid w:val="00AE2B04"/>
    <w:rsid w:val="00AE2CD1"/>
    <w:rsid w:val="00AE2E72"/>
    <w:rsid w:val="00AE2EEF"/>
    <w:rsid w:val="00AE31B3"/>
    <w:rsid w:val="00AE329E"/>
    <w:rsid w:val="00AE3472"/>
    <w:rsid w:val="00AE34BB"/>
    <w:rsid w:val="00AE3819"/>
    <w:rsid w:val="00AE38F9"/>
    <w:rsid w:val="00AE39E1"/>
    <w:rsid w:val="00AE3D7D"/>
    <w:rsid w:val="00AE3D94"/>
    <w:rsid w:val="00AE3DBC"/>
    <w:rsid w:val="00AE3F09"/>
    <w:rsid w:val="00AE3F80"/>
    <w:rsid w:val="00AE40A9"/>
    <w:rsid w:val="00AE4288"/>
    <w:rsid w:val="00AE433F"/>
    <w:rsid w:val="00AE43A1"/>
    <w:rsid w:val="00AE478D"/>
    <w:rsid w:val="00AE4995"/>
    <w:rsid w:val="00AE49A6"/>
    <w:rsid w:val="00AE4A98"/>
    <w:rsid w:val="00AE4B48"/>
    <w:rsid w:val="00AE4C3A"/>
    <w:rsid w:val="00AE4E9A"/>
    <w:rsid w:val="00AE4F95"/>
    <w:rsid w:val="00AE4FA8"/>
    <w:rsid w:val="00AE51C7"/>
    <w:rsid w:val="00AE55C6"/>
    <w:rsid w:val="00AE55D6"/>
    <w:rsid w:val="00AE579F"/>
    <w:rsid w:val="00AE5AEC"/>
    <w:rsid w:val="00AE5CA2"/>
    <w:rsid w:val="00AE5E4F"/>
    <w:rsid w:val="00AE5F57"/>
    <w:rsid w:val="00AE5FCA"/>
    <w:rsid w:val="00AE6000"/>
    <w:rsid w:val="00AE6009"/>
    <w:rsid w:val="00AE6020"/>
    <w:rsid w:val="00AE6245"/>
    <w:rsid w:val="00AE640A"/>
    <w:rsid w:val="00AE6438"/>
    <w:rsid w:val="00AE6600"/>
    <w:rsid w:val="00AE6D27"/>
    <w:rsid w:val="00AE6E23"/>
    <w:rsid w:val="00AE6E9C"/>
    <w:rsid w:val="00AE6FAD"/>
    <w:rsid w:val="00AE7071"/>
    <w:rsid w:val="00AE7136"/>
    <w:rsid w:val="00AE75A1"/>
    <w:rsid w:val="00AE76B5"/>
    <w:rsid w:val="00AE7757"/>
    <w:rsid w:val="00AE78A9"/>
    <w:rsid w:val="00AE7A37"/>
    <w:rsid w:val="00AE7C94"/>
    <w:rsid w:val="00AE7E65"/>
    <w:rsid w:val="00AF0120"/>
    <w:rsid w:val="00AF0176"/>
    <w:rsid w:val="00AF031D"/>
    <w:rsid w:val="00AF038E"/>
    <w:rsid w:val="00AF0553"/>
    <w:rsid w:val="00AF0677"/>
    <w:rsid w:val="00AF0E15"/>
    <w:rsid w:val="00AF0F10"/>
    <w:rsid w:val="00AF0FCE"/>
    <w:rsid w:val="00AF123E"/>
    <w:rsid w:val="00AF1447"/>
    <w:rsid w:val="00AF152B"/>
    <w:rsid w:val="00AF15E2"/>
    <w:rsid w:val="00AF1755"/>
    <w:rsid w:val="00AF19D0"/>
    <w:rsid w:val="00AF1CFE"/>
    <w:rsid w:val="00AF2189"/>
    <w:rsid w:val="00AF2574"/>
    <w:rsid w:val="00AF26C1"/>
    <w:rsid w:val="00AF283E"/>
    <w:rsid w:val="00AF2C74"/>
    <w:rsid w:val="00AF2C82"/>
    <w:rsid w:val="00AF2E00"/>
    <w:rsid w:val="00AF301F"/>
    <w:rsid w:val="00AF32E0"/>
    <w:rsid w:val="00AF3400"/>
    <w:rsid w:val="00AF3443"/>
    <w:rsid w:val="00AF344D"/>
    <w:rsid w:val="00AF34F7"/>
    <w:rsid w:val="00AF379E"/>
    <w:rsid w:val="00AF3884"/>
    <w:rsid w:val="00AF38B8"/>
    <w:rsid w:val="00AF38E4"/>
    <w:rsid w:val="00AF3B49"/>
    <w:rsid w:val="00AF3C60"/>
    <w:rsid w:val="00AF3DAD"/>
    <w:rsid w:val="00AF4011"/>
    <w:rsid w:val="00AF419E"/>
    <w:rsid w:val="00AF41C7"/>
    <w:rsid w:val="00AF4307"/>
    <w:rsid w:val="00AF4333"/>
    <w:rsid w:val="00AF435A"/>
    <w:rsid w:val="00AF4721"/>
    <w:rsid w:val="00AF486F"/>
    <w:rsid w:val="00AF48A2"/>
    <w:rsid w:val="00AF491F"/>
    <w:rsid w:val="00AF4973"/>
    <w:rsid w:val="00AF4A08"/>
    <w:rsid w:val="00AF4B38"/>
    <w:rsid w:val="00AF4B4B"/>
    <w:rsid w:val="00AF4D41"/>
    <w:rsid w:val="00AF4E69"/>
    <w:rsid w:val="00AF4EC0"/>
    <w:rsid w:val="00AF5028"/>
    <w:rsid w:val="00AF50A8"/>
    <w:rsid w:val="00AF524F"/>
    <w:rsid w:val="00AF52BB"/>
    <w:rsid w:val="00AF5426"/>
    <w:rsid w:val="00AF5444"/>
    <w:rsid w:val="00AF5523"/>
    <w:rsid w:val="00AF5570"/>
    <w:rsid w:val="00AF575A"/>
    <w:rsid w:val="00AF5773"/>
    <w:rsid w:val="00AF580F"/>
    <w:rsid w:val="00AF5AB3"/>
    <w:rsid w:val="00AF5E0E"/>
    <w:rsid w:val="00AF60BF"/>
    <w:rsid w:val="00AF620C"/>
    <w:rsid w:val="00AF6617"/>
    <w:rsid w:val="00AF6DBC"/>
    <w:rsid w:val="00AF6E7B"/>
    <w:rsid w:val="00AF6FB2"/>
    <w:rsid w:val="00AF7009"/>
    <w:rsid w:val="00AF701C"/>
    <w:rsid w:val="00AF70F9"/>
    <w:rsid w:val="00AF71CD"/>
    <w:rsid w:val="00AF720A"/>
    <w:rsid w:val="00AF7298"/>
    <w:rsid w:val="00AF72F8"/>
    <w:rsid w:val="00AF755B"/>
    <w:rsid w:val="00AF762C"/>
    <w:rsid w:val="00AF7876"/>
    <w:rsid w:val="00AF7BCD"/>
    <w:rsid w:val="00AF7C5A"/>
    <w:rsid w:val="00AF7CED"/>
    <w:rsid w:val="00AF7E1C"/>
    <w:rsid w:val="00B00043"/>
    <w:rsid w:val="00B00067"/>
    <w:rsid w:val="00B0017E"/>
    <w:rsid w:val="00B0031D"/>
    <w:rsid w:val="00B007D8"/>
    <w:rsid w:val="00B0096B"/>
    <w:rsid w:val="00B00A29"/>
    <w:rsid w:val="00B00AD4"/>
    <w:rsid w:val="00B00AFC"/>
    <w:rsid w:val="00B00C52"/>
    <w:rsid w:val="00B00CF6"/>
    <w:rsid w:val="00B00DC0"/>
    <w:rsid w:val="00B00E47"/>
    <w:rsid w:val="00B010D8"/>
    <w:rsid w:val="00B011AC"/>
    <w:rsid w:val="00B012BD"/>
    <w:rsid w:val="00B012C4"/>
    <w:rsid w:val="00B01359"/>
    <w:rsid w:val="00B01734"/>
    <w:rsid w:val="00B0198E"/>
    <w:rsid w:val="00B019E7"/>
    <w:rsid w:val="00B01B01"/>
    <w:rsid w:val="00B01D1B"/>
    <w:rsid w:val="00B020DB"/>
    <w:rsid w:val="00B020DE"/>
    <w:rsid w:val="00B020FA"/>
    <w:rsid w:val="00B02288"/>
    <w:rsid w:val="00B02381"/>
    <w:rsid w:val="00B02391"/>
    <w:rsid w:val="00B02574"/>
    <w:rsid w:val="00B0260C"/>
    <w:rsid w:val="00B02614"/>
    <w:rsid w:val="00B026DD"/>
    <w:rsid w:val="00B0276A"/>
    <w:rsid w:val="00B02880"/>
    <w:rsid w:val="00B02898"/>
    <w:rsid w:val="00B028DE"/>
    <w:rsid w:val="00B02906"/>
    <w:rsid w:val="00B02931"/>
    <w:rsid w:val="00B02BCB"/>
    <w:rsid w:val="00B02C20"/>
    <w:rsid w:val="00B02C46"/>
    <w:rsid w:val="00B02CB7"/>
    <w:rsid w:val="00B02CC4"/>
    <w:rsid w:val="00B02DA2"/>
    <w:rsid w:val="00B035B5"/>
    <w:rsid w:val="00B03914"/>
    <w:rsid w:val="00B03B24"/>
    <w:rsid w:val="00B03E57"/>
    <w:rsid w:val="00B03F27"/>
    <w:rsid w:val="00B03FCB"/>
    <w:rsid w:val="00B0434A"/>
    <w:rsid w:val="00B04406"/>
    <w:rsid w:val="00B046F8"/>
    <w:rsid w:val="00B0489F"/>
    <w:rsid w:val="00B0496B"/>
    <w:rsid w:val="00B049B5"/>
    <w:rsid w:val="00B04D06"/>
    <w:rsid w:val="00B04D24"/>
    <w:rsid w:val="00B04D7E"/>
    <w:rsid w:val="00B04FC9"/>
    <w:rsid w:val="00B05291"/>
    <w:rsid w:val="00B0554A"/>
    <w:rsid w:val="00B05795"/>
    <w:rsid w:val="00B0590E"/>
    <w:rsid w:val="00B05A21"/>
    <w:rsid w:val="00B05DD0"/>
    <w:rsid w:val="00B05F57"/>
    <w:rsid w:val="00B05F94"/>
    <w:rsid w:val="00B06206"/>
    <w:rsid w:val="00B0641C"/>
    <w:rsid w:val="00B06443"/>
    <w:rsid w:val="00B06449"/>
    <w:rsid w:val="00B06641"/>
    <w:rsid w:val="00B06692"/>
    <w:rsid w:val="00B066A7"/>
    <w:rsid w:val="00B06707"/>
    <w:rsid w:val="00B0684A"/>
    <w:rsid w:val="00B06D28"/>
    <w:rsid w:val="00B06D6D"/>
    <w:rsid w:val="00B06DA3"/>
    <w:rsid w:val="00B06DCA"/>
    <w:rsid w:val="00B0711B"/>
    <w:rsid w:val="00B0717E"/>
    <w:rsid w:val="00B07349"/>
    <w:rsid w:val="00B074EB"/>
    <w:rsid w:val="00B07548"/>
    <w:rsid w:val="00B075CE"/>
    <w:rsid w:val="00B07685"/>
    <w:rsid w:val="00B07720"/>
    <w:rsid w:val="00B0778B"/>
    <w:rsid w:val="00B079CC"/>
    <w:rsid w:val="00B07ABE"/>
    <w:rsid w:val="00B07C98"/>
    <w:rsid w:val="00B07EFF"/>
    <w:rsid w:val="00B07F00"/>
    <w:rsid w:val="00B07F5B"/>
    <w:rsid w:val="00B10027"/>
    <w:rsid w:val="00B10137"/>
    <w:rsid w:val="00B10177"/>
    <w:rsid w:val="00B10239"/>
    <w:rsid w:val="00B1026C"/>
    <w:rsid w:val="00B1046C"/>
    <w:rsid w:val="00B104BF"/>
    <w:rsid w:val="00B1064A"/>
    <w:rsid w:val="00B107E6"/>
    <w:rsid w:val="00B109CE"/>
    <w:rsid w:val="00B10D0D"/>
    <w:rsid w:val="00B10F50"/>
    <w:rsid w:val="00B10F58"/>
    <w:rsid w:val="00B10F83"/>
    <w:rsid w:val="00B11095"/>
    <w:rsid w:val="00B11127"/>
    <w:rsid w:val="00B11397"/>
    <w:rsid w:val="00B114FF"/>
    <w:rsid w:val="00B11886"/>
    <w:rsid w:val="00B118C6"/>
    <w:rsid w:val="00B11BFA"/>
    <w:rsid w:val="00B11E77"/>
    <w:rsid w:val="00B1238E"/>
    <w:rsid w:val="00B123BE"/>
    <w:rsid w:val="00B123F3"/>
    <w:rsid w:val="00B12612"/>
    <w:rsid w:val="00B126C3"/>
    <w:rsid w:val="00B12962"/>
    <w:rsid w:val="00B129B7"/>
    <w:rsid w:val="00B12B98"/>
    <w:rsid w:val="00B12BBD"/>
    <w:rsid w:val="00B12D5F"/>
    <w:rsid w:val="00B12FD7"/>
    <w:rsid w:val="00B1322A"/>
    <w:rsid w:val="00B1323B"/>
    <w:rsid w:val="00B1328C"/>
    <w:rsid w:val="00B132EE"/>
    <w:rsid w:val="00B133CB"/>
    <w:rsid w:val="00B139AE"/>
    <w:rsid w:val="00B13A2D"/>
    <w:rsid w:val="00B13B93"/>
    <w:rsid w:val="00B13DC9"/>
    <w:rsid w:val="00B13EB7"/>
    <w:rsid w:val="00B13FD5"/>
    <w:rsid w:val="00B14041"/>
    <w:rsid w:val="00B140A2"/>
    <w:rsid w:val="00B14125"/>
    <w:rsid w:val="00B14161"/>
    <w:rsid w:val="00B142F5"/>
    <w:rsid w:val="00B1444C"/>
    <w:rsid w:val="00B144DF"/>
    <w:rsid w:val="00B1451B"/>
    <w:rsid w:val="00B14636"/>
    <w:rsid w:val="00B14741"/>
    <w:rsid w:val="00B1485F"/>
    <w:rsid w:val="00B1486E"/>
    <w:rsid w:val="00B148A5"/>
    <w:rsid w:val="00B14949"/>
    <w:rsid w:val="00B14A94"/>
    <w:rsid w:val="00B14AB0"/>
    <w:rsid w:val="00B14AF5"/>
    <w:rsid w:val="00B14C51"/>
    <w:rsid w:val="00B14CBB"/>
    <w:rsid w:val="00B14CBC"/>
    <w:rsid w:val="00B14DD0"/>
    <w:rsid w:val="00B14F77"/>
    <w:rsid w:val="00B150FF"/>
    <w:rsid w:val="00B151FF"/>
    <w:rsid w:val="00B15252"/>
    <w:rsid w:val="00B15257"/>
    <w:rsid w:val="00B152BF"/>
    <w:rsid w:val="00B15596"/>
    <w:rsid w:val="00B15775"/>
    <w:rsid w:val="00B15BF4"/>
    <w:rsid w:val="00B15C3A"/>
    <w:rsid w:val="00B15E2D"/>
    <w:rsid w:val="00B15E5C"/>
    <w:rsid w:val="00B15F04"/>
    <w:rsid w:val="00B16015"/>
    <w:rsid w:val="00B160E5"/>
    <w:rsid w:val="00B1614C"/>
    <w:rsid w:val="00B16212"/>
    <w:rsid w:val="00B16227"/>
    <w:rsid w:val="00B16385"/>
    <w:rsid w:val="00B165C9"/>
    <w:rsid w:val="00B16641"/>
    <w:rsid w:val="00B16777"/>
    <w:rsid w:val="00B16946"/>
    <w:rsid w:val="00B16AAB"/>
    <w:rsid w:val="00B16C49"/>
    <w:rsid w:val="00B16D2A"/>
    <w:rsid w:val="00B16DDF"/>
    <w:rsid w:val="00B16EA2"/>
    <w:rsid w:val="00B1725D"/>
    <w:rsid w:val="00B1752C"/>
    <w:rsid w:val="00B17533"/>
    <w:rsid w:val="00B17D8C"/>
    <w:rsid w:val="00B17F54"/>
    <w:rsid w:val="00B201E9"/>
    <w:rsid w:val="00B20276"/>
    <w:rsid w:val="00B203CF"/>
    <w:rsid w:val="00B204C9"/>
    <w:rsid w:val="00B20727"/>
    <w:rsid w:val="00B207AE"/>
    <w:rsid w:val="00B209CD"/>
    <w:rsid w:val="00B20C32"/>
    <w:rsid w:val="00B20CB8"/>
    <w:rsid w:val="00B20D74"/>
    <w:rsid w:val="00B2101E"/>
    <w:rsid w:val="00B21125"/>
    <w:rsid w:val="00B21370"/>
    <w:rsid w:val="00B216DA"/>
    <w:rsid w:val="00B219C2"/>
    <w:rsid w:val="00B219D3"/>
    <w:rsid w:val="00B21A73"/>
    <w:rsid w:val="00B21A9B"/>
    <w:rsid w:val="00B21B19"/>
    <w:rsid w:val="00B21B1C"/>
    <w:rsid w:val="00B21B7F"/>
    <w:rsid w:val="00B21CFC"/>
    <w:rsid w:val="00B21D3D"/>
    <w:rsid w:val="00B21D41"/>
    <w:rsid w:val="00B21E0B"/>
    <w:rsid w:val="00B2202A"/>
    <w:rsid w:val="00B2210F"/>
    <w:rsid w:val="00B221B2"/>
    <w:rsid w:val="00B2223A"/>
    <w:rsid w:val="00B2228B"/>
    <w:rsid w:val="00B22398"/>
    <w:rsid w:val="00B224F5"/>
    <w:rsid w:val="00B22509"/>
    <w:rsid w:val="00B2258C"/>
    <w:rsid w:val="00B22855"/>
    <w:rsid w:val="00B228B8"/>
    <w:rsid w:val="00B22A9A"/>
    <w:rsid w:val="00B22B82"/>
    <w:rsid w:val="00B22CD4"/>
    <w:rsid w:val="00B22DCF"/>
    <w:rsid w:val="00B22F56"/>
    <w:rsid w:val="00B22FF2"/>
    <w:rsid w:val="00B231AE"/>
    <w:rsid w:val="00B23372"/>
    <w:rsid w:val="00B23449"/>
    <w:rsid w:val="00B237D8"/>
    <w:rsid w:val="00B23801"/>
    <w:rsid w:val="00B23A1C"/>
    <w:rsid w:val="00B23BA5"/>
    <w:rsid w:val="00B23C8C"/>
    <w:rsid w:val="00B23E21"/>
    <w:rsid w:val="00B23EE6"/>
    <w:rsid w:val="00B23FDE"/>
    <w:rsid w:val="00B2414D"/>
    <w:rsid w:val="00B241A1"/>
    <w:rsid w:val="00B24423"/>
    <w:rsid w:val="00B244AD"/>
    <w:rsid w:val="00B244BD"/>
    <w:rsid w:val="00B2474A"/>
    <w:rsid w:val="00B2486A"/>
    <w:rsid w:val="00B249F8"/>
    <w:rsid w:val="00B24A0F"/>
    <w:rsid w:val="00B24DF3"/>
    <w:rsid w:val="00B25082"/>
    <w:rsid w:val="00B25098"/>
    <w:rsid w:val="00B25122"/>
    <w:rsid w:val="00B25303"/>
    <w:rsid w:val="00B256F0"/>
    <w:rsid w:val="00B257A6"/>
    <w:rsid w:val="00B257EC"/>
    <w:rsid w:val="00B25864"/>
    <w:rsid w:val="00B25893"/>
    <w:rsid w:val="00B258AD"/>
    <w:rsid w:val="00B258BD"/>
    <w:rsid w:val="00B25A70"/>
    <w:rsid w:val="00B25B15"/>
    <w:rsid w:val="00B25D1A"/>
    <w:rsid w:val="00B25F4D"/>
    <w:rsid w:val="00B25F4E"/>
    <w:rsid w:val="00B260F8"/>
    <w:rsid w:val="00B2647C"/>
    <w:rsid w:val="00B264B4"/>
    <w:rsid w:val="00B26521"/>
    <w:rsid w:val="00B268AA"/>
    <w:rsid w:val="00B26906"/>
    <w:rsid w:val="00B26A35"/>
    <w:rsid w:val="00B26AAB"/>
    <w:rsid w:val="00B26BF5"/>
    <w:rsid w:val="00B26C84"/>
    <w:rsid w:val="00B26DD7"/>
    <w:rsid w:val="00B270CA"/>
    <w:rsid w:val="00B270D3"/>
    <w:rsid w:val="00B27373"/>
    <w:rsid w:val="00B274D3"/>
    <w:rsid w:val="00B275B8"/>
    <w:rsid w:val="00B276BF"/>
    <w:rsid w:val="00B276F0"/>
    <w:rsid w:val="00B27773"/>
    <w:rsid w:val="00B27E64"/>
    <w:rsid w:val="00B27EC3"/>
    <w:rsid w:val="00B30033"/>
    <w:rsid w:val="00B300E2"/>
    <w:rsid w:val="00B30112"/>
    <w:rsid w:val="00B30140"/>
    <w:rsid w:val="00B30165"/>
    <w:rsid w:val="00B30494"/>
    <w:rsid w:val="00B306DA"/>
    <w:rsid w:val="00B308A0"/>
    <w:rsid w:val="00B308C3"/>
    <w:rsid w:val="00B309FE"/>
    <w:rsid w:val="00B30A23"/>
    <w:rsid w:val="00B30ACB"/>
    <w:rsid w:val="00B30D1B"/>
    <w:rsid w:val="00B30E92"/>
    <w:rsid w:val="00B30F1C"/>
    <w:rsid w:val="00B31260"/>
    <w:rsid w:val="00B3136B"/>
    <w:rsid w:val="00B314CB"/>
    <w:rsid w:val="00B3162C"/>
    <w:rsid w:val="00B3164A"/>
    <w:rsid w:val="00B317FC"/>
    <w:rsid w:val="00B31D4D"/>
    <w:rsid w:val="00B31E4E"/>
    <w:rsid w:val="00B31F8B"/>
    <w:rsid w:val="00B32017"/>
    <w:rsid w:val="00B320F8"/>
    <w:rsid w:val="00B32284"/>
    <w:rsid w:val="00B323BA"/>
    <w:rsid w:val="00B32434"/>
    <w:rsid w:val="00B3258F"/>
    <w:rsid w:val="00B325E8"/>
    <w:rsid w:val="00B326A2"/>
    <w:rsid w:val="00B328DA"/>
    <w:rsid w:val="00B32936"/>
    <w:rsid w:val="00B32997"/>
    <w:rsid w:val="00B32CA7"/>
    <w:rsid w:val="00B32D07"/>
    <w:rsid w:val="00B32EA8"/>
    <w:rsid w:val="00B32F6B"/>
    <w:rsid w:val="00B330B8"/>
    <w:rsid w:val="00B331A7"/>
    <w:rsid w:val="00B3329C"/>
    <w:rsid w:val="00B33437"/>
    <w:rsid w:val="00B33628"/>
    <w:rsid w:val="00B336BE"/>
    <w:rsid w:val="00B33710"/>
    <w:rsid w:val="00B337BC"/>
    <w:rsid w:val="00B3392F"/>
    <w:rsid w:val="00B33944"/>
    <w:rsid w:val="00B33947"/>
    <w:rsid w:val="00B33A1E"/>
    <w:rsid w:val="00B33A22"/>
    <w:rsid w:val="00B33AD5"/>
    <w:rsid w:val="00B3410D"/>
    <w:rsid w:val="00B34160"/>
    <w:rsid w:val="00B34355"/>
    <w:rsid w:val="00B34778"/>
    <w:rsid w:val="00B34DC4"/>
    <w:rsid w:val="00B34EE7"/>
    <w:rsid w:val="00B34F49"/>
    <w:rsid w:val="00B351E6"/>
    <w:rsid w:val="00B353D0"/>
    <w:rsid w:val="00B35482"/>
    <w:rsid w:val="00B3551D"/>
    <w:rsid w:val="00B3564E"/>
    <w:rsid w:val="00B35674"/>
    <w:rsid w:val="00B356EF"/>
    <w:rsid w:val="00B357E0"/>
    <w:rsid w:val="00B358ED"/>
    <w:rsid w:val="00B35A20"/>
    <w:rsid w:val="00B36043"/>
    <w:rsid w:val="00B36185"/>
    <w:rsid w:val="00B36211"/>
    <w:rsid w:val="00B3639C"/>
    <w:rsid w:val="00B36438"/>
    <w:rsid w:val="00B36441"/>
    <w:rsid w:val="00B366B6"/>
    <w:rsid w:val="00B3678E"/>
    <w:rsid w:val="00B36923"/>
    <w:rsid w:val="00B36929"/>
    <w:rsid w:val="00B369F6"/>
    <w:rsid w:val="00B36A2D"/>
    <w:rsid w:val="00B36A52"/>
    <w:rsid w:val="00B36AD7"/>
    <w:rsid w:val="00B36BC5"/>
    <w:rsid w:val="00B36BCE"/>
    <w:rsid w:val="00B36DC1"/>
    <w:rsid w:val="00B36F7D"/>
    <w:rsid w:val="00B37014"/>
    <w:rsid w:val="00B3732B"/>
    <w:rsid w:val="00B37525"/>
    <w:rsid w:val="00B3763D"/>
    <w:rsid w:val="00B3774A"/>
    <w:rsid w:val="00B37852"/>
    <w:rsid w:val="00B378EA"/>
    <w:rsid w:val="00B37A0E"/>
    <w:rsid w:val="00B37AB1"/>
    <w:rsid w:val="00B37E18"/>
    <w:rsid w:val="00B37F81"/>
    <w:rsid w:val="00B4002F"/>
    <w:rsid w:val="00B401E3"/>
    <w:rsid w:val="00B40393"/>
    <w:rsid w:val="00B40894"/>
    <w:rsid w:val="00B40B1C"/>
    <w:rsid w:val="00B40C8D"/>
    <w:rsid w:val="00B40ED0"/>
    <w:rsid w:val="00B40EEA"/>
    <w:rsid w:val="00B40FB7"/>
    <w:rsid w:val="00B41007"/>
    <w:rsid w:val="00B41270"/>
    <w:rsid w:val="00B41280"/>
    <w:rsid w:val="00B412E5"/>
    <w:rsid w:val="00B4137E"/>
    <w:rsid w:val="00B415FE"/>
    <w:rsid w:val="00B416BB"/>
    <w:rsid w:val="00B41C21"/>
    <w:rsid w:val="00B41F7D"/>
    <w:rsid w:val="00B41FF3"/>
    <w:rsid w:val="00B4219D"/>
    <w:rsid w:val="00B42227"/>
    <w:rsid w:val="00B422AF"/>
    <w:rsid w:val="00B42345"/>
    <w:rsid w:val="00B423C6"/>
    <w:rsid w:val="00B42452"/>
    <w:rsid w:val="00B42500"/>
    <w:rsid w:val="00B42925"/>
    <w:rsid w:val="00B42ED5"/>
    <w:rsid w:val="00B42F85"/>
    <w:rsid w:val="00B42FDC"/>
    <w:rsid w:val="00B4300D"/>
    <w:rsid w:val="00B43033"/>
    <w:rsid w:val="00B4309D"/>
    <w:rsid w:val="00B43129"/>
    <w:rsid w:val="00B43289"/>
    <w:rsid w:val="00B4334C"/>
    <w:rsid w:val="00B433B9"/>
    <w:rsid w:val="00B437AA"/>
    <w:rsid w:val="00B438EA"/>
    <w:rsid w:val="00B43918"/>
    <w:rsid w:val="00B44622"/>
    <w:rsid w:val="00B44669"/>
    <w:rsid w:val="00B44826"/>
    <w:rsid w:val="00B44A07"/>
    <w:rsid w:val="00B44A0F"/>
    <w:rsid w:val="00B44ABF"/>
    <w:rsid w:val="00B44D55"/>
    <w:rsid w:val="00B44DC9"/>
    <w:rsid w:val="00B44E8A"/>
    <w:rsid w:val="00B44F0F"/>
    <w:rsid w:val="00B4505D"/>
    <w:rsid w:val="00B45082"/>
    <w:rsid w:val="00B4521B"/>
    <w:rsid w:val="00B45273"/>
    <w:rsid w:val="00B455B7"/>
    <w:rsid w:val="00B45686"/>
    <w:rsid w:val="00B457BD"/>
    <w:rsid w:val="00B4587E"/>
    <w:rsid w:val="00B4598B"/>
    <w:rsid w:val="00B45AD6"/>
    <w:rsid w:val="00B45E54"/>
    <w:rsid w:val="00B460BB"/>
    <w:rsid w:val="00B46108"/>
    <w:rsid w:val="00B46161"/>
    <w:rsid w:val="00B461C0"/>
    <w:rsid w:val="00B462D5"/>
    <w:rsid w:val="00B465CD"/>
    <w:rsid w:val="00B46749"/>
    <w:rsid w:val="00B467E7"/>
    <w:rsid w:val="00B46802"/>
    <w:rsid w:val="00B46D49"/>
    <w:rsid w:val="00B46E99"/>
    <w:rsid w:val="00B4713C"/>
    <w:rsid w:val="00B472C8"/>
    <w:rsid w:val="00B472F5"/>
    <w:rsid w:val="00B47366"/>
    <w:rsid w:val="00B47424"/>
    <w:rsid w:val="00B47482"/>
    <w:rsid w:val="00B47536"/>
    <w:rsid w:val="00B47560"/>
    <w:rsid w:val="00B47783"/>
    <w:rsid w:val="00B47805"/>
    <w:rsid w:val="00B47976"/>
    <w:rsid w:val="00B47A5E"/>
    <w:rsid w:val="00B47B38"/>
    <w:rsid w:val="00B47B5A"/>
    <w:rsid w:val="00B47BE4"/>
    <w:rsid w:val="00B47C2E"/>
    <w:rsid w:val="00B47E26"/>
    <w:rsid w:val="00B47E77"/>
    <w:rsid w:val="00B47F3D"/>
    <w:rsid w:val="00B50164"/>
    <w:rsid w:val="00B501D5"/>
    <w:rsid w:val="00B5041D"/>
    <w:rsid w:val="00B504FE"/>
    <w:rsid w:val="00B5057D"/>
    <w:rsid w:val="00B507F4"/>
    <w:rsid w:val="00B50AE1"/>
    <w:rsid w:val="00B50BC8"/>
    <w:rsid w:val="00B50BEE"/>
    <w:rsid w:val="00B51177"/>
    <w:rsid w:val="00B51416"/>
    <w:rsid w:val="00B516DD"/>
    <w:rsid w:val="00B516EE"/>
    <w:rsid w:val="00B51884"/>
    <w:rsid w:val="00B5190D"/>
    <w:rsid w:val="00B51A4B"/>
    <w:rsid w:val="00B51C17"/>
    <w:rsid w:val="00B5207D"/>
    <w:rsid w:val="00B52086"/>
    <w:rsid w:val="00B521BF"/>
    <w:rsid w:val="00B525AD"/>
    <w:rsid w:val="00B52629"/>
    <w:rsid w:val="00B52930"/>
    <w:rsid w:val="00B529D1"/>
    <w:rsid w:val="00B52BE4"/>
    <w:rsid w:val="00B52D30"/>
    <w:rsid w:val="00B52D75"/>
    <w:rsid w:val="00B52FA3"/>
    <w:rsid w:val="00B530C7"/>
    <w:rsid w:val="00B5317D"/>
    <w:rsid w:val="00B531B7"/>
    <w:rsid w:val="00B532E3"/>
    <w:rsid w:val="00B53454"/>
    <w:rsid w:val="00B535AC"/>
    <w:rsid w:val="00B539AD"/>
    <w:rsid w:val="00B53A0A"/>
    <w:rsid w:val="00B53BBD"/>
    <w:rsid w:val="00B53BCB"/>
    <w:rsid w:val="00B53C52"/>
    <w:rsid w:val="00B5405E"/>
    <w:rsid w:val="00B540E8"/>
    <w:rsid w:val="00B5416F"/>
    <w:rsid w:val="00B5437C"/>
    <w:rsid w:val="00B5479C"/>
    <w:rsid w:val="00B548F1"/>
    <w:rsid w:val="00B54939"/>
    <w:rsid w:val="00B549A2"/>
    <w:rsid w:val="00B54B1D"/>
    <w:rsid w:val="00B54C3E"/>
    <w:rsid w:val="00B54D86"/>
    <w:rsid w:val="00B54EBE"/>
    <w:rsid w:val="00B54F0A"/>
    <w:rsid w:val="00B552CE"/>
    <w:rsid w:val="00B553A3"/>
    <w:rsid w:val="00B553A4"/>
    <w:rsid w:val="00B553A5"/>
    <w:rsid w:val="00B553F6"/>
    <w:rsid w:val="00B5579A"/>
    <w:rsid w:val="00B557DE"/>
    <w:rsid w:val="00B55894"/>
    <w:rsid w:val="00B558F8"/>
    <w:rsid w:val="00B55960"/>
    <w:rsid w:val="00B55AA9"/>
    <w:rsid w:val="00B55B64"/>
    <w:rsid w:val="00B55F80"/>
    <w:rsid w:val="00B5625A"/>
    <w:rsid w:val="00B5648D"/>
    <w:rsid w:val="00B56548"/>
    <w:rsid w:val="00B569DF"/>
    <w:rsid w:val="00B56A5A"/>
    <w:rsid w:val="00B56BF8"/>
    <w:rsid w:val="00B56BFA"/>
    <w:rsid w:val="00B56F89"/>
    <w:rsid w:val="00B57053"/>
    <w:rsid w:val="00B57202"/>
    <w:rsid w:val="00B57307"/>
    <w:rsid w:val="00B574D4"/>
    <w:rsid w:val="00B57637"/>
    <w:rsid w:val="00B576E9"/>
    <w:rsid w:val="00B577A4"/>
    <w:rsid w:val="00B5784B"/>
    <w:rsid w:val="00B57962"/>
    <w:rsid w:val="00B57A57"/>
    <w:rsid w:val="00B57A59"/>
    <w:rsid w:val="00B57B37"/>
    <w:rsid w:val="00B57B41"/>
    <w:rsid w:val="00B57BF7"/>
    <w:rsid w:val="00B57D64"/>
    <w:rsid w:val="00B57D78"/>
    <w:rsid w:val="00B57E0E"/>
    <w:rsid w:val="00B57F57"/>
    <w:rsid w:val="00B57FEA"/>
    <w:rsid w:val="00B60068"/>
    <w:rsid w:val="00B60198"/>
    <w:rsid w:val="00B60217"/>
    <w:rsid w:val="00B60306"/>
    <w:rsid w:val="00B604B3"/>
    <w:rsid w:val="00B605D2"/>
    <w:rsid w:val="00B608AC"/>
    <w:rsid w:val="00B60991"/>
    <w:rsid w:val="00B60B1D"/>
    <w:rsid w:val="00B60B98"/>
    <w:rsid w:val="00B610EA"/>
    <w:rsid w:val="00B61121"/>
    <w:rsid w:val="00B6127F"/>
    <w:rsid w:val="00B612D1"/>
    <w:rsid w:val="00B612DF"/>
    <w:rsid w:val="00B6154D"/>
    <w:rsid w:val="00B615A5"/>
    <w:rsid w:val="00B61605"/>
    <w:rsid w:val="00B61772"/>
    <w:rsid w:val="00B61AAE"/>
    <w:rsid w:val="00B61B2A"/>
    <w:rsid w:val="00B61C3C"/>
    <w:rsid w:val="00B61DED"/>
    <w:rsid w:val="00B61EB8"/>
    <w:rsid w:val="00B62349"/>
    <w:rsid w:val="00B627CB"/>
    <w:rsid w:val="00B6283A"/>
    <w:rsid w:val="00B62D21"/>
    <w:rsid w:val="00B62E7E"/>
    <w:rsid w:val="00B62F98"/>
    <w:rsid w:val="00B6333B"/>
    <w:rsid w:val="00B633F9"/>
    <w:rsid w:val="00B63456"/>
    <w:rsid w:val="00B634C9"/>
    <w:rsid w:val="00B63649"/>
    <w:rsid w:val="00B63B1D"/>
    <w:rsid w:val="00B63BF3"/>
    <w:rsid w:val="00B63F54"/>
    <w:rsid w:val="00B63FB6"/>
    <w:rsid w:val="00B641AF"/>
    <w:rsid w:val="00B6442B"/>
    <w:rsid w:val="00B644E0"/>
    <w:rsid w:val="00B6460E"/>
    <w:rsid w:val="00B64635"/>
    <w:rsid w:val="00B64793"/>
    <w:rsid w:val="00B647C5"/>
    <w:rsid w:val="00B64893"/>
    <w:rsid w:val="00B648AE"/>
    <w:rsid w:val="00B648DB"/>
    <w:rsid w:val="00B649AD"/>
    <w:rsid w:val="00B64B92"/>
    <w:rsid w:val="00B64BD7"/>
    <w:rsid w:val="00B64C17"/>
    <w:rsid w:val="00B64C61"/>
    <w:rsid w:val="00B64CD4"/>
    <w:rsid w:val="00B64F38"/>
    <w:rsid w:val="00B64FA1"/>
    <w:rsid w:val="00B6504F"/>
    <w:rsid w:val="00B65111"/>
    <w:rsid w:val="00B654DE"/>
    <w:rsid w:val="00B6562A"/>
    <w:rsid w:val="00B656B2"/>
    <w:rsid w:val="00B656ED"/>
    <w:rsid w:val="00B657EA"/>
    <w:rsid w:val="00B65836"/>
    <w:rsid w:val="00B659C6"/>
    <w:rsid w:val="00B65B17"/>
    <w:rsid w:val="00B65D7D"/>
    <w:rsid w:val="00B65DD5"/>
    <w:rsid w:val="00B65DF3"/>
    <w:rsid w:val="00B65FDC"/>
    <w:rsid w:val="00B6610B"/>
    <w:rsid w:val="00B6654F"/>
    <w:rsid w:val="00B6663E"/>
    <w:rsid w:val="00B66866"/>
    <w:rsid w:val="00B66DB9"/>
    <w:rsid w:val="00B66EC4"/>
    <w:rsid w:val="00B66EEE"/>
    <w:rsid w:val="00B66F86"/>
    <w:rsid w:val="00B670D4"/>
    <w:rsid w:val="00B672B1"/>
    <w:rsid w:val="00B67692"/>
    <w:rsid w:val="00B676EE"/>
    <w:rsid w:val="00B6775E"/>
    <w:rsid w:val="00B67821"/>
    <w:rsid w:val="00B67835"/>
    <w:rsid w:val="00B67852"/>
    <w:rsid w:val="00B6785A"/>
    <w:rsid w:val="00B679A1"/>
    <w:rsid w:val="00B7006B"/>
    <w:rsid w:val="00B701B2"/>
    <w:rsid w:val="00B702FA"/>
    <w:rsid w:val="00B70550"/>
    <w:rsid w:val="00B70621"/>
    <w:rsid w:val="00B70678"/>
    <w:rsid w:val="00B7075F"/>
    <w:rsid w:val="00B70809"/>
    <w:rsid w:val="00B70889"/>
    <w:rsid w:val="00B70C5A"/>
    <w:rsid w:val="00B70C7A"/>
    <w:rsid w:val="00B70FC1"/>
    <w:rsid w:val="00B7100B"/>
    <w:rsid w:val="00B7105A"/>
    <w:rsid w:val="00B71189"/>
    <w:rsid w:val="00B713E1"/>
    <w:rsid w:val="00B7171B"/>
    <w:rsid w:val="00B717DF"/>
    <w:rsid w:val="00B71A15"/>
    <w:rsid w:val="00B71DD8"/>
    <w:rsid w:val="00B71F7B"/>
    <w:rsid w:val="00B71FE4"/>
    <w:rsid w:val="00B721C1"/>
    <w:rsid w:val="00B721C2"/>
    <w:rsid w:val="00B72234"/>
    <w:rsid w:val="00B725B8"/>
    <w:rsid w:val="00B725D7"/>
    <w:rsid w:val="00B72A95"/>
    <w:rsid w:val="00B72BF1"/>
    <w:rsid w:val="00B72C46"/>
    <w:rsid w:val="00B72C64"/>
    <w:rsid w:val="00B72D44"/>
    <w:rsid w:val="00B72DC1"/>
    <w:rsid w:val="00B72DFA"/>
    <w:rsid w:val="00B72EDA"/>
    <w:rsid w:val="00B7305A"/>
    <w:rsid w:val="00B7315D"/>
    <w:rsid w:val="00B733B6"/>
    <w:rsid w:val="00B7364C"/>
    <w:rsid w:val="00B73F86"/>
    <w:rsid w:val="00B74297"/>
    <w:rsid w:val="00B742F9"/>
    <w:rsid w:val="00B7469D"/>
    <w:rsid w:val="00B747AE"/>
    <w:rsid w:val="00B7486B"/>
    <w:rsid w:val="00B74ABF"/>
    <w:rsid w:val="00B74B9B"/>
    <w:rsid w:val="00B74BDB"/>
    <w:rsid w:val="00B74D39"/>
    <w:rsid w:val="00B74FFE"/>
    <w:rsid w:val="00B75166"/>
    <w:rsid w:val="00B755E8"/>
    <w:rsid w:val="00B75A7B"/>
    <w:rsid w:val="00B75D48"/>
    <w:rsid w:val="00B75E05"/>
    <w:rsid w:val="00B75EA6"/>
    <w:rsid w:val="00B75EB6"/>
    <w:rsid w:val="00B75F99"/>
    <w:rsid w:val="00B75FC9"/>
    <w:rsid w:val="00B76119"/>
    <w:rsid w:val="00B76385"/>
    <w:rsid w:val="00B763D5"/>
    <w:rsid w:val="00B763F9"/>
    <w:rsid w:val="00B76402"/>
    <w:rsid w:val="00B76403"/>
    <w:rsid w:val="00B765BD"/>
    <w:rsid w:val="00B7668C"/>
    <w:rsid w:val="00B7673C"/>
    <w:rsid w:val="00B7680A"/>
    <w:rsid w:val="00B768D3"/>
    <w:rsid w:val="00B76918"/>
    <w:rsid w:val="00B76A2A"/>
    <w:rsid w:val="00B76B2B"/>
    <w:rsid w:val="00B76CE2"/>
    <w:rsid w:val="00B76CE8"/>
    <w:rsid w:val="00B76D45"/>
    <w:rsid w:val="00B76E68"/>
    <w:rsid w:val="00B76EA2"/>
    <w:rsid w:val="00B773C1"/>
    <w:rsid w:val="00B774F0"/>
    <w:rsid w:val="00B77912"/>
    <w:rsid w:val="00B77CE4"/>
    <w:rsid w:val="00B77EB9"/>
    <w:rsid w:val="00B77F9B"/>
    <w:rsid w:val="00B801A7"/>
    <w:rsid w:val="00B80211"/>
    <w:rsid w:val="00B8024C"/>
    <w:rsid w:val="00B802F4"/>
    <w:rsid w:val="00B80341"/>
    <w:rsid w:val="00B8049A"/>
    <w:rsid w:val="00B8049B"/>
    <w:rsid w:val="00B8052E"/>
    <w:rsid w:val="00B8062C"/>
    <w:rsid w:val="00B80890"/>
    <w:rsid w:val="00B809B0"/>
    <w:rsid w:val="00B80A19"/>
    <w:rsid w:val="00B80D7B"/>
    <w:rsid w:val="00B80D85"/>
    <w:rsid w:val="00B80DCB"/>
    <w:rsid w:val="00B80E80"/>
    <w:rsid w:val="00B8149A"/>
    <w:rsid w:val="00B8150C"/>
    <w:rsid w:val="00B8157D"/>
    <w:rsid w:val="00B81630"/>
    <w:rsid w:val="00B81668"/>
    <w:rsid w:val="00B816A3"/>
    <w:rsid w:val="00B816FB"/>
    <w:rsid w:val="00B81893"/>
    <w:rsid w:val="00B81A9D"/>
    <w:rsid w:val="00B81BC7"/>
    <w:rsid w:val="00B81D80"/>
    <w:rsid w:val="00B81E20"/>
    <w:rsid w:val="00B820A8"/>
    <w:rsid w:val="00B8221E"/>
    <w:rsid w:val="00B824E6"/>
    <w:rsid w:val="00B82503"/>
    <w:rsid w:val="00B82601"/>
    <w:rsid w:val="00B826C3"/>
    <w:rsid w:val="00B8278C"/>
    <w:rsid w:val="00B82957"/>
    <w:rsid w:val="00B82C30"/>
    <w:rsid w:val="00B82F8E"/>
    <w:rsid w:val="00B830E4"/>
    <w:rsid w:val="00B831F1"/>
    <w:rsid w:val="00B832E7"/>
    <w:rsid w:val="00B83526"/>
    <w:rsid w:val="00B83766"/>
    <w:rsid w:val="00B83888"/>
    <w:rsid w:val="00B83978"/>
    <w:rsid w:val="00B83A2A"/>
    <w:rsid w:val="00B83DC7"/>
    <w:rsid w:val="00B83F9C"/>
    <w:rsid w:val="00B84014"/>
    <w:rsid w:val="00B84174"/>
    <w:rsid w:val="00B84180"/>
    <w:rsid w:val="00B84181"/>
    <w:rsid w:val="00B842AD"/>
    <w:rsid w:val="00B84749"/>
    <w:rsid w:val="00B847E4"/>
    <w:rsid w:val="00B849C5"/>
    <w:rsid w:val="00B84ADC"/>
    <w:rsid w:val="00B84B04"/>
    <w:rsid w:val="00B84EBF"/>
    <w:rsid w:val="00B84FFC"/>
    <w:rsid w:val="00B85278"/>
    <w:rsid w:val="00B852EC"/>
    <w:rsid w:val="00B85570"/>
    <w:rsid w:val="00B855D1"/>
    <w:rsid w:val="00B85628"/>
    <w:rsid w:val="00B8563C"/>
    <w:rsid w:val="00B856E4"/>
    <w:rsid w:val="00B857BD"/>
    <w:rsid w:val="00B85918"/>
    <w:rsid w:val="00B85974"/>
    <w:rsid w:val="00B85F69"/>
    <w:rsid w:val="00B8613B"/>
    <w:rsid w:val="00B8622C"/>
    <w:rsid w:val="00B8629B"/>
    <w:rsid w:val="00B862E9"/>
    <w:rsid w:val="00B864BD"/>
    <w:rsid w:val="00B8664F"/>
    <w:rsid w:val="00B866C4"/>
    <w:rsid w:val="00B86819"/>
    <w:rsid w:val="00B868C1"/>
    <w:rsid w:val="00B86A5A"/>
    <w:rsid w:val="00B86C11"/>
    <w:rsid w:val="00B86CAB"/>
    <w:rsid w:val="00B871C2"/>
    <w:rsid w:val="00B87222"/>
    <w:rsid w:val="00B87700"/>
    <w:rsid w:val="00B879D7"/>
    <w:rsid w:val="00B87AF8"/>
    <w:rsid w:val="00B87B3A"/>
    <w:rsid w:val="00B87D1B"/>
    <w:rsid w:val="00B87F24"/>
    <w:rsid w:val="00B9028A"/>
    <w:rsid w:val="00B9036D"/>
    <w:rsid w:val="00B90468"/>
    <w:rsid w:val="00B908B6"/>
    <w:rsid w:val="00B9090D"/>
    <w:rsid w:val="00B90AC0"/>
    <w:rsid w:val="00B90E7D"/>
    <w:rsid w:val="00B90EED"/>
    <w:rsid w:val="00B910F1"/>
    <w:rsid w:val="00B9125A"/>
    <w:rsid w:val="00B91383"/>
    <w:rsid w:val="00B91796"/>
    <w:rsid w:val="00B919D5"/>
    <w:rsid w:val="00B91B67"/>
    <w:rsid w:val="00B91BD9"/>
    <w:rsid w:val="00B91CE2"/>
    <w:rsid w:val="00B91E5C"/>
    <w:rsid w:val="00B9207A"/>
    <w:rsid w:val="00B92148"/>
    <w:rsid w:val="00B92189"/>
    <w:rsid w:val="00B921EB"/>
    <w:rsid w:val="00B922A0"/>
    <w:rsid w:val="00B92315"/>
    <w:rsid w:val="00B92730"/>
    <w:rsid w:val="00B9287A"/>
    <w:rsid w:val="00B9288A"/>
    <w:rsid w:val="00B9292F"/>
    <w:rsid w:val="00B92991"/>
    <w:rsid w:val="00B92AA1"/>
    <w:rsid w:val="00B92AF8"/>
    <w:rsid w:val="00B92B17"/>
    <w:rsid w:val="00B92C50"/>
    <w:rsid w:val="00B92FFF"/>
    <w:rsid w:val="00B93153"/>
    <w:rsid w:val="00B932C7"/>
    <w:rsid w:val="00B9330F"/>
    <w:rsid w:val="00B93537"/>
    <w:rsid w:val="00B93672"/>
    <w:rsid w:val="00B93754"/>
    <w:rsid w:val="00B93A57"/>
    <w:rsid w:val="00B93B26"/>
    <w:rsid w:val="00B93BEA"/>
    <w:rsid w:val="00B93CF4"/>
    <w:rsid w:val="00B93D08"/>
    <w:rsid w:val="00B93DAE"/>
    <w:rsid w:val="00B93EDB"/>
    <w:rsid w:val="00B93EE1"/>
    <w:rsid w:val="00B93F29"/>
    <w:rsid w:val="00B93FF2"/>
    <w:rsid w:val="00B9422D"/>
    <w:rsid w:val="00B94739"/>
    <w:rsid w:val="00B9478C"/>
    <w:rsid w:val="00B948BA"/>
    <w:rsid w:val="00B949B6"/>
    <w:rsid w:val="00B94B46"/>
    <w:rsid w:val="00B94C6A"/>
    <w:rsid w:val="00B94CE8"/>
    <w:rsid w:val="00B94EC8"/>
    <w:rsid w:val="00B94EFE"/>
    <w:rsid w:val="00B94F06"/>
    <w:rsid w:val="00B94F12"/>
    <w:rsid w:val="00B950A2"/>
    <w:rsid w:val="00B950F6"/>
    <w:rsid w:val="00B95121"/>
    <w:rsid w:val="00B9526A"/>
    <w:rsid w:val="00B954C8"/>
    <w:rsid w:val="00B95578"/>
    <w:rsid w:val="00B955B9"/>
    <w:rsid w:val="00B955EB"/>
    <w:rsid w:val="00B956A3"/>
    <w:rsid w:val="00B95852"/>
    <w:rsid w:val="00B95AC1"/>
    <w:rsid w:val="00B95B8F"/>
    <w:rsid w:val="00B95C17"/>
    <w:rsid w:val="00B95D9E"/>
    <w:rsid w:val="00B960B0"/>
    <w:rsid w:val="00B962E8"/>
    <w:rsid w:val="00B96300"/>
    <w:rsid w:val="00B9634D"/>
    <w:rsid w:val="00B96886"/>
    <w:rsid w:val="00B9694A"/>
    <w:rsid w:val="00B96A30"/>
    <w:rsid w:val="00B96B1F"/>
    <w:rsid w:val="00B96C28"/>
    <w:rsid w:val="00B96CC5"/>
    <w:rsid w:val="00B96E9A"/>
    <w:rsid w:val="00B97163"/>
    <w:rsid w:val="00B97332"/>
    <w:rsid w:val="00B97420"/>
    <w:rsid w:val="00B97430"/>
    <w:rsid w:val="00B97773"/>
    <w:rsid w:val="00B977E7"/>
    <w:rsid w:val="00B9783D"/>
    <w:rsid w:val="00B97DD6"/>
    <w:rsid w:val="00BA00AC"/>
    <w:rsid w:val="00BA025D"/>
    <w:rsid w:val="00BA04D9"/>
    <w:rsid w:val="00BA066B"/>
    <w:rsid w:val="00BA086D"/>
    <w:rsid w:val="00BA08A8"/>
    <w:rsid w:val="00BA098F"/>
    <w:rsid w:val="00BA09D6"/>
    <w:rsid w:val="00BA0A8C"/>
    <w:rsid w:val="00BA0AB9"/>
    <w:rsid w:val="00BA0E10"/>
    <w:rsid w:val="00BA0F90"/>
    <w:rsid w:val="00BA1049"/>
    <w:rsid w:val="00BA11FE"/>
    <w:rsid w:val="00BA123B"/>
    <w:rsid w:val="00BA12A0"/>
    <w:rsid w:val="00BA136D"/>
    <w:rsid w:val="00BA13E0"/>
    <w:rsid w:val="00BA1678"/>
    <w:rsid w:val="00BA1799"/>
    <w:rsid w:val="00BA1843"/>
    <w:rsid w:val="00BA1C5B"/>
    <w:rsid w:val="00BA1D4B"/>
    <w:rsid w:val="00BA1F3E"/>
    <w:rsid w:val="00BA2139"/>
    <w:rsid w:val="00BA23C4"/>
    <w:rsid w:val="00BA2A97"/>
    <w:rsid w:val="00BA2D1C"/>
    <w:rsid w:val="00BA2D96"/>
    <w:rsid w:val="00BA2F39"/>
    <w:rsid w:val="00BA332F"/>
    <w:rsid w:val="00BA3391"/>
    <w:rsid w:val="00BA369A"/>
    <w:rsid w:val="00BA381E"/>
    <w:rsid w:val="00BA39F7"/>
    <w:rsid w:val="00BA3AB0"/>
    <w:rsid w:val="00BA3B0F"/>
    <w:rsid w:val="00BA3BF5"/>
    <w:rsid w:val="00BA3D57"/>
    <w:rsid w:val="00BA3D63"/>
    <w:rsid w:val="00BA3D7F"/>
    <w:rsid w:val="00BA3ED3"/>
    <w:rsid w:val="00BA3F25"/>
    <w:rsid w:val="00BA3FC6"/>
    <w:rsid w:val="00BA4085"/>
    <w:rsid w:val="00BA40BB"/>
    <w:rsid w:val="00BA4285"/>
    <w:rsid w:val="00BA4304"/>
    <w:rsid w:val="00BA45E7"/>
    <w:rsid w:val="00BA45FB"/>
    <w:rsid w:val="00BA4652"/>
    <w:rsid w:val="00BA47A2"/>
    <w:rsid w:val="00BA4961"/>
    <w:rsid w:val="00BA4A7B"/>
    <w:rsid w:val="00BA4B4B"/>
    <w:rsid w:val="00BA4D25"/>
    <w:rsid w:val="00BA4FB7"/>
    <w:rsid w:val="00BA5235"/>
    <w:rsid w:val="00BA536A"/>
    <w:rsid w:val="00BA5547"/>
    <w:rsid w:val="00BA56B8"/>
    <w:rsid w:val="00BA58E0"/>
    <w:rsid w:val="00BA59F6"/>
    <w:rsid w:val="00BA5CAE"/>
    <w:rsid w:val="00BA606F"/>
    <w:rsid w:val="00BA6104"/>
    <w:rsid w:val="00BA6106"/>
    <w:rsid w:val="00BA61FB"/>
    <w:rsid w:val="00BA6281"/>
    <w:rsid w:val="00BA64BE"/>
    <w:rsid w:val="00BA66E6"/>
    <w:rsid w:val="00BA66F7"/>
    <w:rsid w:val="00BA6863"/>
    <w:rsid w:val="00BA68E3"/>
    <w:rsid w:val="00BA696B"/>
    <w:rsid w:val="00BA697B"/>
    <w:rsid w:val="00BA6A5F"/>
    <w:rsid w:val="00BA6BC2"/>
    <w:rsid w:val="00BA6C99"/>
    <w:rsid w:val="00BA6EE6"/>
    <w:rsid w:val="00BA6F20"/>
    <w:rsid w:val="00BA729C"/>
    <w:rsid w:val="00BA7455"/>
    <w:rsid w:val="00BA76B3"/>
    <w:rsid w:val="00BA7726"/>
    <w:rsid w:val="00BA78FC"/>
    <w:rsid w:val="00BA7913"/>
    <w:rsid w:val="00BA7949"/>
    <w:rsid w:val="00BA79FA"/>
    <w:rsid w:val="00BA7A4B"/>
    <w:rsid w:val="00BA7A88"/>
    <w:rsid w:val="00BA7B24"/>
    <w:rsid w:val="00BA7DAB"/>
    <w:rsid w:val="00BA7DBB"/>
    <w:rsid w:val="00BA7FF3"/>
    <w:rsid w:val="00BB03E0"/>
    <w:rsid w:val="00BB0664"/>
    <w:rsid w:val="00BB091D"/>
    <w:rsid w:val="00BB093D"/>
    <w:rsid w:val="00BB0BC2"/>
    <w:rsid w:val="00BB0EE0"/>
    <w:rsid w:val="00BB0F05"/>
    <w:rsid w:val="00BB0FF9"/>
    <w:rsid w:val="00BB128F"/>
    <w:rsid w:val="00BB1427"/>
    <w:rsid w:val="00BB14CF"/>
    <w:rsid w:val="00BB1683"/>
    <w:rsid w:val="00BB192E"/>
    <w:rsid w:val="00BB1A94"/>
    <w:rsid w:val="00BB1AFE"/>
    <w:rsid w:val="00BB1B2D"/>
    <w:rsid w:val="00BB1C69"/>
    <w:rsid w:val="00BB1E30"/>
    <w:rsid w:val="00BB1F74"/>
    <w:rsid w:val="00BB1FDD"/>
    <w:rsid w:val="00BB227A"/>
    <w:rsid w:val="00BB2398"/>
    <w:rsid w:val="00BB2454"/>
    <w:rsid w:val="00BB2593"/>
    <w:rsid w:val="00BB25D0"/>
    <w:rsid w:val="00BB25E0"/>
    <w:rsid w:val="00BB2866"/>
    <w:rsid w:val="00BB2899"/>
    <w:rsid w:val="00BB2A7A"/>
    <w:rsid w:val="00BB2AA0"/>
    <w:rsid w:val="00BB2C29"/>
    <w:rsid w:val="00BB2DF2"/>
    <w:rsid w:val="00BB2E9C"/>
    <w:rsid w:val="00BB3075"/>
    <w:rsid w:val="00BB309F"/>
    <w:rsid w:val="00BB31A8"/>
    <w:rsid w:val="00BB34BE"/>
    <w:rsid w:val="00BB3655"/>
    <w:rsid w:val="00BB36D2"/>
    <w:rsid w:val="00BB383B"/>
    <w:rsid w:val="00BB3870"/>
    <w:rsid w:val="00BB3AB2"/>
    <w:rsid w:val="00BB3B25"/>
    <w:rsid w:val="00BB3B52"/>
    <w:rsid w:val="00BB3CB9"/>
    <w:rsid w:val="00BB3CD4"/>
    <w:rsid w:val="00BB3F13"/>
    <w:rsid w:val="00BB3FC5"/>
    <w:rsid w:val="00BB3FE8"/>
    <w:rsid w:val="00BB4094"/>
    <w:rsid w:val="00BB40BF"/>
    <w:rsid w:val="00BB410E"/>
    <w:rsid w:val="00BB416F"/>
    <w:rsid w:val="00BB4312"/>
    <w:rsid w:val="00BB451B"/>
    <w:rsid w:val="00BB4632"/>
    <w:rsid w:val="00BB4862"/>
    <w:rsid w:val="00BB48C8"/>
    <w:rsid w:val="00BB4B88"/>
    <w:rsid w:val="00BB4D6D"/>
    <w:rsid w:val="00BB5055"/>
    <w:rsid w:val="00BB514D"/>
    <w:rsid w:val="00BB520F"/>
    <w:rsid w:val="00BB5249"/>
    <w:rsid w:val="00BB5320"/>
    <w:rsid w:val="00BB53EB"/>
    <w:rsid w:val="00BB56B1"/>
    <w:rsid w:val="00BB5948"/>
    <w:rsid w:val="00BB5ACC"/>
    <w:rsid w:val="00BB5E11"/>
    <w:rsid w:val="00BB603F"/>
    <w:rsid w:val="00BB6118"/>
    <w:rsid w:val="00BB62E7"/>
    <w:rsid w:val="00BB64D6"/>
    <w:rsid w:val="00BB6514"/>
    <w:rsid w:val="00BB655F"/>
    <w:rsid w:val="00BB6591"/>
    <w:rsid w:val="00BB6634"/>
    <w:rsid w:val="00BB667B"/>
    <w:rsid w:val="00BB67F9"/>
    <w:rsid w:val="00BB684E"/>
    <w:rsid w:val="00BB6954"/>
    <w:rsid w:val="00BB6A4E"/>
    <w:rsid w:val="00BB6C43"/>
    <w:rsid w:val="00BB6F38"/>
    <w:rsid w:val="00BB6F70"/>
    <w:rsid w:val="00BB7001"/>
    <w:rsid w:val="00BB70F5"/>
    <w:rsid w:val="00BB715B"/>
    <w:rsid w:val="00BB7276"/>
    <w:rsid w:val="00BB747C"/>
    <w:rsid w:val="00BB751C"/>
    <w:rsid w:val="00BB7525"/>
    <w:rsid w:val="00BB757B"/>
    <w:rsid w:val="00BB7A1E"/>
    <w:rsid w:val="00BB7A21"/>
    <w:rsid w:val="00BB7A3B"/>
    <w:rsid w:val="00BB7B4C"/>
    <w:rsid w:val="00BB7C57"/>
    <w:rsid w:val="00BB7DA3"/>
    <w:rsid w:val="00BB7DB9"/>
    <w:rsid w:val="00BB7FD6"/>
    <w:rsid w:val="00BC0156"/>
    <w:rsid w:val="00BC0231"/>
    <w:rsid w:val="00BC0346"/>
    <w:rsid w:val="00BC0673"/>
    <w:rsid w:val="00BC06A7"/>
    <w:rsid w:val="00BC0766"/>
    <w:rsid w:val="00BC08F8"/>
    <w:rsid w:val="00BC0AE1"/>
    <w:rsid w:val="00BC0D15"/>
    <w:rsid w:val="00BC0D7A"/>
    <w:rsid w:val="00BC1078"/>
    <w:rsid w:val="00BC1299"/>
    <w:rsid w:val="00BC1345"/>
    <w:rsid w:val="00BC170E"/>
    <w:rsid w:val="00BC17ED"/>
    <w:rsid w:val="00BC182F"/>
    <w:rsid w:val="00BC193F"/>
    <w:rsid w:val="00BC1AD6"/>
    <w:rsid w:val="00BC1AF0"/>
    <w:rsid w:val="00BC1F24"/>
    <w:rsid w:val="00BC20B9"/>
    <w:rsid w:val="00BC2189"/>
    <w:rsid w:val="00BC21B6"/>
    <w:rsid w:val="00BC2596"/>
    <w:rsid w:val="00BC25B4"/>
    <w:rsid w:val="00BC2889"/>
    <w:rsid w:val="00BC289F"/>
    <w:rsid w:val="00BC290B"/>
    <w:rsid w:val="00BC2B12"/>
    <w:rsid w:val="00BC2C5B"/>
    <w:rsid w:val="00BC3194"/>
    <w:rsid w:val="00BC32EC"/>
    <w:rsid w:val="00BC3324"/>
    <w:rsid w:val="00BC34D9"/>
    <w:rsid w:val="00BC3508"/>
    <w:rsid w:val="00BC36E6"/>
    <w:rsid w:val="00BC37ED"/>
    <w:rsid w:val="00BC3BFB"/>
    <w:rsid w:val="00BC3D7D"/>
    <w:rsid w:val="00BC3DF5"/>
    <w:rsid w:val="00BC3F1A"/>
    <w:rsid w:val="00BC41C7"/>
    <w:rsid w:val="00BC42BE"/>
    <w:rsid w:val="00BC4A77"/>
    <w:rsid w:val="00BC4AC3"/>
    <w:rsid w:val="00BC4D1E"/>
    <w:rsid w:val="00BC4DC9"/>
    <w:rsid w:val="00BC4E70"/>
    <w:rsid w:val="00BC4F4F"/>
    <w:rsid w:val="00BC4F71"/>
    <w:rsid w:val="00BC50D3"/>
    <w:rsid w:val="00BC55A7"/>
    <w:rsid w:val="00BC597B"/>
    <w:rsid w:val="00BC5988"/>
    <w:rsid w:val="00BC5A54"/>
    <w:rsid w:val="00BC5A70"/>
    <w:rsid w:val="00BC5F28"/>
    <w:rsid w:val="00BC6039"/>
    <w:rsid w:val="00BC60C2"/>
    <w:rsid w:val="00BC63EB"/>
    <w:rsid w:val="00BC6429"/>
    <w:rsid w:val="00BC6596"/>
    <w:rsid w:val="00BC66A4"/>
    <w:rsid w:val="00BC66E8"/>
    <w:rsid w:val="00BC678F"/>
    <w:rsid w:val="00BC68AD"/>
    <w:rsid w:val="00BC698B"/>
    <w:rsid w:val="00BC6A9C"/>
    <w:rsid w:val="00BC6B8F"/>
    <w:rsid w:val="00BC6C79"/>
    <w:rsid w:val="00BC6E41"/>
    <w:rsid w:val="00BC7079"/>
    <w:rsid w:val="00BC70E9"/>
    <w:rsid w:val="00BC71FE"/>
    <w:rsid w:val="00BC7365"/>
    <w:rsid w:val="00BC7475"/>
    <w:rsid w:val="00BC752B"/>
    <w:rsid w:val="00BC76E8"/>
    <w:rsid w:val="00BC780A"/>
    <w:rsid w:val="00BC7A3A"/>
    <w:rsid w:val="00BC7DEE"/>
    <w:rsid w:val="00BD003D"/>
    <w:rsid w:val="00BD00C4"/>
    <w:rsid w:val="00BD0401"/>
    <w:rsid w:val="00BD04D6"/>
    <w:rsid w:val="00BD06D1"/>
    <w:rsid w:val="00BD0742"/>
    <w:rsid w:val="00BD0962"/>
    <w:rsid w:val="00BD0A68"/>
    <w:rsid w:val="00BD0B77"/>
    <w:rsid w:val="00BD0B96"/>
    <w:rsid w:val="00BD0BE2"/>
    <w:rsid w:val="00BD0C33"/>
    <w:rsid w:val="00BD0D01"/>
    <w:rsid w:val="00BD0E64"/>
    <w:rsid w:val="00BD0E8D"/>
    <w:rsid w:val="00BD0E9C"/>
    <w:rsid w:val="00BD10C3"/>
    <w:rsid w:val="00BD115F"/>
    <w:rsid w:val="00BD1689"/>
    <w:rsid w:val="00BD17BA"/>
    <w:rsid w:val="00BD18BA"/>
    <w:rsid w:val="00BD1951"/>
    <w:rsid w:val="00BD19A7"/>
    <w:rsid w:val="00BD19C2"/>
    <w:rsid w:val="00BD1A32"/>
    <w:rsid w:val="00BD1AEE"/>
    <w:rsid w:val="00BD1C22"/>
    <w:rsid w:val="00BD1C85"/>
    <w:rsid w:val="00BD1CE7"/>
    <w:rsid w:val="00BD1D9B"/>
    <w:rsid w:val="00BD1DE6"/>
    <w:rsid w:val="00BD202B"/>
    <w:rsid w:val="00BD202C"/>
    <w:rsid w:val="00BD225D"/>
    <w:rsid w:val="00BD232C"/>
    <w:rsid w:val="00BD26C0"/>
    <w:rsid w:val="00BD26C8"/>
    <w:rsid w:val="00BD274D"/>
    <w:rsid w:val="00BD2764"/>
    <w:rsid w:val="00BD29D6"/>
    <w:rsid w:val="00BD2B9E"/>
    <w:rsid w:val="00BD2BAE"/>
    <w:rsid w:val="00BD301E"/>
    <w:rsid w:val="00BD320D"/>
    <w:rsid w:val="00BD332E"/>
    <w:rsid w:val="00BD372E"/>
    <w:rsid w:val="00BD37B9"/>
    <w:rsid w:val="00BD38F2"/>
    <w:rsid w:val="00BD3F04"/>
    <w:rsid w:val="00BD3FCE"/>
    <w:rsid w:val="00BD4135"/>
    <w:rsid w:val="00BD42CB"/>
    <w:rsid w:val="00BD4309"/>
    <w:rsid w:val="00BD43A0"/>
    <w:rsid w:val="00BD4638"/>
    <w:rsid w:val="00BD463C"/>
    <w:rsid w:val="00BD4693"/>
    <w:rsid w:val="00BD4929"/>
    <w:rsid w:val="00BD4AE5"/>
    <w:rsid w:val="00BD4B26"/>
    <w:rsid w:val="00BD4BC8"/>
    <w:rsid w:val="00BD4C57"/>
    <w:rsid w:val="00BD4EED"/>
    <w:rsid w:val="00BD4F40"/>
    <w:rsid w:val="00BD5017"/>
    <w:rsid w:val="00BD51CC"/>
    <w:rsid w:val="00BD5359"/>
    <w:rsid w:val="00BD54C6"/>
    <w:rsid w:val="00BD54CF"/>
    <w:rsid w:val="00BD5558"/>
    <w:rsid w:val="00BD572C"/>
    <w:rsid w:val="00BD573E"/>
    <w:rsid w:val="00BD576D"/>
    <w:rsid w:val="00BD5981"/>
    <w:rsid w:val="00BD5B14"/>
    <w:rsid w:val="00BD6370"/>
    <w:rsid w:val="00BD6431"/>
    <w:rsid w:val="00BD65BF"/>
    <w:rsid w:val="00BD666A"/>
    <w:rsid w:val="00BD688B"/>
    <w:rsid w:val="00BD69B9"/>
    <w:rsid w:val="00BD6A12"/>
    <w:rsid w:val="00BD6A1D"/>
    <w:rsid w:val="00BD6A6E"/>
    <w:rsid w:val="00BD6A96"/>
    <w:rsid w:val="00BD6B87"/>
    <w:rsid w:val="00BD6C94"/>
    <w:rsid w:val="00BD6CE0"/>
    <w:rsid w:val="00BD6D44"/>
    <w:rsid w:val="00BD6D82"/>
    <w:rsid w:val="00BD6D9C"/>
    <w:rsid w:val="00BD6DB0"/>
    <w:rsid w:val="00BD6DD0"/>
    <w:rsid w:val="00BD6F06"/>
    <w:rsid w:val="00BD715C"/>
    <w:rsid w:val="00BD7190"/>
    <w:rsid w:val="00BD73A5"/>
    <w:rsid w:val="00BD7418"/>
    <w:rsid w:val="00BD753E"/>
    <w:rsid w:val="00BD7757"/>
    <w:rsid w:val="00BD77AC"/>
    <w:rsid w:val="00BD79B1"/>
    <w:rsid w:val="00BD79DB"/>
    <w:rsid w:val="00BD7AAD"/>
    <w:rsid w:val="00BD7BBC"/>
    <w:rsid w:val="00BD7D2F"/>
    <w:rsid w:val="00BD7DBE"/>
    <w:rsid w:val="00BD7FCE"/>
    <w:rsid w:val="00BE0167"/>
    <w:rsid w:val="00BE025A"/>
    <w:rsid w:val="00BE0576"/>
    <w:rsid w:val="00BE0776"/>
    <w:rsid w:val="00BE0A01"/>
    <w:rsid w:val="00BE0D43"/>
    <w:rsid w:val="00BE0F85"/>
    <w:rsid w:val="00BE0F8F"/>
    <w:rsid w:val="00BE1111"/>
    <w:rsid w:val="00BE117B"/>
    <w:rsid w:val="00BE1493"/>
    <w:rsid w:val="00BE1561"/>
    <w:rsid w:val="00BE15C9"/>
    <w:rsid w:val="00BE1642"/>
    <w:rsid w:val="00BE1652"/>
    <w:rsid w:val="00BE16FD"/>
    <w:rsid w:val="00BE1B0C"/>
    <w:rsid w:val="00BE1CCB"/>
    <w:rsid w:val="00BE1F10"/>
    <w:rsid w:val="00BE208F"/>
    <w:rsid w:val="00BE20DA"/>
    <w:rsid w:val="00BE23A7"/>
    <w:rsid w:val="00BE2506"/>
    <w:rsid w:val="00BE2585"/>
    <w:rsid w:val="00BE2827"/>
    <w:rsid w:val="00BE292A"/>
    <w:rsid w:val="00BE2990"/>
    <w:rsid w:val="00BE29A7"/>
    <w:rsid w:val="00BE2DA3"/>
    <w:rsid w:val="00BE3070"/>
    <w:rsid w:val="00BE3193"/>
    <w:rsid w:val="00BE3330"/>
    <w:rsid w:val="00BE341D"/>
    <w:rsid w:val="00BE37AF"/>
    <w:rsid w:val="00BE3909"/>
    <w:rsid w:val="00BE3925"/>
    <w:rsid w:val="00BE3A8B"/>
    <w:rsid w:val="00BE3A92"/>
    <w:rsid w:val="00BE3B9C"/>
    <w:rsid w:val="00BE3CEE"/>
    <w:rsid w:val="00BE3FC1"/>
    <w:rsid w:val="00BE44F8"/>
    <w:rsid w:val="00BE4504"/>
    <w:rsid w:val="00BE45BC"/>
    <w:rsid w:val="00BE4863"/>
    <w:rsid w:val="00BE49C6"/>
    <w:rsid w:val="00BE4A0E"/>
    <w:rsid w:val="00BE4BF9"/>
    <w:rsid w:val="00BE521F"/>
    <w:rsid w:val="00BE5692"/>
    <w:rsid w:val="00BE56A7"/>
    <w:rsid w:val="00BE594C"/>
    <w:rsid w:val="00BE598C"/>
    <w:rsid w:val="00BE5B3B"/>
    <w:rsid w:val="00BE5E84"/>
    <w:rsid w:val="00BE5F9F"/>
    <w:rsid w:val="00BE60B7"/>
    <w:rsid w:val="00BE6456"/>
    <w:rsid w:val="00BE657E"/>
    <w:rsid w:val="00BE65E9"/>
    <w:rsid w:val="00BE6831"/>
    <w:rsid w:val="00BE6898"/>
    <w:rsid w:val="00BE6B90"/>
    <w:rsid w:val="00BE70A9"/>
    <w:rsid w:val="00BE70E2"/>
    <w:rsid w:val="00BE71EE"/>
    <w:rsid w:val="00BE740C"/>
    <w:rsid w:val="00BE7743"/>
    <w:rsid w:val="00BE7798"/>
    <w:rsid w:val="00BE77E3"/>
    <w:rsid w:val="00BE7880"/>
    <w:rsid w:val="00BE78C8"/>
    <w:rsid w:val="00BE7B27"/>
    <w:rsid w:val="00BE7CDF"/>
    <w:rsid w:val="00BE7D28"/>
    <w:rsid w:val="00BE7E14"/>
    <w:rsid w:val="00BE7E99"/>
    <w:rsid w:val="00BF03C7"/>
    <w:rsid w:val="00BF03FF"/>
    <w:rsid w:val="00BF064A"/>
    <w:rsid w:val="00BF066F"/>
    <w:rsid w:val="00BF0830"/>
    <w:rsid w:val="00BF0AF6"/>
    <w:rsid w:val="00BF0E9F"/>
    <w:rsid w:val="00BF0F00"/>
    <w:rsid w:val="00BF1100"/>
    <w:rsid w:val="00BF11EB"/>
    <w:rsid w:val="00BF1662"/>
    <w:rsid w:val="00BF177B"/>
    <w:rsid w:val="00BF1A8B"/>
    <w:rsid w:val="00BF1BAF"/>
    <w:rsid w:val="00BF1CA7"/>
    <w:rsid w:val="00BF1E25"/>
    <w:rsid w:val="00BF1F0E"/>
    <w:rsid w:val="00BF1F76"/>
    <w:rsid w:val="00BF2205"/>
    <w:rsid w:val="00BF2245"/>
    <w:rsid w:val="00BF2263"/>
    <w:rsid w:val="00BF2385"/>
    <w:rsid w:val="00BF2410"/>
    <w:rsid w:val="00BF246B"/>
    <w:rsid w:val="00BF25D5"/>
    <w:rsid w:val="00BF2721"/>
    <w:rsid w:val="00BF279C"/>
    <w:rsid w:val="00BF2A0D"/>
    <w:rsid w:val="00BF2A67"/>
    <w:rsid w:val="00BF2AFB"/>
    <w:rsid w:val="00BF2B79"/>
    <w:rsid w:val="00BF2BE2"/>
    <w:rsid w:val="00BF2EE7"/>
    <w:rsid w:val="00BF2F20"/>
    <w:rsid w:val="00BF3400"/>
    <w:rsid w:val="00BF37D2"/>
    <w:rsid w:val="00BF3AC7"/>
    <w:rsid w:val="00BF3B24"/>
    <w:rsid w:val="00BF3C21"/>
    <w:rsid w:val="00BF3D45"/>
    <w:rsid w:val="00BF3E36"/>
    <w:rsid w:val="00BF3E8C"/>
    <w:rsid w:val="00BF3ED6"/>
    <w:rsid w:val="00BF3F10"/>
    <w:rsid w:val="00BF4131"/>
    <w:rsid w:val="00BF441E"/>
    <w:rsid w:val="00BF447D"/>
    <w:rsid w:val="00BF44C7"/>
    <w:rsid w:val="00BF4871"/>
    <w:rsid w:val="00BF49E7"/>
    <w:rsid w:val="00BF4B24"/>
    <w:rsid w:val="00BF4B39"/>
    <w:rsid w:val="00BF4BA9"/>
    <w:rsid w:val="00BF4CD6"/>
    <w:rsid w:val="00BF5069"/>
    <w:rsid w:val="00BF5268"/>
    <w:rsid w:val="00BF52FC"/>
    <w:rsid w:val="00BF5499"/>
    <w:rsid w:val="00BF554C"/>
    <w:rsid w:val="00BF555D"/>
    <w:rsid w:val="00BF55C3"/>
    <w:rsid w:val="00BF5694"/>
    <w:rsid w:val="00BF582A"/>
    <w:rsid w:val="00BF59B5"/>
    <w:rsid w:val="00BF5F2A"/>
    <w:rsid w:val="00BF60E1"/>
    <w:rsid w:val="00BF6331"/>
    <w:rsid w:val="00BF6412"/>
    <w:rsid w:val="00BF643B"/>
    <w:rsid w:val="00BF64B6"/>
    <w:rsid w:val="00BF660D"/>
    <w:rsid w:val="00BF6930"/>
    <w:rsid w:val="00BF6948"/>
    <w:rsid w:val="00BF6A8F"/>
    <w:rsid w:val="00BF6B85"/>
    <w:rsid w:val="00BF6B89"/>
    <w:rsid w:val="00BF6D15"/>
    <w:rsid w:val="00BF6D19"/>
    <w:rsid w:val="00BF6EA2"/>
    <w:rsid w:val="00BF7036"/>
    <w:rsid w:val="00BF72B2"/>
    <w:rsid w:val="00BF73BC"/>
    <w:rsid w:val="00BF75FA"/>
    <w:rsid w:val="00BF7631"/>
    <w:rsid w:val="00BF78E0"/>
    <w:rsid w:val="00BF7955"/>
    <w:rsid w:val="00BF79D3"/>
    <w:rsid w:val="00BF7B36"/>
    <w:rsid w:val="00BF7BAB"/>
    <w:rsid w:val="00BF7BC2"/>
    <w:rsid w:val="00BF7DD1"/>
    <w:rsid w:val="00BF7EA7"/>
    <w:rsid w:val="00C00083"/>
    <w:rsid w:val="00C004CB"/>
    <w:rsid w:val="00C004EB"/>
    <w:rsid w:val="00C0087A"/>
    <w:rsid w:val="00C00B31"/>
    <w:rsid w:val="00C0103F"/>
    <w:rsid w:val="00C010AD"/>
    <w:rsid w:val="00C010DE"/>
    <w:rsid w:val="00C013AC"/>
    <w:rsid w:val="00C0147B"/>
    <w:rsid w:val="00C01582"/>
    <w:rsid w:val="00C0158E"/>
    <w:rsid w:val="00C01600"/>
    <w:rsid w:val="00C01A48"/>
    <w:rsid w:val="00C01B98"/>
    <w:rsid w:val="00C01BBD"/>
    <w:rsid w:val="00C020AD"/>
    <w:rsid w:val="00C02210"/>
    <w:rsid w:val="00C02355"/>
    <w:rsid w:val="00C02409"/>
    <w:rsid w:val="00C02530"/>
    <w:rsid w:val="00C0263D"/>
    <w:rsid w:val="00C027B9"/>
    <w:rsid w:val="00C0280F"/>
    <w:rsid w:val="00C02916"/>
    <w:rsid w:val="00C029F0"/>
    <w:rsid w:val="00C02A54"/>
    <w:rsid w:val="00C02BEA"/>
    <w:rsid w:val="00C02C79"/>
    <w:rsid w:val="00C03069"/>
    <w:rsid w:val="00C031D3"/>
    <w:rsid w:val="00C031EB"/>
    <w:rsid w:val="00C03301"/>
    <w:rsid w:val="00C0346A"/>
    <w:rsid w:val="00C0355E"/>
    <w:rsid w:val="00C036A7"/>
    <w:rsid w:val="00C03D1B"/>
    <w:rsid w:val="00C03DF8"/>
    <w:rsid w:val="00C03E35"/>
    <w:rsid w:val="00C03E54"/>
    <w:rsid w:val="00C04057"/>
    <w:rsid w:val="00C040F3"/>
    <w:rsid w:val="00C04166"/>
    <w:rsid w:val="00C041F4"/>
    <w:rsid w:val="00C04222"/>
    <w:rsid w:val="00C044F7"/>
    <w:rsid w:val="00C045C0"/>
    <w:rsid w:val="00C04659"/>
    <w:rsid w:val="00C049A6"/>
    <w:rsid w:val="00C04AC0"/>
    <w:rsid w:val="00C04BF1"/>
    <w:rsid w:val="00C04BF7"/>
    <w:rsid w:val="00C04C69"/>
    <w:rsid w:val="00C04D50"/>
    <w:rsid w:val="00C04E49"/>
    <w:rsid w:val="00C04E5C"/>
    <w:rsid w:val="00C04E64"/>
    <w:rsid w:val="00C04E8B"/>
    <w:rsid w:val="00C050C7"/>
    <w:rsid w:val="00C050F3"/>
    <w:rsid w:val="00C05193"/>
    <w:rsid w:val="00C051F9"/>
    <w:rsid w:val="00C05210"/>
    <w:rsid w:val="00C056E5"/>
    <w:rsid w:val="00C05729"/>
    <w:rsid w:val="00C0576D"/>
    <w:rsid w:val="00C05793"/>
    <w:rsid w:val="00C0588A"/>
    <w:rsid w:val="00C05B15"/>
    <w:rsid w:val="00C05B97"/>
    <w:rsid w:val="00C05DDC"/>
    <w:rsid w:val="00C05FB3"/>
    <w:rsid w:val="00C061B2"/>
    <w:rsid w:val="00C06287"/>
    <w:rsid w:val="00C06363"/>
    <w:rsid w:val="00C063BA"/>
    <w:rsid w:val="00C066A1"/>
    <w:rsid w:val="00C068A9"/>
    <w:rsid w:val="00C06904"/>
    <w:rsid w:val="00C06AE0"/>
    <w:rsid w:val="00C06BF9"/>
    <w:rsid w:val="00C06C8E"/>
    <w:rsid w:val="00C07197"/>
    <w:rsid w:val="00C0725D"/>
    <w:rsid w:val="00C0761F"/>
    <w:rsid w:val="00C0781D"/>
    <w:rsid w:val="00C07974"/>
    <w:rsid w:val="00C07975"/>
    <w:rsid w:val="00C079E0"/>
    <w:rsid w:val="00C07A30"/>
    <w:rsid w:val="00C07EE9"/>
    <w:rsid w:val="00C10253"/>
    <w:rsid w:val="00C102A2"/>
    <w:rsid w:val="00C102F7"/>
    <w:rsid w:val="00C105BC"/>
    <w:rsid w:val="00C10654"/>
    <w:rsid w:val="00C10791"/>
    <w:rsid w:val="00C10A3C"/>
    <w:rsid w:val="00C10A46"/>
    <w:rsid w:val="00C10A55"/>
    <w:rsid w:val="00C10BD1"/>
    <w:rsid w:val="00C10F93"/>
    <w:rsid w:val="00C1109F"/>
    <w:rsid w:val="00C1112A"/>
    <w:rsid w:val="00C114F7"/>
    <w:rsid w:val="00C115ED"/>
    <w:rsid w:val="00C11656"/>
    <w:rsid w:val="00C11AC0"/>
    <w:rsid w:val="00C11B43"/>
    <w:rsid w:val="00C11B85"/>
    <w:rsid w:val="00C11E88"/>
    <w:rsid w:val="00C1208F"/>
    <w:rsid w:val="00C120D2"/>
    <w:rsid w:val="00C1224D"/>
    <w:rsid w:val="00C12394"/>
    <w:rsid w:val="00C12766"/>
    <w:rsid w:val="00C128B0"/>
    <w:rsid w:val="00C12999"/>
    <w:rsid w:val="00C12CE4"/>
    <w:rsid w:val="00C12D83"/>
    <w:rsid w:val="00C12E17"/>
    <w:rsid w:val="00C12FD3"/>
    <w:rsid w:val="00C1304A"/>
    <w:rsid w:val="00C13159"/>
    <w:rsid w:val="00C13399"/>
    <w:rsid w:val="00C13668"/>
    <w:rsid w:val="00C13A09"/>
    <w:rsid w:val="00C13B23"/>
    <w:rsid w:val="00C13BAA"/>
    <w:rsid w:val="00C13D1C"/>
    <w:rsid w:val="00C13D3F"/>
    <w:rsid w:val="00C13F2E"/>
    <w:rsid w:val="00C13FAA"/>
    <w:rsid w:val="00C141FB"/>
    <w:rsid w:val="00C14269"/>
    <w:rsid w:val="00C1454E"/>
    <w:rsid w:val="00C14764"/>
    <w:rsid w:val="00C147AF"/>
    <w:rsid w:val="00C14C08"/>
    <w:rsid w:val="00C14F70"/>
    <w:rsid w:val="00C151A5"/>
    <w:rsid w:val="00C15542"/>
    <w:rsid w:val="00C15565"/>
    <w:rsid w:val="00C155C4"/>
    <w:rsid w:val="00C159AF"/>
    <w:rsid w:val="00C15DD3"/>
    <w:rsid w:val="00C15E2D"/>
    <w:rsid w:val="00C15F37"/>
    <w:rsid w:val="00C15F4C"/>
    <w:rsid w:val="00C15FFB"/>
    <w:rsid w:val="00C1607D"/>
    <w:rsid w:val="00C160AB"/>
    <w:rsid w:val="00C16229"/>
    <w:rsid w:val="00C162B6"/>
    <w:rsid w:val="00C16523"/>
    <w:rsid w:val="00C16770"/>
    <w:rsid w:val="00C16832"/>
    <w:rsid w:val="00C16BE5"/>
    <w:rsid w:val="00C16C2D"/>
    <w:rsid w:val="00C16E9C"/>
    <w:rsid w:val="00C16F62"/>
    <w:rsid w:val="00C16F65"/>
    <w:rsid w:val="00C173E5"/>
    <w:rsid w:val="00C17589"/>
    <w:rsid w:val="00C175E6"/>
    <w:rsid w:val="00C17A02"/>
    <w:rsid w:val="00C17DA7"/>
    <w:rsid w:val="00C17F0F"/>
    <w:rsid w:val="00C201B3"/>
    <w:rsid w:val="00C20245"/>
    <w:rsid w:val="00C203E9"/>
    <w:rsid w:val="00C20534"/>
    <w:rsid w:val="00C20C64"/>
    <w:rsid w:val="00C20D57"/>
    <w:rsid w:val="00C20D62"/>
    <w:rsid w:val="00C20D95"/>
    <w:rsid w:val="00C20F79"/>
    <w:rsid w:val="00C2121D"/>
    <w:rsid w:val="00C2131A"/>
    <w:rsid w:val="00C21331"/>
    <w:rsid w:val="00C213C2"/>
    <w:rsid w:val="00C21780"/>
    <w:rsid w:val="00C21987"/>
    <w:rsid w:val="00C219E6"/>
    <w:rsid w:val="00C21A31"/>
    <w:rsid w:val="00C21A50"/>
    <w:rsid w:val="00C21A9F"/>
    <w:rsid w:val="00C21ABA"/>
    <w:rsid w:val="00C21BAF"/>
    <w:rsid w:val="00C21D63"/>
    <w:rsid w:val="00C22123"/>
    <w:rsid w:val="00C22BC3"/>
    <w:rsid w:val="00C22BF1"/>
    <w:rsid w:val="00C22C92"/>
    <w:rsid w:val="00C22CF0"/>
    <w:rsid w:val="00C22DD0"/>
    <w:rsid w:val="00C22E94"/>
    <w:rsid w:val="00C22F92"/>
    <w:rsid w:val="00C22FDA"/>
    <w:rsid w:val="00C233A9"/>
    <w:rsid w:val="00C2381C"/>
    <w:rsid w:val="00C238A3"/>
    <w:rsid w:val="00C23A20"/>
    <w:rsid w:val="00C23A23"/>
    <w:rsid w:val="00C23A91"/>
    <w:rsid w:val="00C23BDA"/>
    <w:rsid w:val="00C23CAE"/>
    <w:rsid w:val="00C23F81"/>
    <w:rsid w:val="00C24091"/>
    <w:rsid w:val="00C240F6"/>
    <w:rsid w:val="00C2434F"/>
    <w:rsid w:val="00C24372"/>
    <w:rsid w:val="00C24383"/>
    <w:rsid w:val="00C2450E"/>
    <w:rsid w:val="00C2455C"/>
    <w:rsid w:val="00C24617"/>
    <w:rsid w:val="00C24692"/>
    <w:rsid w:val="00C246C4"/>
    <w:rsid w:val="00C24716"/>
    <w:rsid w:val="00C2476F"/>
    <w:rsid w:val="00C24792"/>
    <w:rsid w:val="00C24D25"/>
    <w:rsid w:val="00C25652"/>
    <w:rsid w:val="00C25682"/>
    <w:rsid w:val="00C25BDB"/>
    <w:rsid w:val="00C25C7C"/>
    <w:rsid w:val="00C25DBA"/>
    <w:rsid w:val="00C25F87"/>
    <w:rsid w:val="00C2600E"/>
    <w:rsid w:val="00C2604F"/>
    <w:rsid w:val="00C2614D"/>
    <w:rsid w:val="00C26167"/>
    <w:rsid w:val="00C266B7"/>
    <w:rsid w:val="00C266E4"/>
    <w:rsid w:val="00C266F1"/>
    <w:rsid w:val="00C26747"/>
    <w:rsid w:val="00C26A05"/>
    <w:rsid w:val="00C26A39"/>
    <w:rsid w:val="00C270CB"/>
    <w:rsid w:val="00C2711C"/>
    <w:rsid w:val="00C27154"/>
    <w:rsid w:val="00C2743A"/>
    <w:rsid w:val="00C2761B"/>
    <w:rsid w:val="00C276E3"/>
    <w:rsid w:val="00C27792"/>
    <w:rsid w:val="00C27805"/>
    <w:rsid w:val="00C2792F"/>
    <w:rsid w:val="00C27B80"/>
    <w:rsid w:val="00C27CFB"/>
    <w:rsid w:val="00C27F43"/>
    <w:rsid w:val="00C27F8E"/>
    <w:rsid w:val="00C30047"/>
    <w:rsid w:val="00C30082"/>
    <w:rsid w:val="00C301FD"/>
    <w:rsid w:val="00C302C7"/>
    <w:rsid w:val="00C30434"/>
    <w:rsid w:val="00C305A6"/>
    <w:rsid w:val="00C3074E"/>
    <w:rsid w:val="00C308C5"/>
    <w:rsid w:val="00C30954"/>
    <w:rsid w:val="00C3099A"/>
    <w:rsid w:val="00C30AD4"/>
    <w:rsid w:val="00C30B7A"/>
    <w:rsid w:val="00C31178"/>
    <w:rsid w:val="00C312B3"/>
    <w:rsid w:val="00C312CE"/>
    <w:rsid w:val="00C3151C"/>
    <w:rsid w:val="00C31756"/>
    <w:rsid w:val="00C317BF"/>
    <w:rsid w:val="00C318BD"/>
    <w:rsid w:val="00C31C5F"/>
    <w:rsid w:val="00C31C88"/>
    <w:rsid w:val="00C31CAD"/>
    <w:rsid w:val="00C31D76"/>
    <w:rsid w:val="00C31F88"/>
    <w:rsid w:val="00C320FE"/>
    <w:rsid w:val="00C3246B"/>
    <w:rsid w:val="00C3248D"/>
    <w:rsid w:val="00C324AF"/>
    <w:rsid w:val="00C3251F"/>
    <w:rsid w:val="00C3263E"/>
    <w:rsid w:val="00C32833"/>
    <w:rsid w:val="00C32B28"/>
    <w:rsid w:val="00C32BD7"/>
    <w:rsid w:val="00C32CE2"/>
    <w:rsid w:val="00C32D0A"/>
    <w:rsid w:val="00C32E63"/>
    <w:rsid w:val="00C32EA3"/>
    <w:rsid w:val="00C32FAA"/>
    <w:rsid w:val="00C33120"/>
    <w:rsid w:val="00C33300"/>
    <w:rsid w:val="00C33354"/>
    <w:rsid w:val="00C3356B"/>
    <w:rsid w:val="00C33720"/>
    <w:rsid w:val="00C33B41"/>
    <w:rsid w:val="00C33B5D"/>
    <w:rsid w:val="00C33D4E"/>
    <w:rsid w:val="00C33DB3"/>
    <w:rsid w:val="00C341C9"/>
    <w:rsid w:val="00C3427F"/>
    <w:rsid w:val="00C343F7"/>
    <w:rsid w:val="00C344A4"/>
    <w:rsid w:val="00C344F3"/>
    <w:rsid w:val="00C346C6"/>
    <w:rsid w:val="00C34978"/>
    <w:rsid w:val="00C34BE6"/>
    <w:rsid w:val="00C34BF7"/>
    <w:rsid w:val="00C352C2"/>
    <w:rsid w:val="00C3562D"/>
    <w:rsid w:val="00C358DD"/>
    <w:rsid w:val="00C359CE"/>
    <w:rsid w:val="00C359E4"/>
    <w:rsid w:val="00C35BA8"/>
    <w:rsid w:val="00C35E07"/>
    <w:rsid w:val="00C35F7F"/>
    <w:rsid w:val="00C36B0B"/>
    <w:rsid w:val="00C36BB8"/>
    <w:rsid w:val="00C36C84"/>
    <w:rsid w:val="00C36C9D"/>
    <w:rsid w:val="00C36CF0"/>
    <w:rsid w:val="00C36F49"/>
    <w:rsid w:val="00C36F72"/>
    <w:rsid w:val="00C36FDD"/>
    <w:rsid w:val="00C37018"/>
    <w:rsid w:val="00C37094"/>
    <w:rsid w:val="00C3748C"/>
    <w:rsid w:val="00C374AC"/>
    <w:rsid w:val="00C37611"/>
    <w:rsid w:val="00C37643"/>
    <w:rsid w:val="00C3767F"/>
    <w:rsid w:val="00C376C3"/>
    <w:rsid w:val="00C3783A"/>
    <w:rsid w:val="00C378B4"/>
    <w:rsid w:val="00C37903"/>
    <w:rsid w:val="00C379A9"/>
    <w:rsid w:val="00C37AD3"/>
    <w:rsid w:val="00C37B1D"/>
    <w:rsid w:val="00C37B5C"/>
    <w:rsid w:val="00C37B61"/>
    <w:rsid w:val="00C37DD8"/>
    <w:rsid w:val="00C37EEC"/>
    <w:rsid w:val="00C37FD8"/>
    <w:rsid w:val="00C40015"/>
    <w:rsid w:val="00C40057"/>
    <w:rsid w:val="00C40291"/>
    <w:rsid w:val="00C40483"/>
    <w:rsid w:val="00C404B5"/>
    <w:rsid w:val="00C40500"/>
    <w:rsid w:val="00C406D6"/>
    <w:rsid w:val="00C408C2"/>
    <w:rsid w:val="00C40975"/>
    <w:rsid w:val="00C40B40"/>
    <w:rsid w:val="00C40F54"/>
    <w:rsid w:val="00C411B7"/>
    <w:rsid w:val="00C415BB"/>
    <w:rsid w:val="00C41795"/>
    <w:rsid w:val="00C41950"/>
    <w:rsid w:val="00C41A7C"/>
    <w:rsid w:val="00C41A9D"/>
    <w:rsid w:val="00C41C74"/>
    <w:rsid w:val="00C41C9E"/>
    <w:rsid w:val="00C41E45"/>
    <w:rsid w:val="00C41E6D"/>
    <w:rsid w:val="00C422BD"/>
    <w:rsid w:val="00C422C5"/>
    <w:rsid w:val="00C42371"/>
    <w:rsid w:val="00C42469"/>
    <w:rsid w:val="00C425CB"/>
    <w:rsid w:val="00C427E6"/>
    <w:rsid w:val="00C4280F"/>
    <w:rsid w:val="00C4340C"/>
    <w:rsid w:val="00C4361D"/>
    <w:rsid w:val="00C4362B"/>
    <w:rsid w:val="00C436E4"/>
    <w:rsid w:val="00C4377A"/>
    <w:rsid w:val="00C438BB"/>
    <w:rsid w:val="00C4396B"/>
    <w:rsid w:val="00C439AE"/>
    <w:rsid w:val="00C439D9"/>
    <w:rsid w:val="00C43C1D"/>
    <w:rsid w:val="00C43D18"/>
    <w:rsid w:val="00C43DC7"/>
    <w:rsid w:val="00C43E94"/>
    <w:rsid w:val="00C43F5F"/>
    <w:rsid w:val="00C4403E"/>
    <w:rsid w:val="00C44054"/>
    <w:rsid w:val="00C44289"/>
    <w:rsid w:val="00C44326"/>
    <w:rsid w:val="00C4438B"/>
    <w:rsid w:val="00C444F0"/>
    <w:rsid w:val="00C44728"/>
    <w:rsid w:val="00C449FD"/>
    <w:rsid w:val="00C44ABB"/>
    <w:rsid w:val="00C44CE4"/>
    <w:rsid w:val="00C44CFF"/>
    <w:rsid w:val="00C44D44"/>
    <w:rsid w:val="00C44F8A"/>
    <w:rsid w:val="00C44FA9"/>
    <w:rsid w:val="00C45008"/>
    <w:rsid w:val="00C450D4"/>
    <w:rsid w:val="00C452AE"/>
    <w:rsid w:val="00C4534A"/>
    <w:rsid w:val="00C4561D"/>
    <w:rsid w:val="00C45A06"/>
    <w:rsid w:val="00C45AC3"/>
    <w:rsid w:val="00C45BB1"/>
    <w:rsid w:val="00C45BD2"/>
    <w:rsid w:val="00C45EC9"/>
    <w:rsid w:val="00C45FF4"/>
    <w:rsid w:val="00C46036"/>
    <w:rsid w:val="00C46230"/>
    <w:rsid w:val="00C4646E"/>
    <w:rsid w:val="00C467BD"/>
    <w:rsid w:val="00C468E8"/>
    <w:rsid w:val="00C46908"/>
    <w:rsid w:val="00C46946"/>
    <w:rsid w:val="00C46B11"/>
    <w:rsid w:val="00C46B85"/>
    <w:rsid w:val="00C46BA7"/>
    <w:rsid w:val="00C46BE1"/>
    <w:rsid w:val="00C46CF1"/>
    <w:rsid w:val="00C46D1A"/>
    <w:rsid w:val="00C46D32"/>
    <w:rsid w:val="00C46D95"/>
    <w:rsid w:val="00C46E32"/>
    <w:rsid w:val="00C46FA3"/>
    <w:rsid w:val="00C4703F"/>
    <w:rsid w:val="00C47153"/>
    <w:rsid w:val="00C474A6"/>
    <w:rsid w:val="00C47514"/>
    <w:rsid w:val="00C475AD"/>
    <w:rsid w:val="00C476CD"/>
    <w:rsid w:val="00C477A6"/>
    <w:rsid w:val="00C477EC"/>
    <w:rsid w:val="00C47835"/>
    <w:rsid w:val="00C47846"/>
    <w:rsid w:val="00C47D19"/>
    <w:rsid w:val="00C47D27"/>
    <w:rsid w:val="00C47E0D"/>
    <w:rsid w:val="00C47FBD"/>
    <w:rsid w:val="00C50177"/>
    <w:rsid w:val="00C502CD"/>
    <w:rsid w:val="00C503A9"/>
    <w:rsid w:val="00C503B4"/>
    <w:rsid w:val="00C503B8"/>
    <w:rsid w:val="00C504ED"/>
    <w:rsid w:val="00C50609"/>
    <w:rsid w:val="00C507DD"/>
    <w:rsid w:val="00C508AB"/>
    <w:rsid w:val="00C50926"/>
    <w:rsid w:val="00C509FE"/>
    <w:rsid w:val="00C50ADE"/>
    <w:rsid w:val="00C50DA5"/>
    <w:rsid w:val="00C50E0C"/>
    <w:rsid w:val="00C50F8F"/>
    <w:rsid w:val="00C5102C"/>
    <w:rsid w:val="00C510B7"/>
    <w:rsid w:val="00C511B6"/>
    <w:rsid w:val="00C513DE"/>
    <w:rsid w:val="00C515A8"/>
    <w:rsid w:val="00C51679"/>
    <w:rsid w:val="00C51711"/>
    <w:rsid w:val="00C51985"/>
    <w:rsid w:val="00C51C13"/>
    <w:rsid w:val="00C5202F"/>
    <w:rsid w:val="00C5204F"/>
    <w:rsid w:val="00C52094"/>
    <w:rsid w:val="00C5216E"/>
    <w:rsid w:val="00C52379"/>
    <w:rsid w:val="00C52606"/>
    <w:rsid w:val="00C5265D"/>
    <w:rsid w:val="00C526DA"/>
    <w:rsid w:val="00C52A75"/>
    <w:rsid w:val="00C52BD8"/>
    <w:rsid w:val="00C52F12"/>
    <w:rsid w:val="00C53058"/>
    <w:rsid w:val="00C533FF"/>
    <w:rsid w:val="00C53487"/>
    <w:rsid w:val="00C53728"/>
    <w:rsid w:val="00C5385F"/>
    <w:rsid w:val="00C538EB"/>
    <w:rsid w:val="00C539B4"/>
    <w:rsid w:val="00C53AB9"/>
    <w:rsid w:val="00C53E3C"/>
    <w:rsid w:val="00C53E87"/>
    <w:rsid w:val="00C53ED4"/>
    <w:rsid w:val="00C53F1E"/>
    <w:rsid w:val="00C54137"/>
    <w:rsid w:val="00C5416B"/>
    <w:rsid w:val="00C543D8"/>
    <w:rsid w:val="00C546D9"/>
    <w:rsid w:val="00C547E4"/>
    <w:rsid w:val="00C549A0"/>
    <w:rsid w:val="00C549E4"/>
    <w:rsid w:val="00C549ED"/>
    <w:rsid w:val="00C54A34"/>
    <w:rsid w:val="00C54B51"/>
    <w:rsid w:val="00C54B6F"/>
    <w:rsid w:val="00C54B76"/>
    <w:rsid w:val="00C54B9A"/>
    <w:rsid w:val="00C54BCE"/>
    <w:rsid w:val="00C54DA9"/>
    <w:rsid w:val="00C55046"/>
    <w:rsid w:val="00C551AE"/>
    <w:rsid w:val="00C5525A"/>
    <w:rsid w:val="00C553E7"/>
    <w:rsid w:val="00C55415"/>
    <w:rsid w:val="00C55537"/>
    <w:rsid w:val="00C55550"/>
    <w:rsid w:val="00C55606"/>
    <w:rsid w:val="00C55B75"/>
    <w:rsid w:val="00C55BAC"/>
    <w:rsid w:val="00C55E72"/>
    <w:rsid w:val="00C55E76"/>
    <w:rsid w:val="00C55ED5"/>
    <w:rsid w:val="00C56234"/>
    <w:rsid w:val="00C56609"/>
    <w:rsid w:val="00C56697"/>
    <w:rsid w:val="00C56792"/>
    <w:rsid w:val="00C567D7"/>
    <w:rsid w:val="00C569FB"/>
    <w:rsid w:val="00C56ECA"/>
    <w:rsid w:val="00C57549"/>
    <w:rsid w:val="00C57596"/>
    <w:rsid w:val="00C575DC"/>
    <w:rsid w:val="00C57636"/>
    <w:rsid w:val="00C57776"/>
    <w:rsid w:val="00C577E5"/>
    <w:rsid w:val="00C57B75"/>
    <w:rsid w:val="00C57CD5"/>
    <w:rsid w:val="00C57CFD"/>
    <w:rsid w:val="00C57E47"/>
    <w:rsid w:val="00C57F11"/>
    <w:rsid w:val="00C600B4"/>
    <w:rsid w:val="00C60412"/>
    <w:rsid w:val="00C6042D"/>
    <w:rsid w:val="00C60699"/>
    <w:rsid w:val="00C6073F"/>
    <w:rsid w:val="00C607E7"/>
    <w:rsid w:val="00C60825"/>
    <w:rsid w:val="00C60887"/>
    <w:rsid w:val="00C60A79"/>
    <w:rsid w:val="00C60AF3"/>
    <w:rsid w:val="00C60B96"/>
    <w:rsid w:val="00C60C80"/>
    <w:rsid w:val="00C60C9B"/>
    <w:rsid w:val="00C6108F"/>
    <w:rsid w:val="00C61157"/>
    <w:rsid w:val="00C612EC"/>
    <w:rsid w:val="00C61449"/>
    <w:rsid w:val="00C61454"/>
    <w:rsid w:val="00C6153D"/>
    <w:rsid w:val="00C618C7"/>
    <w:rsid w:val="00C61900"/>
    <w:rsid w:val="00C61A3A"/>
    <w:rsid w:val="00C61A52"/>
    <w:rsid w:val="00C61B9B"/>
    <w:rsid w:val="00C61B9D"/>
    <w:rsid w:val="00C61C70"/>
    <w:rsid w:val="00C61DF7"/>
    <w:rsid w:val="00C61FF2"/>
    <w:rsid w:val="00C620AA"/>
    <w:rsid w:val="00C621E4"/>
    <w:rsid w:val="00C62677"/>
    <w:rsid w:val="00C627D2"/>
    <w:rsid w:val="00C628E5"/>
    <w:rsid w:val="00C62DF9"/>
    <w:rsid w:val="00C632CC"/>
    <w:rsid w:val="00C63428"/>
    <w:rsid w:val="00C634F3"/>
    <w:rsid w:val="00C6350B"/>
    <w:rsid w:val="00C63878"/>
    <w:rsid w:val="00C6390B"/>
    <w:rsid w:val="00C639B6"/>
    <w:rsid w:val="00C639C2"/>
    <w:rsid w:val="00C63A28"/>
    <w:rsid w:val="00C63BA1"/>
    <w:rsid w:val="00C63D1B"/>
    <w:rsid w:val="00C63D5A"/>
    <w:rsid w:val="00C63DA6"/>
    <w:rsid w:val="00C643AD"/>
    <w:rsid w:val="00C644FD"/>
    <w:rsid w:val="00C6456C"/>
    <w:rsid w:val="00C64861"/>
    <w:rsid w:val="00C648E1"/>
    <w:rsid w:val="00C64945"/>
    <w:rsid w:val="00C64A75"/>
    <w:rsid w:val="00C64B5D"/>
    <w:rsid w:val="00C64C35"/>
    <w:rsid w:val="00C64E09"/>
    <w:rsid w:val="00C64F3B"/>
    <w:rsid w:val="00C64FE5"/>
    <w:rsid w:val="00C65052"/>
    <w:rsid w:val="00C65098"/>
    <w:rsid w:val="00C6529C"/>
    <w:rsid w:val="00C65495"/>
    <w:rsid w:val="00C654F3"/>
    <w:rsid w:val="00C65555"/>
    <w:rsid w:val="00C65755"/>
    <w:rsid w:val="00C65821"/>
    <w:rsid w:val="00C65883"/>
    <w:rsid w:val="00C65C32"/>
    <w:rsid w:val="00C65CCB"/>
    <w:rsid w:val="00C65D1B"/>
    <w:rsid w:val="00C65D8F"/>
    <w:rsid w:val="00C65EB2"/>
    <w:rsid w:val="00C65F00"/>
    <w:rsid w:val="00C661DD"/>
    <w:rsid w:val="00C66267"/>
    <w:rsid w:val="00C66274"/>
    <w:rsid w:val="00C662B8"/>
    <w:rsid w:val="00C664E4"/>
    <w:rsid w:val="00C66629"/>
    <w:rsid w:val="00C6670F"/>
    <w:rsid w:val="00C6671E"/>
    <w:rsid w:val="00C6676F"/>
    <w:rsid w:val="00C6679C"/>
    <w:rsid w:val="00C6679D"/>
    <w:rsid w:val="00C66905"/>
    <w:rsid w:val="00C66AA1"/>
    <w:rsid w:val="00C66ADA"/>
    <w:rsid w:val="00C66B25"/>
    <w:rsid w:val="00C66C8A"/>
    <w:rsid w:val="00C66D94"/>
    <w:rsid w:val="00C66E04"/>
    <w:rsid w:val="00C66EA1"/>
    <w:rsid w:val="00C66F19"/>
    <w:rsid w:val="00C66F57"/>
    <w:rsid w:val="00C66FD4"/>
    <w:rsid w:val="00C671CC"/>
    <w:rsid w:val="00C67278"/>
    <w:rsid w:val="00C672A4"/>
    <w:rsid w:val="00C672B6"/>
    <w:rsid w:val="00C6732F"/>
    <w:rsid w:val="00C67409"/>
    <w:rsid w:val="00C67546"/>
    <w:rsid w:val="00C675E0"/>
    <w:rsid w:val="00C67A01"/>
    <w:rsid w:val="00C67F4C"/>
    <w:rsid w:val="00C705BD"/>
    <w:rsid w:val="00C70700"/>
    <w:rsid w:val="00C70A07"/>
    <w:rsid w:val="00C70A10"/>
    <w:rsid w:val="00C70B01"/>
    <w:rsid w:val="00C70BEA"/>
    <w:rsid w:val="00C70CFC"/>
    <w:rsid w:val="00C70D57"/>
    <w:rsid w:val="00C70E54"/>
    <w:rsid w:val="00C70E5E"/>
    <w:rsid w:val="00C70F3B"/>
    <w:rsid w:val="00C70FC7"/>
    <w:rsid w:val="00C7123D"/>
    <w:rsid w:val="00C7128B"/>
    <w:rsid w:val="00C712B1"/>
    <w:rsid w:val="00C713DD"/>
    <w:rsid w:val="00C715DA"/>
    <w:rsid w:val="00C71645"/>
    <w:rsid w:val="00C716FB"/>
    <w:rsid w:val="00C71930"/>
    <w:rsid w:val="00C71AA4"/>
    <w:rsid w:val="00C71BE1"/>
    <w:rsid w:val="00C71E10"/>
    <w:rsid w:val="00C7200D"/>
    <w:rsid w:val="00C7265E"/>
    <w:rsid w:val="00C728E4"/>
    <w:rsid w:val="00C72A33"/>
    <w:rsid w:val="00C72A35"/>
    <w:rsid w:val="00C72A82"/>
    <w:rsid w:val="00C732F3"/>
    <w:rsid w:val="00C73494"/>
    <w:rsid w:val="00C735B6"/>
    <w:rsid w:val="00C73672"/>
    <w:rsid w:val="00C736CB"/>
    <w:rsid w:val="00C73707"/>
    <w:rsid w:val="00C73AA9"/>
    <w:rsid w:val="00C73ED6"/>
    <w:rsid w:val="00C73F10"/>
    <w:rsid w:val="00C73F9E"/>
    <w:rsid w:val="00C740B4"/>
    <w:rsid w:val="00C7444C"/>
    <w:rsid w:val="00C744D5"/>
    <w:rsid w:val="00C745AF"/>
    <w:rsid w:val="00C7461B"/>
    <w:rsid w:val="00C746A6"/>
    <w:rsid w:val="00C74C52"/>
    <w:rsid w:val="00C74DB5"/>
    <w:rsid w:val="00C74E0E"/>
    <w:rsid w:val="00C74EDD"/>
    <w:rsid w:val="00C74F72"/>
    <w:rsid w:val="00C751A6"/>
    <w:rsid w:val="00C752B0"/>
    <w:rsid w:val="00C75321"/>
    <w:rsid w:val="00C75431"/>
    <w:rsid w:val="00C75577"/>
    <w:rsid w:val="00C75AC1"/>
    <w:rsid w:val="00C75B67"/>
    <w:rsid w:val="00C75C51"/>
    <w:rsid w:val="00C75C52"/>
    <w:rsid w:val="00C75DE6"/>
    <w:rsid w:val="00C75E0E"/>
    <w:rsid w:val="00C75F35"/>
    <w:rsid w:val="00C75F92"/>
    <w:rsid w:val="00C763D0"/>
    <w:rsid w:val="00C76458"/>
    <w:rsid w:val="00C76495"/>
    <w:rsid w:val="00C7662F"/>
    <w:rsid w:val="00C766E8"/>
    <w:rsid w:val="00C76B7E"/>
    <w:rsid w:val="00C76B93"/>
    <w:rsid w:val="00C76BDB"/>
    <w:rsid w:val="00C76C5D"/>
    <w:rsid w:val="00C76D89"/>
    <w:rsid w:val="00C76EE1"/>
    <w:rsid w:val="00C771DC"/>
    <w:rsid w:val="00C773D9"/>
    <w:rsid w:val="00C774E0"/>
    <w:rsid w:val="00C77511"/>
    <w:rsid w:val="00C77680"/>
    <w:rsid w:val="00C776FD"/>
    <w:rsid w:val="00C7770C"/>
    <w:rsid w:val="00C77B19"/>
    <w:rsid w:val="00C77B7C"/>
    <w:rsid w:val="00C77D79"/>
    <w:rsid w:val="00C77EAD"/>
    <w:rsid w:val="00C80116"/>
    <w:rsid w:val="00C801AC"/>
    <w:rsid w:val="00C803FE"/>
    <w:rsid w:val="00C8048D"/>
    <w:rsid w:val="00C8060E"/>
    <w:rsid w:val="00C8079B"/>
    <w:rsid w:val="00C808CC"/>
    <w:rsid w:val="00C80900"/>
    <w:rsid w:val="00C80946"/>
    <w:rsid w:val="00C80ACC"/>
    <w:rsid w:val="00C80FC6"/>
    <w:rsid w:val="00C81037"/>
    <w:rsid w:val="00C810F3"/>
    <w:rsid w:val="00C81175"/>
    <w:rsid w:val="00C81259"/>
    <w:rsid w:val="00C813C8"/>
    <w:rsid w:val="00C81600"/>
    <w:rsid w:val="00C81652"/>
    <w:rsid w:val="00C817D9"/>
    <w:rsid w:val="00C81D4D"/>
    <w:rsid w:val="00C81DB7"/>
    <w:rsid w:val="00C81EB6"/>
    <w:rsid w:val="00C81FCC"/>
    <w:rsid w:val="00C8209D"/>
    <w:rsid w:val="00C82437"/>
    <w:rsid w:val="00C8251E"/>
    <w:rsid w:val="00C82796"/>
    <w:rsid w:val="00C82822"/>
    <w:rsid w:val="00C828A8"/>
    <w:rsid w:val="00C82994"/>
    <w:rsid w:val="00C829BB"/>
    <w:rsid w:val="00C82A8C"/>
    <w:rsid w:val="00C82B7F"/>
    <w:rsid w:val="00C82BDA"/>
    <w:rsid w:val="00C83020"/>
    <w:rsid w:val="00C833B2"/>
    <w:rsid w:val="00C833E0"/>
    <w:rsid w:val="00C8371D"/>
    <w:rsid w:val="00C838DF"/>
    <w:rsid w:val="00C83B46"/>
    <w:rsid w:val="00C83F36"/>
    <w:rsid w:val="00C84051"/>
    <w:rsid w:val="00C841B5"/>
    <w:rsid w:val="00C8436F"/>
    <w:rsid w:val="00C8450B"/>
    <w:rsid w:val="00C84531"/>
    <w:rsid w:val="00C8456E"/>
    <w:rsid w:val="00C84761"/>
    <w:rsid w:val="00C84908"/>
    <w:rsid w:val="00C84992"/>
    <w:rsid w:val="00C84B8D"/>
    <w:rsid w:val="00C84DD0"/>
    <w:rsid w:val="00C84DDB"/>
    <w:rsid w:val="00C84E68"/>
    <w:rsid w:val="00C84E6A"/>
    <w:rsid w:val="00C84E88"/>
    <w:rsid w:val="00C854AD"/>
    <w:rsid w:val="00C854B3"/>
    <w:rsid w:val="00C8567F"/>
    <w:rsid w:val="00C85907"/>
    <w:rsid w:val="00C85AF3"/>
    <w:rsid w:val="00C85DF2"/>
    <w:rsid w:val="00C85E6F"/>
    <w:rsid w:val="00C860B1"/>
    <w:rsid w:val="00C86171"/>
    <w:rsid w:val="00C8623B"/>
    <w:rsid w:val="00C8627F"/>
    <w:rsid w:val="00C8631B"/>
    <w:rsid w:val="00C86373"/>
    <w:rsid w:val="00C86477"/>
    <w:rsid w:val="00C864C3"/>
    <w:rsid w:val="00C86569"/>
    <w:rsid w:val="00C867CF"/>
    <w:rsid w:val="00C868EC"/>
    <w:rsid w:val="00C8694E"/>
    <w:rsid w:val="00C86C8E"/>
    <w:rsid w:val="00C86E26"/>
    <w:rsid w:val="00C86F35"/>
    <w:rsid w:val="00C86FFA"/>
    <w:rsid w:val="00C8703F"/>
    <w:rsid w:val="00C87062"/>
    <w:rsid w:val="00C871A9"/>
    <w:rsid w:val="00C8727B"/>
    <w:rsid w:val="00C87454"/>
    <w:rsid w:val="00C874F8"/>
    <w:rsid w:val="00C8765F"/>
    <w:rsid w:val="00C87711"/>
    <w:rsid w:val="00C87ADE"/>
    <w:rsid w:val="00C87B58"/>
    <w:rsid w:val="00C87BBA"/>
    <w:rsid w:val="00C87CFC"/>
    <w:rsid w:val="00C87DAF"/>
    <w:rsid w:val="00C9001B"/>
    <w:rsid w:val="00C900AA"/>
    <w:rsid w:val="00C901A1"/>
    <w:rsid w:val="00C901F1"/>
    <w:rsid w:val="00C903F0"/>
    <w:rsid w:val="00C9042D"/>
    <w:rsid w:val="00C904F9"/>
    <w:rsid w:val="00C90822"/>
    <w:rsid w:val="00C90898"/>
    <w:rsid w:val="00C90A26"/>
    <w:rsid w:val="00C90A35"/>
    <w:rsid w:val="00C90C5A"/>
    <w:rsid w:val="00C90D0D"/>
    <w:rsid w:val="00C90DA8"/>
    <w:rsid w:val="00C90E5B"/>
    <w:rsid w:val="00C90EDC"/>
    <w:rsid w:val="00C90FAE"/>
    <w:rsid w:val="00C91278"/>
    <w:rsid w:val="00C913C9"/>
    <w:rsid w:val="00C9149E"/>
    <w:rsid w:val="00C916C3"/>
    <w:rsid w:val="00C91776"/>
    <w:rsid w:val="00C9189B"/>
    <w:rsid w:val="00C91E5F"/>
    <w:rsid w:val="00C91E9B"/>
    <w:rsid w:val="00C91ED5"/>
    <w:rsid w:val="00C9209A"/>
    <w:rsid w:val="00C92265"/>
    <w:rsid w:val="00C9226E"/>
    <w:rsid w:val="00C924C3"/>
    <w:rsid w:val="00C9262C"/>
    <w:rsid w:val="00C9273E"/>
    <w:rsid w:val="00C92886"/>
    <w:rsid w:val="00C92A47"/>
    <w:rsid w:val="00C92B1D"/>
    <w:rsid w:val="00C92B42"/>
    <w:rsid w:val="00C92B82"/>
    <w:rsid w:val="00C92BE7"/>
    <w:rsid w:val="00C92D5F"/>
    <w:rsid w:val="00C92EAD"/>
    <w:rsid w:val="00C92F54"/>
    <w:rsid w:val="00C93005"/>
    <w:rsid w:val="00C9336D"/>
    <w:rsid w:val="00C93445"/>
    <w:rsid w:val="00C9354A"/>
    <w:rsid w:val="00C9359C"/>
    <w:rsid w:val="00C936A0"/>
    <w:rsid w:val="00C936CF"/>
    <w:rsid w:val="00C937AF"/>
    <w:rsid w:val="00C937F0"/>
    <w:rsid w:val="00C93832"/>
    <w:rsid w:val="00C93837"/>
    <w:rsid w:val="00C939C2"/>
    <w:rsid w:val="00C93D5C"/>
    <w:rsid w:val="00C93D7D"/>
    <w:rsid w:val="00C93DAA"/>
    <w:rsid w:val="00C93FE6"/>
    <w:rsid w:val="00C941D4"/>
    <w:rsid w:val="00C9420D"/>
    <w:rsid w:val="00C94562"/>
    <w:rsid w:val="00C9456B"/>
    <w:rsid w:val="00C947EF"/>
    <w:rsid w:val="00C94846"/>
    <w:rsid w:val="00C94A1B"/>
    <w:rsid w:val="00C94A61"/>
    <w:rsid w:val="00C94B4B"/>
    <w:rsid w:val="00C94BE9"/>
    <w:rsid w:val="00C94C44"/>
    <w:rsid w:val="00C94E94"/>
    <w:rsid w:val="00C94EBC"/>
    <w:rsid w:val="00C94FD7"/>
    <w:rsid w:val="00C95213"/>
    <w:rsid w:val="00C95214"/>
    <w:rsid w:val="00C952C8"/>
    <w:rsid w:val="00C953A8"/>
    <w:rsid w:val="00C953E3"/>
    <w:rsid w:val="00C9561B"/>
    <w:rsid w:val="00C9570C"/>
    <w:rsid w:val="00C957B2"/>
    <w:rsid w:val="00C95A29"/>
    <w:rsid w:val="00C95B33"/>
    <w:rsid w:val="00C95C51"/>
    <w:rsid w:val="00C95D74"/>
    <w:rsid w:val="00C95D8F"/>
    <w:rsid w:val="00C95DC1"/>
    <w:rsid w:val="00C95EA2"/>
    <w:rsid w:val="00C95F06"/>
    <w:rsid w:val="00C96144"/>
    <w:rsid w:val="00C96230"/>
    <w:rsid w:val="00C962F3"/>
    <w:rsid w:val="00C963C7"/>
    <w:rsid w:val="00C966E2"/>
    <w:rsid w:val="00C96B61"/>
    <w:rsid w:val="00C96FBB"/>
    <w:rsid w:val="00C97142"/>
    <w:rsid w:val="00C9724D"/>
    <w:rsid w:val="00C97435"/>
    <w:rsid w:val="00C9764A"/>
    <w:rsid w:val="00C97665"/>
    <w:rsid w:val="00C97996"/>
    <w:rsid w:val="00C97BB7"/>
    <w:rsid w:val="00C97BC6"/>
    <w:rsid w:val="00C97CA4"/>
    <w:rsid w:val="00C97CF4"/>
    <w:rsid w:val="00C97DE5"/>
    <w:rsid w:val="00CA008E"/>
    <w:rsid w:val="00CA00C6"/>
    <w:rsid w:val="00CA00CB"/>
    <w:rsid w:val="00CA0158"/>
    <w:rsid w:val="00CA018E"/>
    <w:rsid w:val="00CA0270"/>
    <w:rsid w:val="00CA03EA"/>
    <w:rsid w:val="00CA045D"/>
    <w:rsid w:val="00CA04B6"/>
    <w:rsid w:val="00CA0592"/>
    <w:rsid w:val="00CA061E"/>
    <w:rsid w:val="00CA087D"/>
    <w:rsid w:val="00CA0882"/>
    <w:rsid w:val="00CA0B8C"/>
    <w:rsid w:val="00CA0E26"/>
    <w:rsid w:val="00CA0E69"/>
    <w:rsid w:val="00CA10FF"/>
    <w:rsid w:val="00CA11B2"/>
    <w:rsid w:val="00CA11D5"/>
    <w:rsid w:val="00CA128D"/>
    <w:rsid w:val="00CA12FE"/>
    <w:rsid w:val="00CA13BA"/>
    <w:rsid w:val="00CA1585"/>
    <w:rsid w:val="00CA1869"/>
    <w:rsid w:val="00CA1E73"/>
    <w:rsid w:val="00CA2046"/>
    <w:rsid w:val="00CA21CF"/>
    <w:rsid w:val="00CA230D"/>
    <w:rsid w:val="00CA2429"/>
    <w:rsid w:val="00CA273D"/>
    <w:rsid w:val="00CA2A89"/>
    <w:rsid w:val="00CA2B78"/>
    <w:rsid w:val="00CA2BB0"/>
    <w:rsid w:val="00CA2FC0"/>
    <w:rsid w:val="00CA3257"/>
    <w:rsid w:val="00CA32E2"/>
    <w:rsid w:val="00CA34E1"/>
    <w:rsid w:val="00CA36D6"/>
    <w:rsid w:val="00CA36DF"/>
    <w:rsid w:val="00CA3861"/>
    <w:rsid w:val="00CA3A8D"/>
    <w:rsid w:val="00CA3B85"/>
    <w:rsid w:val="00CA3C5A"/>
    <w:rsid w:val="00CA3CCB"/>
    <w:rsid w:val="00CA3DC0"/>
    <w:rsid w:val="00CA3E96"/>
    <w:rsid w:val="00CA4050"/>
    <w:rsid w:val="00CA40A1"/>
    <w:rsid w:val="00CA40E6"/>
    <w:rsid w:val="00CA43B5"/>
    <w:rsid w:val="00CA4622"/>
    <w:rsid w:val="00CA4DCD"/>
    <w:rsid w:val="00CA4DE3"/>
    <w:rsid w:val="00CA4EFC"/>
    <w:rsid w:val="00CA4F87"/>
    <w:rsid w:val="00CA5061"/>
    <w:rsid w:val="00CA5074"/>
    <w:rsid w:val="00CA5152"/>
    <w:rsid w:val="00CA5153"/>
    <w:rsid w:val="00CA5306"/>
    <w:rsid w:val="00CA53B2"/>
    <w:rsid w:val="00CA55C2"/>
    <w:rsid w:val="00CA5AB8"/>
    <w:rsid w:val="00CA5ED6"/>
    <w:rsid w:val="00CA6025"/>
    <w:rsid w:val="00CA62A8"/>
    <w:rsid w:val="00CA647F"/>
    <w:rsid w:val="00CA6536"/>
    <w:rsid w:val="00CA6798"/>
    <w:rsid w:val="00CA6BA0"/>
    <w:rsid w:val="00CA6DF1"/>
    <w:rsid w:val="00CA6EBD"/>
    <w:rsid w:val="00CA6F54"/>
    <w:rsid w:val="00CA6FA0"/>
    <w:rsid w:val="00CA7019"/>
    <w:rsid w:val="00CA731C"/>
    <w:rsid w:val="00CA7367"/>
    <w:rsid w:val="00CA736F"/>
    <w:rsid w:val="00CA73D5"/>
    <w:rsid w:val="00CA7507"/>
    <w:rsid w:val="00CA7536"/>
    <w:rsid w:val="00CA7597"/>
    <w:rsid w:val="00CA7747"/>
    <w:rsid w:val="00CA7816"/>
    <w:rsid w:val="00CA790A"/>
    <w:rsid w:val="00CA7C2A"/>
    <w:rsid w:val="00CA7D8B"/>
    <w:rsid w:val="00CA7E5E"/>
    <w:rsid w:val="00CB0080"/>
    <w:rsid w:val="00CB03F1"/>
    <w:rsid w:val="00CB0444"/>
    <w:rsid w:val="00CB04FE"/>
    <w:rsid w:val="00CB054A"/>
    <w:rsid w:val="00CB0707"/>
    <w:rsid w:val="00CB0739"/>
    <w:rsid w:val="00CB0770"/>
    <w:rsid w:val="00CB078B"/>
    <w:rsid w:val="00CB07F8"/>
    <w:rsid w:val="00CB09A3"/>
    <w:rsid w:val="00CB0CA5"/>
    <w:rsid w:val="00CB0D7B"/>
    <w:rsid w:val="00CB0F99"/>
    <w:rsid w:val="00CB0FD5"/>
    <w:rsid w:val="00CB110D"/>
    <w:rsid w:val="00CB11EF"/>
    <w:rsid w:val="00CB121D"/>
    <w:rsid w:val="00CB1358"/>
    <w:rsid w:val="00CB14B4"/>
    <w:rsid w:val="00CB150B"/>
    <w:rsid w:val="00CB156C"/>
    <w:rsid w:val="00CB192A"/>
    <w:rsid w:val="00CB195B"/>
    <w:rsid w:val="00CB19C5"/>
    <w:rsid w:val="00CB1A17"/>
    <w:rsid w:val="00CB1CB2"/>
    <w:rsid w:val="00CB20A6"/>
    <w:rsid w:val="00CB20B7"/>
    <w:rsid w:val="00CB2129"/>
    <w:rsid w:val="00CB21A6"/>
    <w:rsid w:val="00CB230D"/>
    <w:rsid w:val="00CB23CD"/>
    <w:rsid w:val="00CB2489"/>
    <w:rsid w:val="00CB252F"/>
    <w:rsid w:val="00CB25A3"/>
    <w:rsid w:val="00CB2639"/>
    <w:rsid w:val="00CB284E"/>
    <w:rsid w:val="00CB2855"/>
    <w:rsid w:val="00CB29CF"/>
    <w:rsid w:val="00CB2BFD"/>
    <w:rsid w:val="00CB2CCC"/>
    <w:rsid w:val="00CB2D42"/>
    <w:rsid w:val="00CB2E1C"/>
    <w:rsid w:val="00CB2E28"/>
    <w:rsid w:val="00CB2EA3"/>
    <w:rsid w:val="00CB3055"/>
    <w:rsid w:val="00CB313B"/>
    <w:rsid w:val="00CB3165"/>
    <w:rsid w:val="00CB3297"/>
    <w:rsid w:val="00CB336B"/>
    <w:rsid w:val="00CB33EC"/>
    <w:rsid w:val="00CB38B3"/>
    <w:rsid w:val="00CB38BA"/>
    <w:rsid w:val="00CB3922"/>
    <w:rsid w:val="00CB3EE2"/>
    <w:rsid w:val="00CB3F12"/>
    <w:rsid w:val="00CB3F18"/>
    <w:rsid w:val="00CB3F75"/>
    <w:rsid w:val="00CB3FB6"/>
    <w:rsid w:val="00CB424D"/>
    <w:rsid w:val="00CB46FA"/>
    <w:rsid w:val="00CB48A5"/>
    <w:rsid w:val="00CB4A18"/>
    <w:rsid w:val="00CB4A6E"/>
    <w:rsid w:val="00CB4BDD"/>
    <w:rsid w:val="00CB4C60"/>
    <w:rsid w:val="00CB4D11"/>
    <w:rsid w:val="00CB4DED"/>
    <w:rsid w:val="00CB4F72"/>
    <w:rsid w:val="00CB5123"/>
    <w:rsid w:val="00CB55AC"/>
    <w:rsid w:val="00CB571B"/>
    <w:rsid w:val="00CB58B7"/>
    <w:rsid w:val="00CB58DB"/>
    <w:rsid w:val="00CB5A3C"/>
    <w:rsid w:val="00CB5C10"/>
    <w:rsid w:val="00CB5D70"/>
    <w:rsid w:val="00CB5E1C"/>
    <w:rsid w:val="00CB5E3A"/>
    <w:rsid w:val="00CB5E5D"/>
    <w:rsid w:val="00CB5ECA"/>
    <w:rsid w:val="00CB5ECB"/>
    <w:rsid w:val="00CB5F45"/>
    <w:rsid w:val="00CB6198"/>
    <w:rsid w:val="00CB620F"/>
    <w:rsid w:val="00CB621D"/>
    <w:rsid w:val="00CB63EC"/>
    <w:rsid w:val="00CB655D"/>
    <w:rsid w:val="00CB6575"/>
    <w:rsid w:val="00CB680E"/>
    <w:rsid w:val="00CB6885"/>
    <w:rsid w:val="00CB6B12"/>
    <w:rsid w:val="00CB6B23"/>
    <w:rsid w:val="00CB6C3C"/>
    <w:rsid w:val="00CB6D96"/>
    <w:rsid w:val="00CB7007"/>
    <w:rsid w:val="00CB723F"/>
    <w:rsid w:val="00CB73E1"/>
    <w:rsid w:val="00CB745E"/>
    <w:rsid w:val="00CB773D"/>
    <w:rsid w:val="00CB77CA"/>
    <w:rsid w:val="00CB7A88"/>
    <w:rsid w:val="00CB7B3F"/>
    <w:rsid w:val="00CB7BD1"/>
    <w:rsid w:val="00CB7CC6"/>
    <w:rsid w:val="00CB7D45"/>
    <w:rsid w:val="00CB7DB9"/>
    <w:rsid w:val="00CB7DC0"/>
    <w:rsid w:val="00CB7DE3"/>
    <w:rsid w:val="00CB7E49"/>
    <w:rsid w:val="00CC0035"/>
    <w:rsid w:val="00CC004B"/>
    <w:rsid w:val="00CC0177"/>
    <w:rsid w:val="00CC021E"/>
    <w:rsid w:val="00CC031E"/>
    <w:rsid w:val="00CC03B3"/>
    <w:rsid w:val="00CC03DC"/>
    <w:rsid w:val="00CC05EE"/>
    <w:rsid w:val="00CC0676"/>
    <w:rsid w:val="00CC06E0"/>
    <w:rsid w:val="00CC0BE1"/>
    <w:rsid w:val="00CC0EFB"/>
    <w:rsid w:val="00CC0FB4"/>
    <w:rsid w:val="00CC1002"/>
    <w:rsid w:val="00CC10BD"/>
    <w:rsid w:val="00CC1185"/>
    <w:rsid w:val="00CC11CC"/>
    <w:rsid w:val="00CC125D"/>
    <w:rsid w:val="00CC12E6"/>
    <w:rsid w:val="00CC1439"/>
    <w:rsid w:val="00CC15C4"/>
    <w:rsid w:val="00CC1701"/>
    <w:rsid w:val="00CC17FB"/>
    <w:rsid w:val="00CC1881"/>
    <w:rsid w:val="00CC18A2"/>
    <w:rsid w:val="00CC18D0"/>
    <w:rsid w:val="00CC18FA"/>
    <w:rsid w:val="00CC19D4"/>
    <w:rsid w:val="00CC1A77"/>
    <w:rsid w:val="00CC1D4F"/>
    <w:rsid w:val="00CC1E2F"/>
    <w:rsid w:val="00CC1EBA"/>
    <w:rsid w:val="00CC206C"/>
    <w:rsid w:val="00CC2177"/>
    <w:rsid w:val="00CC22C7"/>
    <w:rsid w:val="00CC2553"/>
    <w:rsid w:val="00CC264A"/>
    <w:rsid w:val="00CC264C"/>
    <w:rsid w:val="00CC2BF0"/>
    <w:rsid w:val="00CC2C41"/>
    <w:rsid w:val="00CC2CBE"/>
    <w:rsid w:val="00CC2F62"/>
    <w:rsid w:val="00CC2F83"/>
    <w:rsid w:val="00CC2FBC"/>
    <w:rsid w:val="00CC332B"/>
    <w:rsid w:val="00CC3598"/>
    <w:rsid w:val="00CC36A0"/>
    <w:rsid w:val="00CC373E"/>
    <w:rsid w:val="00CC37DE"/>
    <w:rsid w:val="00CC3A59"/>
    <w:rsid w:val="00CC3BF8"/>
    <w:rsid w:val="00CC3DB4"/>
    <w:rsid w:val="00CC3FEC"/>
    <w:rsid w:val="00CC419E"/>
    <w:rsid w:val="00CC424C"/>
    <w:rsid w:val="00CC432C"/>
    <w:rsid w:val="00CC449E"/>
    <w:rsid w:val="00CC4689"/>
    <w:rsid w:val="00CC4B53"/>
    <w:rsid w:val="00CC4CC6"/>
    <w:rsid w:val="00CC4CEA"/>
    <w:rsid w:val="00CC4FC7"/>
    <w:rsid w:val="00CC5068"/>
    <w:rsid w:val="00CC50BD"/>
    <w:rsid w:val="00CC5100"/>
    <w:rsid w:val="00CC53B6"/>
    <w:rsid w:val="00CC53D0"/>
    <w:rsid w:val="00CC5990"/>
    <w:rsid w:val="00CC5EE0"/>
    <w:rsid w:val="00CC5FC4"/>
    <w:rsid w:val="00CC69A5"/>
    <w:rsid w:val="00CC69C4"/>
    <w:rsid w:val="00CC6D4D"/>
    <w:rsid w:val="00CC6ECD"/>
    <w:rsid w:val="00CC6F3D"/>
    <w:rsid w:val="00CC6FEC"/>
    <w:rsid w:val="00CC707E"/>
    <w:rsid w:val="00CC71B2"/>
    <w:rsid w:val="00CC7237"/>
    <w:rsid w:val="00CC7475"/>
    <w:rsid w:val="00CC7617"/>
    <w:rsid w:val="00CC777C"/>
    <w:rsid w:val="00CC77BC"/>
    <w:rsid w:val="00CC77F3"/>
    <w:rsid w:val="00CC7815"/>
    <w:rsid w:val="00CC7D15"/>
    <w:rsid w:val="00CD0065"/>
    <w:rsid w:val="00CD03BB"/>
    <w:rsid w:val="00CD07D0"/>
    <w:rsid w:val="00CD0909"/>
    <w:rsid w:val="00CD0A53"/>
    <w:rsid w:val="00CD0C6A"/>
    <w:rsid w:val="00CD0D23"/>
    <w:rsid w:val="00CD0ECB"/>
    <w:rsid w:val="00CD12B1"/>
    <w:rsid w:val="00CD12B5"/>
    <w:rsid w:val="00CD12CA"/>
    <w:rsid w:val="00CD130B"/>
    <w:rsid w:val="00CD1311"/>
    <w:rsid w:val="00CD14FC"/>
    <w:rsid w:val="00CD1600"/>
    <w:rsid w:val="00CD1625"/>
    <w:rsid w:val="00CD16B1"/>
    <w:rsid w:val="00CD16B3"/>
    <w:rsid w:val="00CD1813"/>
    <w:rsid w:val="00CD1A88"/>
    <w:rsid w:val="00CD1C14"/>
    <w:rsid w:val="00CD1D6D"/>
    <w:rsid w:val="00CD207D"/>
    <w:rsid w:val="00CD2428"/>
    <w:rsid w:val="00CD273D"/>
    <w:rsid w:val="00CD282B"/>
    <w:rsid w:val="00CD28C1"/>
    <w:rsid w:val="00CD29F5"/>
    <w:rsid w:val="00CD2A76"/>
    <w:rsid w:val="00CD2C9E"/>
    <w:rsid w:val="00CD2D2E"/>
    <w:rsid w:val="00CD2DBB"/>
    <w:rsid w:val="00CD2E01"/>
    <w:rsid w:val="00CD31AB"/>
    <w:rsid w:val="00CD321F"/>
    <w:rsid w:val="00CD3267"/>
    <w:rsid w:val="00CD327E"/>
    <w:rsid w:val="00CD34C7"/>
    <w:rsid w:val="00CD3DB8"/>
    <w:rsid w:val="00CD3E45"/>
    <w:rsid w:val="00CD4184"/>
    <w:rsid w:val="00CD4835"/>
    <w:rsid w:val="00CD48C6"/>
    <w:rsid w:val="00CD490E"/>
    <w:rsid w:val="00CD4D15"/>
    <w:rsid w:val="00CD4D63"/>
    <w:rsid w:val="00CD4F12"/>
    <w:rsid w:val="00CD4F7F"/>
    <w:rsid w:val="00CD4FE5"/>
    <w:rsid w:val="00CD511A"/>
    <w:rsid w:val="00CD5330"/>
    <w:rsid w:val="00CD5409"/>
    <w:rsid w:val="00CD5417"/>
    <w:rsid w:val="00CD56A9"/>
    <w:rsid w:val="00CD56F1"/>
    <w:rsid w:val="00CD571B"/>
    <w:rsid w:val="00CD5755"/>
    <w:rsid w:val="00CD5836"/>
    <w:rsid w:val="00CD5942"/>
    <w:rsid w:val="00CD5C2C"/>
    <w:rsid w:val="00CD5F42"/>
    <w:rsid w:val="00CD6042"/>
    <w:rsid w:val="00CD6184"/>
    <w:rsid w:val="00CD61F9"/>
    <w:rsid w:val="00CD6250"/>
    <w:rsid w:val="00CD628A"/>
    <w:rsid w:val="00CD62FC"/>
    <w:rsid w:val="00CD68E9"/>
    <w:rsid w:val="00CD6ADE"/>
    <w:rsid w:val="00CD6CD3"/>
    <w:rsid w:val="00CD6E22"/>
    <w:rsid w:val="00CD6F66"/>
    <w:rsid w:val="00CD707E"/>
    <w:rsid w:val="00CD7130"/>
    <w:rsid w:val="00CD72B9"/>
    <w:rsid w:val="00CD739C"/>
    <w:rsid w:val="00CD74ED"/>
    <w:rsid w:val="00CD75CB"/>
    <w:rsid w:val="00CD76E1"/>
    <w:rsid w:val="00CD78CF"/>
    <w:rsid w:val="00CD7987"/>
    <w:rsid w:val="00CD7AAE"/>
    <w:rsid w:val="00CD7B63"/>
    <w:rsid w:val="00CD7BE5"/>
    <w:rsid w:val="00CD7C59"/>
    <w:rsid w:val="00CD7E04"/>
    <w:rsid w:val="00CD7F8B"/>
    <w:rsid w:val="00CE0035"/>
    <w:rsid w:val="00CE02C1"/>
    <w:rsid w:val="00CE0358"/>
    <w:rsid w:val="00CE03BB"/>
    <w:rsid w:val="00CE055D"/>
    <w:rsid w:val="00CE05CB"/>
    <w:rsid w:val="00CE0681"/>
    <w:rsid w:val="00CE0752"/>
    <w:rsid w:val="00CE07AD"/>
    <w:rsid w:val="00CE07CF"/>
    <w:rsid w:val="00CE0A67"/>
    <w:rsid w:val="00CE0C74"/>
    <w:rsid w:val="00CE0D07"/>
    <w:rsid w:val="00CE0ED6"/>
    <w:rsid w:val="00CE112A"/>
    <w:rsid w:val="00CE14B2"/>
    <w:rsid w:val="00CE19F5"/>
    <w:rsid w:val="00CE1CB9"/>
    <w:rsid w:val="00CE1D74"/>
    <w:rsid w:val="00CE1E2A"/>
    <w:rsid w:val="00CE1EA3"/>
    <w:rsid w:val="00CE1EAA"/>
    <w:rsid w:val="00CE2646"/>
    <w:rsid w:val="00CE29A5"/>
    <w:rsid w:val="00CE2A6D"/>
    <w:rsid w:val="00CE2A6F"/>
    <w:rsid w:val="00CE2B7C"/>
    <w:rsid w:val="00CE2BA6"/>
    <w:rsid w:val="00CE2E63"/>
    <w:rsid w:val="00CE2EE4"/>
    <w:rsid w:val="00CE3017"/>
    <w:rsid w:val="00CE32C9"/>
    <w:rsid w:val="00CE32ED"/>
    <w:rsid w:val="00CE340B"/>
    <w:rsid w:val="00CE343C"/>
    <w:rsid w:val="00CE3647"/>
    <w:rsid w:val="00CE3718"/>
    <w:rsid w:val="00CE3766"/>
    <w:rsid w:val="00CE38A1"/>
    <w:rsid w:val="00CE3B58"/>
    <w:rsid w:val="00CE3B7E"/>
    <w:rsid w:val="00CE3BF1"/>
    <w:rsid w:val="00CE3D16"/>
    <w:rsid w:val="00CE3ECD"/>
    <w:rsid w:val="00CE3F20"/>
    <w:rsid w:val="00CE3F78"/>
    <w:rsid w:val="00CE3FCC"/>
    <w:rsid w:val="00CE4163"/>
    <w:rsid w:val="00CE41E0"/>
    <w:rsid w:val="00CE4297"/>
    <w:rsid w:val="00CE4338"/>
    <w:rsid w:val="00CE448A"/>
    <w:rsid w:val="00CE44BB"/>
    <w:rsid w:val="00CE44E5"/>
    <w:rsid w:val="00CE46A8"/>
    <w:rsid w:val="00CE4764"/>
    <w:rsid w:val="00CE49B9"/>
    <w:rsid w:val="00CE4BAD"/>
    <w:rsid w:val="00CE4BB3"/>
    <w:rsid w:val="00CE4E17"/>
    <w:rsid w:val="00CE4F56"/>
    <w:rsid w:val="00CE4FAA"/>
    <w:rsid w:val="00CE50AF"/>
    <w:rsid w:val="00CE50DA"/>
    <w:rsid w:val="00CE5121"/>
    <w:rsid w:val="00CE5204"/>
    <w:rsid w:val="00CE52BE"/>
    <w:rsid w:val="00CE5337"/>
    <w:rsid w:val="00CE53B2"/>
    <w:rsid w:val="00CE55D4"/>
    <w:rsid w:val="00CE55E1"/>
    <w:rsid w:val="00CE571A"/>
    <w:rsid w:val="00CE57B3"/>
    <w:rsid w:val="00CE57C1"/>
    <w:rsid w:val="00CE5B24"/>
    <w:rsid w:val="00CE5EB3"/>
    <w:rsid w:val="00CE5ED8"/>
    <w:rsid w:val="00CE5F83"/>
    <w:rsid w:val="00CE603B"/>
    <w:rsid w:val="00CE614D"/>
    <w:rsid w:val="00CE656F"/>
    <w:rsid w:val="00CE67FB"/>
    <w:rsid w:val="00CE695D"/>
    <w:rsid w:val="00CE69A8"/>
    <w:rsid w:val="00CE69C8"/>
    <w:rsid w:val="00CE6B14"/>
    <w:rsid w:val="00CE6D1E"/>
    <w:rsid w:val="00CE6D2C"/>
    <w:rsid w:val="00CE6DE0"/>
    <w:rsid w:val="00CE6E74"/>
    <w:rsid w:val="00CE6E7F"/>
    <w:rsid w:val="00CE7215"/>
    <w:rsid w:val="00CE7258"/>
    <w:rsid w:val="00CE7267"/>
    <w:rsid w:val="00CE73D7"/>
    <w:rsid w:val="00CE754B"/>
    <w:rsid w:val="00CE76AC"/>
    <w:rsid w:val="00CE76DB"/>
    <w:rsid w:val="00CE7884"/>
    <w:rsid w:val="00CE797C"/>
    <w:rsid w:val="00CE799F"/>
    <w:rsid w:val="00CE7D9D"/>
    <w:rsid w:val="00CE7DD5"/>
    <w:rsid w:val="00CE7E4B"/>
    <w:rsid w:val="00CE7E79"/>
    <w:rsid w:val="00CE7EBA"/>
    <w:rsid w:val="00CF0036"/>
    <w:rsid w:val="00CF005C"/>
    <w:rsid w:val="00CF0380"/>
    <w:rsid w:val="00CF0519"/>
    <w:rsid w:val="00CF05ED"/>
    <w:rsid w:val="00CF0792"/>
    <w:rsid w:val="00CF0818"/>
    <w:rsid w:val="00CF08D6"/>
    <w:rsid w:val="00CF0CE5"/>
    <w:rsid w:val="00CF0DDC"/>
    <w:rsid w:val="00CF0F55"/>
    <w:rsid w:val="00CF0F86"/>
    <w:rsid w:val="00CF1312"/>
    <w:rsid w:val="00CF1423"/>
    <w:rsid w:val="00CF162D"/>
    <w:rsid w:val="00CF17D8"/>
    <w:rsid w:val="00CF17E6"/>
    <w:rsid w:val="00CF184C"/>
    <w:rsid w:val="00CF19C5"/>
    <w:rsid w:val="00CF1B91"/>
    <w:rsid w:val="00CF1D49"/>
    <w:rsid w:val="00CF1DEF"/>
    <w:rsid w:val="00CF1EDB"/>
    <w:rsid w:val="00CF1F26"/>
    <w:rsid w:val="00CF1F9D"/>
    <w:rsid w:val="00CF2399"/>
    <w:rsid w:val="00CF2545"/>
    <w:rsid w:val="00CF2628"/>
    <w:rsid w:val="00CF29E3"/>
    <w:rsid w:val="00CF2B9E"/>
    <w:rsid w:val="00CF2EEC"/>
    <w:rsid w:val="00CF2F58"/>
    <w:rsid w:val="00CF3203"/>
    <w:rsid w:val="00CF355D"/>
    <w:rsid w:val="00CF361B"/>
    <w:rsid w:val="00CF376C"/>
    <w:rsid w:val="00CF379D"/>
    <w:rsid w:val="00CF397D"/>
    <w:rsid w:val="00CF3BE7"/>
    <w:rsid w:val="00CF3E0F"/>
    <w:rsid w:val="00CF3E15"/>
    <w:rsid w:val="00CF3F2A"/>
    <w:rsid w:val="00CF3FFD"/>
    <w:rsid w:val="00CF410D"/>
    <w:rsid w:val="00CF4355"/>
    <w:rsid w:val="00CF4369"/>
    <w:rsid w:val="00CF43F1"/>
    <w:rsid w:val="00CF45B1"/>
    <w:rsid w:val="00CF45BB"/>
    <w:rsid w:val="00CF47F4"/>
    <w:rsid w:val="00CF49A0"/>
    <w:rsid w:val="00CF4A33"/>
    <w:rsid w:val="00CF4B2F"/>
    <w:rsid w:val="00CF4C52"/>
    <w:rsid w:val="00CF4E44"/>
    <w:rsid w:val="00CF4EA6"/>
    <w:rsid w:val="00CF4F6D"/>
    <w:rsid w:val="00CF50F9"/>
    <w:rsid w:val="00CF54E6"/>
    <w:rsid w:val="00CF553A"/>
    <w:rsid w:val="00CF565F"/>
    <w:rsid w:val="00CF5884"/>
    <w:rsid w:val="00CF5C64"/>
    <w:rsid w:val="00CF5DE0"/>
    <w:rsid w:val="00CF5E72"/>
    <w:rsid w:val="00CF5FC3"/>
    <w:rsid w:val="00CF612E"/>
    <w:rsid w:val="00CF62F3"/>
    <w:rsid w:val="00CF64B8"/>
    <w:rsid w:val="00CF6556"/>
    <w:rsid w:val="00CF6A73"/>
    <w:rsid w:val="00CF6BD7"/>
    <w:rsid w:val="00CF6C6A"/>
    <w:rsid w:val="00CF6C9E"/>
    <w:rsid w:val="00CF6E5F"/>
    <w:rsid w:val="00CF722A"/>
    <w:rsid w:val="00CF7271"/>
    <w:rsid w:val="00CF75D5"/>
    <w:rsid w:val="00CF7691"/>
    <w:rsid w:val="00CF78B9"/>
    <w:rsid w:val="00CF78E7"/>
    <w:rsid w:val="00CF7BAF"/>
    <w:rsid w:val="00CF7C21"/>
    <w:rsid w:val="00CF7DAA"/>
    <w:rsid w:val="00D0029B"/>
    <w:rsid w:val="00D00343"/>
    <w:rsid w:val="00D0048B"/>
    <w:rsid w:val="00D00746"/>
    <w:rsid w:val="00D00969"/>
    <w:rsid w:val="00D00A8E"/>
    <w:rsid w:val="00D00ABB"/>
    <w:rsid w:val="00D00B08"/>
    <w:rsid w:val="00D00F5F"/>
    <w:rsid w:val="00D01084"/>
    <w:rsid w:val="00D011D5"/>
    <w:rsid w:val="00D01903"/>
    <w:rsid w:val="00D01BCA"/>
    <w:rsid w:val="00D01DCD"/>
    <w:rsid w:val="00D01E6C"/>
    <w:rsid w:val="00D01F08"/>
    <w:rsid w:val="00D0208B"/>
    <w:rsid w:val="00D02139"/>
    <w:rsid w:val="00D02263"/>
    <w:rsid w:val="00D022F9"/>
    <w:rsid w:val="00D02452"/>
    <w:rsid w:val="00D0256D"/>
    <w:rsid w:val="00D02642"/>
    <w:rsid w:val="00D02651"/>
    <w:rsid w:val="00D027DF"/>
    <w:rsid w:val="00D028CB"/>
    <w:rsid w:val="00D02944"/>
    <w:rsid w:val="00D02B8E"/>
    <w:rsid w:val="00D02C65"/>
    <w:rsid w:val="00D02F0B"/>
    <w:rsid w:val="00D03091"/>
    <w:rsid w:val="00D032EB"/>
    <w:rsid w:val="00D032F9"/>
    <w:rsid w:val="00D034E6"/>
    <w:rsid w:val="00D039E7"/>
    <w:rsid w:val="00D03D26"/>
    <w:rsid w:val="00D0410A"/>
    <w:rsid w:val="00D046BB"/>
    <w:rsid w:val="00D04744"/>
    <w:rsid w:val="00D0488A"/>
    <w:rsid w:val="00D0492D"/>
    <w:rsid w:val="00D0496A"/>
    <w:rsid w:val="00D04D43"/>
    <w:rsid w:val="00D04E45"/>
    <w:rsid w:val="00D05012"/>
    <w:rsid w:val="00D05025"/>
    <w:rsid w:val="00D05128"/>
    <w:rsid w:val="00D05186"/>
    <w:rsid w:val="00D051D0"/>
    <w:rsid w:val="00D052B2"/>
    <w:rsid w:val="00D0534E"/>
    <w:rsid w:val="00D053B1"/>
    <w:rsid w:val="00D05544"/>
    <w:rsid w:val="00D057F4"/>
    <w:rsid w:val="00D05823"/>
    <w:rsid w:val="00D0586E"/>
    <w:rsid w:val="00D05A71"/>
    <w:rsid w:val="00D05AF9"/>
    <w:rsid w:val="00D05B59"/>
    <w:rsid w:val="00D05C9F"/>
    <w:rsid w:val="00D05CF2"/>
    <w:rsid w:val="00D05E00"/>
    <w:rsid w:val="00D05E1A"/>
    <w:rsid w:val="00D05F46"/>
    <w:rsid w:val="00D060C5"/>
    <w:rsid w:val="00D06188"/>
    <w:rsid w:val="00D06259"/>
    <w:rsid w:val="00D06263"/>
    <w:rsid w:val="00D066B0"/>
    <w:rsid w:val="00D06790"/>
    <w:rsid w:val="00D06879"/>
    <w:rsid w:val="00D06ABE"/>
    <w:rsid w:val="00D06DEC"/>
    <w:rsid w:val="00D06F73"/>
    <w:rsid w:val="00D07077"/>
    <w:rsid w:val="00D072A0"/>
    <w:rsid w:val="00D072C8"/>
    <w:rsid w:val="00D0731A"/>
    <w:rsid w:val="00D073EF"/>
    <w:rsid w:val="00D075C4"/>
    <w:rsid w:val="00D07678"/>
    <w:rsid w:val="00D079C9"/>
    <w:rsid w:val="00D079CC"/>
    <w:rsid w:val="00D07F6F"/>
    <w:rsid w:val="00D10114"/>
    <w:rsid w:val="00D1012E"/>
    <w:rsid w:val="00D109C4"/>
    <w:rsid w:val="00D10A24"/>
    <w:rsid w:val="00D10C44"/>
    <w:rsid w:val="00D10DEB"/>
    <w:rsid w:val="00D10E78"/>
    <w:rsid w:val="00D10EB5"/>
    <w:rsid w:val="00D10EEE"/>
    <w:rsid w:val="00D10F0A"/>
    <w:rsid w:val="00D113B0"/>
    <w:rsid w:val="00D11644"/>
    <w:rsid w:val="00D116C6"/>
    <w:rsid w:val="00D11778"/>
    <w:rsid w:val="00D1177F"/>
    <w:rsid w:val="00D11861"/>
    <w:rsid w:val="00D11A5D"/>
    <w:rsid w:val="00D11AC2"/>
    <w:rsid w:val="00D11ADF"/>
    <w:rsid w:val="00D11AE4"/>
    <w:rsid w:val="00D11DBA"/>
    <w:rsid w:val="00D11E34"/>
    <w:rsid w:val="00D11E7C"/>
    <w:rsid w:val="00D11FEE"/>
    <w:rsid w:val="00D11FEF"/>
    <w:rsid w:val="00D12075"/>
    <w:rsid w:val="00D120E6"/>
    <w:rsid w:val="00D1232C"/>
    <w:rsid w:val="00D12356"/>
    <w:rsid w:val="00D124FD"/>
    <w:rsid w:val="00D12616"/>
    <w:rsid w:val="00D12903"/>
    <w:rsid w:val="00D12989"/>
    <w:rsid w:val="00D129BD"/>
    <w:rsid w:val="00D12A12"/>
    <w:rsid w:val="00D12A37"/>
    <w:rsid w:val="00D12C2A"/>
    <w:rsid w:val="00D12CA7"/>
    <w:rsid w:val="00D13049"/>
    <w:rsid w:val="00D1312F"/>
    <w:rsid w:val="00D131D5"/>
    <w:rsid w:val="00D13389"/>
    <w:rsid w:val="00D133CA"/>
    <w:rsid w:val="00D13775"/>
    <w:rsid w:val="00D1378C"/>
    <w:rsid w:val="00D137CE"/>
    <w:rsid w:val="00D13A0D"/>
    <w:rsid w:val="00D13A8A"/>
    <w:rsid w:val="00D13DA1"/>
    <w:rsid w:val="00D1414C"/>
    <w:rsid w:val="00D141BB"/>
    <w:rsid w:val="00D142C0"/>
    <w:rsid w:val="00D14311"/>
    <w:rsid w:val="00D1432E"/>
    <w:rsid w:val="00D14445"/>
    <w:rsid w:val="00D14523"/>
    <w:rsid w:val="00D14572"/>
    <w:rsid w:val="00D14597"/>
    <w:rsid w:val="00D1476B"/>
    <w:rsid w:val="00D149A1"/>
    <w:rsid w:val="00D14DF6"/>
    <w:rsid w:val="00D14EC5"/>
    <w:rsid w:val="00D14F4E"/>
    <w:rsid w:val="00D1512E"/>
    <w:rsid w:val="00D15153"/>
    <w:rsid w:val="00D151C3"/>
    <w:rsid w:val="00D151FD"/>
    <w:rsid w:val="00D157B2"/>
    <w:rsid w:val="00D157FD"/>
    <w:rsid w:val="00D15A5A"/>
    <w:rsid w:val="00D15B0E"/>
    <w:rsid w:val="00D15BC8"/>
    <w:rsid w:val="00D15DBD"/>
    <w:rsid w:val="00D160FE"/>
    <w:rsid w:val="00D162B8"/>
    <w:rsid w:val="00D16368"/>
    <w:rsid w:val="00D16504"/>
    <w:rsid w:val="00D16760"/>
    <w:rsid w:val="00D16841"/>
    <w:rsid w:val="00D168A5"/>
    <w:rsid w:val="00D16A92"/>
    <w:rsid w:val="00D16BC6"/>
    <w:rsid w:val="00D16BCA"/>
    <w:rsid w:val="00D16BCF"/>
    <w:rsid w:val="00D16C92"/>
    <w:rsid w:val="00D16DF4"/>
    <w:rsid w:val="00D17019"/>
    <w:rsid w:val="00D17350"/>
    <w:rsid w:val="00D174CF"/>
    <w:rsid w:val="00D1751F"/>
    <w:rsid w:val="00D175B3"/>
    <w:rsid w:val="00D17722"/>
    <w:rsid w:val="00D178CC"/>
    <w:rsid w:val="00D179C2"/>
    <w:rsid w:val="00D17AA7"/>
    <w:rsid w:val="00D17B4B"/>
    <w:rsid w:val="00D17E23"/>
    <w:rsid w:val="00D17F48"/>
    <w:rsid w:val="00D20018"/>
    <w:rsid w:val="00D20054"/>
    <w:rsid w:val="00D2048D"/>
    <w:rsid w:val="00D20535"/>
    <w:rsid w:val="00D20740"/>
    <w:rsid w:val="00D209EB"/>
    <w:rsid w:val="00D20A30"/>
    <w:rsid w:val="00D20A5B"/>
    <w:rsid w:val="00D20AA1"/>
    <w:rsid w:val="00D20B57"/>
    <w:rsid w:val="00D20B86"/>
    <w:rsid w:val="00D20C3E"/>
    <w:rsid w:val="00D20C86"/>
    <w:rsid w:val="00D20D39"/>
    <w:rsid w:val="00D21051"/>
    <w:rsid w:val="00D2107B"/>
    <w:rsid w:val="00D2115A"/>
    <w:rsid w:val="00D211C0"/>
    <w:rsid w:val="00D2123C"/>
    <w:rsid w:val="00D21393"/>
    <w:rsid w:val="00D21815"/>
    <w:rsid w:val="00D218AE"/>
    <w:rsid w:val="00D21943"/>
    <w:rsid w:val="00D21ADB"/>
    <w:rsid w:val="00D21B0D"/>
    <w:rsid w:val="00D21C2C"/>
    <w:rsid w:val="00D21C95"/>
    <w:rsid w:val="00D21D05"/>
    <w:rsid w:val="00D21D92"/>
    <w:rsid w:val="00D22045"/>
    <w:rsid w:val="00D22096"/>
    <w:rsid w:val="00D220EB"/>
    <w:rsid w:val="00D22144"/>
    <w:rsid w:val="00D22368"/>
    <w:rsid w:val="00D22546"/>
    <w:rsid w:val="00D22656"/>
    <w:rsid w:val="00D226B2"/>
    <w:rsid w:val="00D2289E"/>
    <w:rsid w:val="00D228B3"/>
    <w:rsid w:val="00D22970"/>
    <w:rsid w:val="00D2298D"/>
    <w:rsid w:val="00D229FE"/>
    <w:rsid w:val="00D22A56"/>
    <w:rsid w:val="00D22A9D"/>
    <w:rsid w:val="00D22AC0"/>
    <w:rsid w:val="00D22B02"/>
    <w:rsid w:val="00D22B9D"/>
    <w:rsid w:val="00D22C25"/>
    <w:rsid w:val="00D22D64"/>
    <w:rsid w:val="00D22DE3"/>
    <w:rsid w:val="00D22EF0"/>
    <w:rsid w:val="00D22F46"/>
    <w:rsid w:val="00D22FAB"/>
    <w:rsid w:val="00D23045"/>
    <w:rsid w:val="00D231A3"/>
    <w:rsid w:val="00D23273"/>
    <w:rsid w:val="00D234A8"/>
    <w:rsid w:val="00D236DD"/>
    <w:rsid w:val="00D237CF"/>
    <w:rsid w:val="00D23853"/>
    <w:rsid w:val="00D23B48"/>
    <w:rsid w:val="00D23C22"/>
    <w:rsid w:val="00D23D00"/>
    <w:rsid w:val="00D23D27"/>
    <w:rsid w:val="00D23E72"/>
    <w:rsid w:val="00D23E80"/>
    <w:rsid w:val="00D242B2"/>
    <w:rsid w:val="00D244C2"/>
    <w:rsid w:val="00D245C5"/>
    <w:rsid w:val="00D24733"/>
    <w:rsid w:val="00D24935"/>
    <w:rsid w:val="00D24E84"/>
    <w:rsid w:val="00D24EB7"/>
    <w:rsid w:val="00D2503D"/>
    <w:rsid w:val="00D2509A"/>
    <w:rsid w:val="00D25145"/>
    <w:rsid w:val="00D251A6"/>
    <w:rsid w:val="00D25228"/>
    <w:rsid w:val="00D25255"/>
    <w:rsid w:val="00D25279"/>
    <w:rsid w:val="00D252A5"/>
    <w:rsid w:val="00D254C5"/>
    <w:rsid w:val="00D25885"/>
    <w:rsid w:val="00D25AF1"/>
    <w:rsid w:val="00D25B0B"/>
    <w:rsid w:val="00D25CC7"/>
    <w:rsid w:val="00D25DD5"/>
    <w:rsid w:val="00D26172"/>
    <w:rsid w:val="00D261E4"/>
    <w:rsid w:val="00D2638B"/>
    <w:rsid w:val="00D26396"/>
    <w:rsid w:val="00D267CA"/>
    <w:rsid w:val="00D269C2"/>
    <w:rsid w:val="00D26A01"/>
    <w:rsid w:val="00D26A06"/>
    <w:rsid w:val="00D26CFE"/>
    <w:rsid w:val="00D26DE9"/>
    <w:rsid w:val="00D26FDE"/>
    <w:rsid w:val="00D27103"/>
    <w:rsid w:val="00D276D2"/>
    <w:rsid w:val="00D2770E"/>
    <w:rsid w:val="00D277EE"/>
    <w:rsid w:val="00D2790B"/>
    <w:rsid w:val="00D279D6"/>
    <w:rsid w:val="00D27A27"/>
    <w:rsid w:val="00D27A2B"/>
    <w:rsid w:val="00D27AA1"/>
    <w:rsid w:val="00D27AC6"/>
    <w:rsid w:val="00D27ADD"/>
    <w:rsid w:val="00D27D9F"/>
    <w:rsid w:val="00D30115"/>
    <w:rsid w:val="00D3015B"/>
    <w:rsid w:val="00D303B0"/>
    <w:rsid w:val="00D3072C"/>
    <w:rsid w:val="00D3075D"/>
    <w:rsid w:val="00D3095F"/>
    <w:rsid w:val="00D30AC4"/>
    <w:rsid w:val="00D30CC4"/>
    <w:rsid w:val="00D30D8C"/>
    <w:rsid w:val="00D30DCE"/>
    <w:rsid w:val="00D30EC6"/>
    <w:rsid w:val="00D30F21"/>
    <w:rsid w:val="00D3103B"/>
    <w:rsid w:val="00D3125D"/>
    <w:rsid w:val="00D312A0"/>
    <w:rsid w:val="00D3141C"/>
    <w:rsid w:val="00D315BF"/>
    <w:rsid w:val="00D316E5"/>
    <w:rsid w:val="00D319EC"/>
    <w:rsid w:val="00D31AE4"/>
    <w:rsid w:val="00D31B34"/>
    <w:rsid w:val="00D31DEB"/>
    <w:rsid w:val="00D31E91"/>
    <w:rsid w:val="00D31F51"/>
    <w:rsid w:val="00D32007"/>
    <w:rsid w:val="00D3219B"/>
    <w:rsid w:val="00D32205"/>
    <w:rsid w:val="00D32230"/>
    <w:rsid w:val="00D32340"/>
    <w:rsid w:val="00D3243D"/>
    <w:rsid w:val="00D325E8"/>
    <w:rsid w:val="00D327B9"/>
    <w:rsid w:val="00D32899"/>
    <w:rsid w:val="00D32950"/>
    <w:rsid w:val="00D329AD"/>
    <w:rsid w:val="00D32B56"/>
    <w:rsid w:val="00D32DA1"/>
    <w:rsid w:val="00D32DBA"/>
    <w:rsid w:val="00D32F2C"/>
    <w:rsid w:val="00D3305D"/>
    <w:rsid w:val="00D33103"/>
    <w:rsid w:val="00D33115"/>
    <w:rsid w:val="00D33163"/>
    <w:rsid w:val="00D332D9"/>
    <w:rsid w:val="00D333EC"/>
    <w:rsid w:val="00D335AC"/>
    <w:rsid w:val="00D33619"/>
    <w:rsid w:val="00D33938"/>
    <w:rsid w:val="00D33B17"/>
    <w:rsid w:val="00D33DB2"/>
    <w:rsid w:val="00D33DF4"/>
    <w:rsid w:val="00D33F9B"/>
    <w:rsid w:val="00D34064"/>
    <w:rsid w:val="00D3430D"/>
    <w:rsid w:val="00D343D1"/>
    <w:rsid w:val="00D3443E"/>
    <w:rsid w:val="00D3472E"/>
    <w:rsid w:val="00D34799"/>
    <w:rsid w:val="00D34A77"/>
    <w:rsid w:val="00D34AFB"/>
    <w:rsid w:val="00D34CC2"/>
    <w:rsid w:val="00D352D2"/>
    <w:rsid w:val="00D35309"/>
    <w:rsid w:val="00D35379"/>
    <w:rsid w:val="00D35460"/>
    <w:rsid w:val="00D35469"/>
    <w:rsid w:val="00D35594"/>
    <w:rsid w:val="00D35639"/>
    <w:rsid w:val="00D35744"/>
    <w:rsid w:val="00D3590B"/>
    <w:rsid w:val="00D35BFE"/>
    <w:rsid w:val="00D35DB8"/>
    <w:rsid w:val="00D35DE4"/>
    <w:rsid w:val="00D35EE6"/>
    <w:rsid w:val="00D35EEF"/>
    <w:rsid w:val="00D35EFA"/>
    <w:rsid w:val="00D35F3F"/>
    <w:rsid w:val="00D361EF"/>
    <w:rsid w:val="00D3626B"/>
    <w:rsid w:val="00D3682D"/>
    <w:rsid w:val="00D36854"/>
    <w:rsid w:val="00D368D4"/>
    <w:rsid w:val="00D36C65"/>
    <w:rsid w:val="00D36C7F"/>
    <w:rsid w:val="00D36DB9"/>
    <w:rsid w:val="00D36E0C"/>
    <w:rsid w:val="00D36E6A"/>
    <w:rsid w:val="00D36ED1"/>
    <w:rsid w:val="00D36F08"/>
    <w:rsid w:val="00D36FB1"/>
    <w:rsid w:val="00D370C2"/>
    <w:rsid w:val="00D37101"/>
    <w:rsid w:val="00D37156"/>
    <w:rsid w:val="00D372D7"/>
    <w:rsid w:val="00D37399"/>
    <w:rsid w:val="00D37522"/>
    <w:rsid w:val="00D377EE"/>
    <w:rsid w:val="00D3784E"/>
    <w:rsid w:val="00D37A10"/>
    <w:rsid w:val="00D37A66"/>
    <w:rsid w:val="00D37B9C"/>
    <w:rsid w:val="00D37C73"/>
    <w:rsid w:val="00D37D2A"/>
    <w:rsid w:val="00D37DE8"/>
    <w:rsid w:val="00D37E78"/>
    <w:rsid w:val="00D37F08"/>
    <w:rsid w:val="00D37F90"/>
    <w:rsid w:val="00D403E7"/>
    <w:rsid w:val="00D4045E"/>
    <w:rsid w:val="00D4050A"/>
    <w:rsid w:val="00D4076A"/>
    <w:rsid w:val="00D407DD"/>
    <w:rsid w:val="00D408EF"/>
    <w:rsid w:val="00D409CC"/>
    <w:rsid w:val="00D40A03"/>
    <w:rsid w:val="00D40EB1"/>
    <w:rsid w:val="00D41044"/>
    <w:rsid w:val="00D41059"/>
    <w:rsid w:val="00D41208"/>
    <w:rsid w:val="00D41541"/>
    <w:rsid w:val="00D4167C"/>
    <w:rsid w:val="00D41A90"/>
    <w:rsid w:val="00D41B92"/>
    <w:rsid w:val="00D41C51"/>
    <w:rsid w:val="00D41D71"/>
    <w:rsid w:val="00D41DCF"/>
    <w:rsid w:val="00D41E9B"/>
    <w:rsid w:val="00D41EC5"/>
    <w:rsid w:val="00D41F76"/>
    <w:rsid w:val="00D41FAA"/>
    <w:rsid w:val="00D42137"/>
    <w:rsid w:val="00D4225D"/>
    <w:rsid w:val="00D4236F"/>
    <w:rsid w:val="00D42598"/>
    <w:rsid w:val="00D4285A"/>
    <w:rsid w:val="00D429CE"/>
    <w:rsid w:val="00D42A0B"/>
    <w:rsid w:val="00D42BEF"/>
    <w:rsid w:val="00D42D3A"/>
    <w:rsid w:val="00D42D46"/>
    <w:rsid w:val="00D430C3"/>
    <w:rsid w:val="00D43243"/>
    <w:rsid w:val="00D43247"/>
    <w:rsid w:val="00D43254"/>
    <w:rsid w:val="00D432C7"/>
    <w:rsid w:val="00D43351"/>
    <w:rsid w:val="00D434ED"/>
    <w:rsid w:val="00D4361A"/>
    <w:rsid w:val="00D438B0"/>
    <w:rsid w:val="00D438D8"/>
    <w:rsid w:val="00D43AD8"/>
    <w:rsid w:val="00D43B92"/>
    <w:rsid w:val="00D43CBB"/>
    <w:rsid w:val="00D43DB0"/>
    <w:rsid w:val="00D43F47"/>
    <w:rsid w:val="00D441D9"/>
    <w:rsid w:val="00D4426C"/>
    <w:rsid w:val="00D443CA"/>
    <w:rsid w:val="00D444A9"/>
    <w:rsid w:val="00D444E3"/>
    <w:rsid w:val="00D44506"/>
    <w:rsid w:val="00D4476F"/>
    <w:rsid w:val="00D4487E"/>
    <w:rsid w:val="00D44B1B"/>
    <w:rsid w:val="00D44BB1"/>
    <w:rsid w:val="00D44D8C"/>
    <w:rsid w:val="00D44DC4"/>
    <w:rsid w:val="00D44F05"/>
    <w:rsid w:val="00D44F0D"/>
    <w:rsid w:val="00D45131"/>
    <w:rsid w:val="00D451D5"/>
    <w:rsid w:val="00D451ED"/>
    <w:rsid w:val="00D4533C"/>
    <w:rsid w:val="00D453A1"/>
    <w:rsid w:val="00D45993"/>
    <w:rsid w:val="00D45B21"/>
    <w:rsid w:val="00D45D62"/>
    <w:rsid w:val="00D45E74"/>
    <w:rsid w:val="00D45F6E"/>
    <w:rsid w:val="00D45F74"/>
    <w:rsid w:val="00D45FDE"/>
    <w:rsid w:val="00D46032"/>
    <w:rsid w:val="00D4611C"/>
    <w:rsid w:val="00D46207"/>
    <w:rsid w:val="00D462C6"/>
    <w:rsid w:val="00D46315"/>
    <w:rsid w:val="00D46338"/>
    <w:rsid w:val="00D46419"/>
    <w:rsid w:val="00D4641F"/>
    <w:rsid w:val="00D464AB"/>
    <w:rsid w:val="00D4669B"/>
    <w:rsid w:val="00D4674D"/>
    <w:rsid w:val="00D46782"/>
    <w:rsid w:val="00D46934"/>
    <w:rsid w:val="00D46A56"/>
    <w:rsid w:val="00D46AAC"/>
    <w:rsid w:val="00D46B32"/>
    <w:rsid w:val="00D46C47"/>
    <w:rsid w:val="00D46C5B"/>
    <w:rsid w:val="00D46D06"/>
    <w:rsid w:val="00D46F3A"/>
    <w:rsid w:val="00D47023"/>
    <w:rsid w:val="00D4707E"/>
    <w:rsid w:val="00D470C9"/>
    <w:rsid w:val="00D47134"/>
    <w:rsid w:val="00D47171"/>
    <w:rsid w:val="00D471C5"/>
    <w:rsid w:val="00D473EB"/>
    <w:rsid w:val="00D473F6"/>
    <w:rsid w:val="00D47841"/>
    <w:rsid w:val="00D4796B"/>
    <w:rsid w:val="00D47A7B"/>
    <w:rsid w:val="00D47D4B"/>
    <w:rsid w:val="00D47D5C"/>
    <w:rsid w:val="00D500CA"/>
    <w:rsid w:val="00D503D4"/>
    <w:rsid w:val="00D5068A"/>
    <w:rsid w:val="00D50698"/>
    <w:rsid w:val="00D507F2"/>
    <w:rsid w:val="00D50B8E"/>
    <w:rsid w:val="00D50C84"/>
    <w:rsid w:val="00D50DB0"/>
    <w:rsid w:val="00D50E0D"/>
    <w:rsid w:val="00D511E4"/>
    <w:rsid w:val="00D51395"/>
    <w:rsid w:val="00D513DF"/>
    <w:rsid w:val="00D51549"/>
    <w:rsid w:val="00D515A7"/>
    <w:rsid w:val="00D515E1"/>
    <w:rsid w:val="00D5174C"/>
    <w:rsid w:val="00D51A66"/>
    <w:rsid w:val="00D51B0E"/>
    <w:rsid w:val="00D51B40"/>
    <w:rsid w:val="00D51B7C"/>
    <w:rsid w:val="00D51DA9"/>
    <w:rsid w:val="00D51FB5"/>
    <w:rsid w:val="00D51FC1"/>
    <w:rsid w:val="00D52013"/>
    <w:rsid w:val="00D521BB"/>
    <w:rsid w:val="00D522BC"/>
    <w:rsid w:val="00D522EE"/>
    <w:rsid w:val="00D52530"/>
    <w:rsid w:val="00D525D4"/>
    <w:rsid w:val="00D526A6"/>
    <w:rsid w:val="00D527C2"/>
    <w:rsid w:val="00D527FF"/>
    <w:rsid w:val="00D52850"/>
    <w:rsid w:val="00D52950"/>
    <w:rsid w:val="00D52B7E"/>
    <w:rsid w:val="00D52CF7"/>
    <w:rsid w:val="00D53454"/>
    <w:rsid w:val="00D53649"/>
    <w:rsid w:val="00D53826"/>
    <w:rsid w:val="00D538B1"/>
    <w:rsid w:val="00D53BE3"/>
    <w:rsid w:val="00D53CCB"/>
    <w:rsid w:val="00D53DC4"/>
    <w:rsid w:val="00D53F26"/>
    <w:rsid w:val="00D54339"/>
    <w:rsid w:val="00D543C5"/>
    <w:rsid w:val="00D545E2"/>
    <w:rsid w:val="00D548EE"/>
    <w:rsid w:val="00D54A02"/>
    <w:rsid w:val="00D54B19"/>
    <w:rsid w:val="00D54B52"/>
    <w:rsid w:val="00D54B90"/>
    <w:rsid w:val="00D54BCD"/>
    <w:rsid w:val="00D54DCD"/>
    <w:rsid w:val="00D54FAC"/>
    <w:rsid w:val="00D54FF9"/>
    <w:rsid w:val="00D550A0"/>
    <w:rsid w:val="00D55351"/>
    <w:rsid w:val="00D5550D"/>
    <w:rsid w:val="00D556E3"/>
    <w:rsid w:val="00D5590B"/>
    <w:rsid w:val="00D55BC1"/>
    <w:rsid w:val="00D55BF8"/>
    <w:rsid w:val="00D55F49"/>
    <w:rsid w:val="00D55FFF"/>
    <w:rsid w:val="00D5604F"/>
    <w:rsid w:val="00D56104"/>
    <w:rsid w:val="00D561F2"/>
    <w:rsid w:val="00D56674"/>
    <w:rsid w:val="00D566B4"/>
    <w:rsid w:val="00D567F5"/>
    <w:rsid w:val="00D56858"/>
    <w:rsid w:val="00D56A57"/>
    <w:rsid w:val="00D56AA3"/>
    <w:rsid w:val="00D56B84"/>
    <w:rsid w:val="00D56BC9"/>
    <w:rsid w:val="00D56E92"/>
    <w:rsid w:val="00D571BF"/>
    <w:rsid w:val="00D572D9"/>
    <w:rsid w:val="00D574FF"/>
    <w:rsid w:val="00D57687"/>
    <w:rsid w:val="00D57986"/>
    <w:rsid w:val="00D579F6"/>
    <w:rsid w:val="00D57BC7"/>
    <w:rsid w:val="00D57C4E"/>
    <w:rsid w:val="00D57DC0"/>
    <w:rsid w:val="00D60035"/>
    <w:rsid w:val="00D60314"/>
    <w:rsid w:val="00D6043C"/>
    <w:rsid w:val="00D60519"/>
    <w:rsid w:val="00D60609"/>
    <w:rsid w:val="00D6062F"/>
    <w:rsid w:val="00D60755"/>
    <w:rsid w:val="00D60772"/>
    <w:rsid w:val="00D60872"/>
    <w:rsid w:val="00D60A0C"/>
    <w:rsid w:val="00D60A6A"/>
    <w:rsid w:val="00D60A77"/>
    <w:rsid w:val="00D60AE5"/>
    <w:rsid w:val="00D61000"/>
    <w:rsid w:val="00D6103A"/>
    <w:rsid w:val="00D610F8"/>
    <w:rsid w:val="00D6145D"/>
    <w:rsid w:val="00D614CF"/>
    <w:rsid w:val="00D61523"/>
    <w:rsid w:val="00D61784"/>
    <w:rsid w:val="00D617ED"/>
    <w:rsid w:val="00D619E2"/>
    <w:rsid w:val="00D61AD4"/>
    <w:rsid w:val="00D61C6F"/>
    <w:rsid w:val="00D61E24"/>
    <w:rsid w:val="00D622D2"/>
    <w:rsid w:val="00D622EE"/>
    <w:rsid w:val="00D623DE"/>
    <w:rsid w:val="00D62436"/>
    <w:rsid w:val="00D62509"/>
    <w:rsid w:val="00D6256B"/>
    <w:rsid w:val="00D62590"/>
    <w:rsid w:val="00D625A1"/>
    <w:rsid w:val="00D62678"/>
    <w:rsid w:val="00D62795"/>
    <w:rsid w:val="00D6285F"/>
    <w:rsid w:val="00D6292C"/>
    <w:rsid w:val="00D62A1A"/>
    <w:rsid w:val="00D62A7D"/>
    <w:rsid w:val="00D62C4F"/>
    <w:rsid w:val="00D62D7F"/>
    <w:rsid w:val="00D62E0C"/>
    <w:rsid w:val="00D62E3B"/>
    <w:rsid w:val="00D62F82"/>
    <w:rsid w:val="00D63041"/>
    <w:rsid w:val="00D63118"/>
    <w:rsid w:val="00D633D5"/>
    <w:rsid w:val="00D634D6"/>
    <w:rsid w:val="00D6350C"/>
    <w:rsid w:val="00D63578"/>
    <w:rsid w:val="00D6378C"/>
    <w:rsid w:val="00D63808"/>
    <w:rsid w:val="00D63848"/>
    <w:rsid w:val="00D639AB"/>
    <w:rsid w:val="00D639BE"/>
    <w:rsid w:val="00D63AC9"/>
    <w:rsid w:val="00D63BE8"/>
    <w:rsid w:val="00D63CDC"/>
    <w:rsid w:val="00D63DB0"/>
    <w:rsid w:val="00D63F50"/>
    <w:rsid w:val="00D6411E"/>
    <w:rsid w:val="00D6412C"/>
    <w:rsid w:val="00D641E2"/>
    <w:rsid w:val="00D64279"/>
    <w:rsid w:val="00D64365"/>
    <w:rsid w:val="00D6442C"/>
    <w:rsid w:val="00D646A1"/>
    <w:rsid w:val="00D646FF"/>
    <w:rsid w:val="00D647F6"/>
    <w:rsid w:val="00D649C6"/>
    <w:rsid w:val="00D64B88"/>
    <w:rsid w:val="00D64D77"/>
    <w:rsid w:val="00D64E9D"/>
    <w:rsid w:val="00D64F05"/>
    <w:rsid w:val="00D6505B"/>
    <w:rsid w:val="00D65097"/>
    <w:rsid w:val="00D65162"/>
    <w:rsid w:val="00D651AA"/>
    <w:rsid w:val="00D65242"/>
    <w:rsid w:val="00D6547E"/>
    <w:rsid w:val="00D654F8"/>
    <w:rsid w:val="00D65589"/>
    <w:rsid w:val="00D65590"/>
    <w:rsid w:val="00D6590C"/>
    <w:rsid w:val="00D65A34"/>
    <w:rsid w:val="00D65C2C"/>
    <w:rsid w:val="00D65E0B"/>
    <w:rsid w:val="00D66403"/>
    <w:rsid w:val="00D6680B"/>
    <w:rsid w:val="00D66A01"/>
    <w:rsid w:val="00D66AD1"/>
    <w:rsid w:val="00D66AE2"/>
    <w:rsid w:val="00D66C11"/>
    <w:rsid w:val="00D66D9D"/>
    <w:rsid w:val="00D66EC8"/>
    <w:rsid w:val="00D6701E"/>
    <w:rsid w:val="00D67091"/>
    <w:rsid w:val="00D670FF"/>
    <w:rsid w:val="00D671F1"/>
    <w:rsid w:val="00D6724B"/>
    <w:rsid w:val="00D6726A"/>
    <w:rsid w:val="00D676C5"/>
    <w:rsid w:val="00D6772F"/>
    <w:rsid w:val="00D6793D"/>
    <w:rsid w:val="00D679BE"/>
    <w:rsid w:val="00D67C72"/>
    <w:rsid w:val="00D67DCB"/>
    <w:rsid w:val="00D70309"/>
    <w:rsid w:val="00D7061F"/>
    <w:rsid w:val="00D70738"/>
    <w:rsid w:val="00D7080A"/>
    <w:rsid w:val="00D70B38"/>
    <w:rsid w:val="00D70BB0"/>
    <w:rsid w:val="00D70C59"/>
    <w:rsid w:val="00D70DBC"/>
    <w:rsid w:val="00D70F6D"/>
    <w:rsid w:val="00D7105E"/>
    <w:rsid w:val="00D711C8"/>
    <w:rsid w:val="00D71225"/>
    <w:rsid w:val="00D7123A"/>
    <w:rsid w:val="00D71272"/>
    <w:rsid w:val="00D715FE"/>
    <w:rsid w:val="00D71686"/>
    <w:rsid w:val="00D71731"/>
    <w:rsid w:val="00D71738"/>
    <w:rsid w:val="00D7196C"/>
    <w:rsid w:val="00D7197C"/>
    <w:rsid w:val="00D71B15"/>
    <w:rsid w:val="00D71C37"/>
    <w:rsid w:val="00D71C85"/>
    <w:rsid w:val="00D71CF9"/>
    <w:rsid w:val="00D71EC5"/>
    <w:rsid w:val="00D7233B"/>
    <w:rsid w:val="00D72485"/>
    <w:rsid w:val="00D7261D"/>
    <w:rsid w:val="00D72667"/>
    <w:rsid w:val="00D72B4B"/>
    <w:rsid w:val="00D72B57"/>
    <w:rsid w:val="00D72C13"/>
    <w:rsid w:val="00D72F7C"/>
    <w:rsid w:val="00D73069"/>
    <w:rsid w:val="00D73170"/>
    <w:rsid w:val="00D732C7"/>
    <w:rsid w:val="00D733B2"/>
    <w:rsid w:val="00D73426"/>
    <w:rsid w:val="00D7342A"/>
    <w:rsid w:val="00D734A1"/>
    <w:rsid w:val="00D735C2"/>
    <w:rsid w:val="00D735EF"/>
    <w:rsid w:val="00D73708"/>
    <w:rsid w:val="00D73727"/>
    <w:rsid w:val="00D737CA"/>
    <w:rsid w:val="00D73952"/>
    <w:rsid w:val="00D73E4F"/>
    <w:rsid w:val="00D74267"/>
    <w:rsid w:val="00D74481"/>
    <w:rsid w:val="00D7449F"/>
    <w:rsid w:val="00D7455C"/>
    <w:rsid w:val="00D7472B"/>
    <w:rsid w:val="00D74EC1"/>
    <w:rsid w:val="00D75260"/>
    <w:rsid w:val="00D75363"/>
    <w:rsid w:val="00D753AA"/>
    <w:rsid w:val="00D75CD7"/>
    <w:rsid w:val="00D75CE2"/>
    <w:rsid w:val="00D75ECA"/>
    <w:rsid w:val="00D75F6B"/>
    <w:rsid w:val="00D75F95"/>
    <w:rsid w:val="00D763AB"/>
    <w:rsid w:val="00D765D7"/>
    <w:rsid w:val="00D765ED"/>
    <w:rsid w:val="00D765FF"/>
    <w:rsid w:val="00D76814"/>
    <w:rsid w:val="00D7683B"/>
    <w:rsid w:val="00D768CB"/>
    <w:rsid w:val="00D76CAE"/>
    <w:rsid w:val="00D76E41"/>
    <w:rsid w:val="00D76F03"/>
    <w:rsid w:val="00D77181"/>
    <w:rsid w:val="00D776A4"/>
    <w:rsid w:val="00D77BEC"/>
    <w:rsid w:val="00D77BF3"/>
    <w:rsid w:val="00D77C7D"/>
    <w:rsid w:val="00D800B5"/>
    <w:rsid w:val="00D8025D"/>
    <w:rsid w:val="00D80342"/>
    <w:rsid w:val="00D8035B"/>
    <w:rsid w:val="00D803CF"/>
    <w:rsid w:val="00D804E2"/>
    <w:rsid w:val="00D80555"/>
    <w:rsid w:val="00D80581"/>
    <w:rsid w:val="00D80670"/>
    <w:rsid w:val="00D80751"/>
    <w:rsid w:val="00D80C5C"/>
    <w:rsid w:val="00D80D78"/>
    <w:rsid w:val="00D80D8F"/>
    <w:rsid w:val="00D80E92"/>
    <w:rsid w:val="00D80EC1"/>
    <w:rsid w:val="00D8117E"/>
    <w:rsid w:val="00D81188"/>
    <w:rsid w:val="00D8149A"/>
    <w:rsid w:val="00D816EC"/>
    <w:rsid w:val="00D816F1"/>
    <w:rsid w:val="00D8172E"/>
    <w:rsid w:val="00D81882"/>
    <w:rsid w:val="00D81AE1"/>
    <w:rsid w:val="00D81AE8"/>
    <w:rsid w:val="00D81B47"/>
    <w:rsid w:val="00D81C82"/>
    <w:rsid w:val="00D81C84"/>
    <w:rsid w:val="00D81CD6"/>
    <w:rsid w:val="00D81E6D"/>
    <w:rsid w:val="00D81F8D"/>
    <w:rsid w:val="00D81FD5"/>
    <w:rsid w:val="00D82082"/>
    <w:rsid w:val="00D82142"/>
    <w:rsid w:val="00D82147"/>
    <w:rsid w:val="00D821DD"/>
    <w:rsid w:val="00D82264"/>
    <w:rsid w:val="00D82280"/>
    <w:rsid w:val="00D82498"/>
    <w:rsid w:val="00D82703"/>
    <w:rsid w:val="00D82B4E"/>
    <w:rsid w:val="00D82C63"/>
    <w:rsid w:val="00D82CDD"/>
    <w:rsid w:val="00D82CE5"/>
    <w:rsid w:val="00D82E64"/>
    <w:rsid w:val="00D82ECC"/>
    <w:rsid w:val="00D82FF2"/>
    <w:rsid w:val="00D830D0"/>
    <w:rsid w:val="00D83321"/>
    <w:rsid w:val="00D83577"/>
    <w:rsid w:val="00D8383C"/>
    <w:rsid w:val="00D838B7"/>
    <w:rsid w:val="00D8391E"/>
    <w:rsid w:val="00D83997"/>
    <w:rsid w:val="00D839F7"/>
    <w:rsid w:val="00D83AAB"/>
    <w:rsid w:val="00D83C36"/>
    <w:rsid w:val="00D83C57"/>
    <w:rsid w:val="00D83DDB"/>
    <w:rsid w:val="00D83EC7"/>
    <w:rsid w:val="00D84133"/>
    <w:rsid w:val="00D8443E"/>
    <w:rsid w:val="00D8458E"/>
    <w:rsid w:val="00D84654"/>
    <w:rsid w:val="00D84740"/>
    <w:rsid w:val="00D849DB"/>
    <w:rsid w:val="00D84FE6"/>
    <w:rsid w:val="00D851A4"/>
    <w:rsid w:val="00D8526B"/>
    <w:rsid w:val="00D8546E"/>
    <w:rsid w:val="00D854FD"/>
    <w:rsid w:val="00D855CB"/>
    <w:rsid w:val="00D856BC"/>
    <w:rsid w:val="00D856C9"/>
    <w:rsid w:val="00D85B32"/>
    <w:rsid w:val="00D85BEF"/>
    <w:rsid w:val="00D85CA6"/>
    <w:rsid w:val="00D860B2"/>
    <w:rsid w:val="00D86132"/>
    <w:rsid w:val="00D86140"/>
    <w:rsid w:val="00D86179"/>
    <w:rsid w:val="00D86218"/>
    <w:rsid w:val="00D8630E"/>
    <w:rsid w:val="00D8635A"/>
    <w:rsid w:val="00D8670C"/>
    <w:rsid w:val="00D86711"/>
    <w:rsid w:val="00D86718"/>
    <w:rsid w:val="00D86733"/>
    <w:rsid w:val="00D8679E"/>
    <w:rsid w:val="00D868A4"/>
    <w:rsid w:val="00D868D4"/>
    <w:rsid w:val="00D86973"/>
    <w:rsid w:val="00D869C0"/>
    <w:rsid w:val="00D86CAD"/>
    <w:rsid w:val="00D87300"/>
    <w:rsid w:val="00D87396"/>
    <w:rsid w:val="00D8744C"/>
    <w:rsid w:val="00D874CD"/>
    <w:rsid w:val="00D875DA"/>
    <w:rsid w:val="00D8761C"/>
    <w:rsid w:val="00D87769"/>
    <w:rsid w:val="00D8791B"/>
    <w:rsid w:val="00D87CC1"/>
    <w:rsid w:val="00D87DC4"/>
    <w:rsid w:val="00D87DDF"/>
    <w:rsid w:val="00D87E0E"/>
    <w:rsid w:val="00D87EFC"/>
    <w:rsid w:val="00D90097"/>
    <w:rsid w:val="00D90162"/>
    <w:rsid w:val="00D901A0"/>
    <w:rsid w:val="00D9023B"/>
    <w:rsid w:val="00D90427"/>
    <w:rsid w:val="00D9081E"/>
    <w:rsid w:val="00D90933"/>
    <w:rsid w:val="00D90BE6"/>
    <w:rsid w:val="00D90D3D"/>
    <w:rsid w:val="00D90EB2"/>
    <w:rsid w:val="00D910F9"/>
    <w:rsid w:val="00D911DB"/>
    <w:rsid w:val="00D9175E"/>
    <w:rsid w:val="00D918E8"/>
    <w:rsid w:val="00D91B03"/>
    <w:rsid w:val="00D91D45"/>
    <w:rsid w:val="00D91D58"/>
    <w:rsid w:val="00D92028"/>
    <w:rsid w:val="00D9203C"/>
    <w:rsid w:val="00D920E6"/>
    <w:rsid w:val="00D928F1"/>
    <w:rsid w:val="00D92CD3"/>
    <w:rsid w:val="00D92D7D"/>
    <w:rsid w:val="00D92F61"/>
    <w:rsid w:val="00D93184"/>
    <w:rsid w:val="00D93272"/>
    <w:rsid w:val="00D932A4"/>
    <w:rsid w:val="00D93760"/>
    <w:rsid w:val="00D93BED"/>
    <w:rsid w:val="00D93C0F"/>
    <w:rsid w:val="00D93DA8"/>
    <w:rsid w:val="00D93E13"/>
    <w:rsid w:val="00D9418F"/>
    <w:rsid w:val="00D9459A"/>
    <w:rsid w:val="00D945C5"/>
    <w:rsid w:val="00D94662"/>
    <w:rsid w:val="00D946CF"/>
    <w:rsid w:val="00D946DA"/>
    <w:rsid w:val="00D949F3"/>
    <w:rsid w:val="00D94B30"/>
    <w:rsid w:val="00D94C2E"/>
    <w:rsid w:val="00D94CCC"/>
    <w:rsid w:val="00D94CF6"/>
    <w:rsid w:val="00D94FA3"/>
    <w:rsid w:val="00D95214"/>
    <w:rsid w:val="00D954D7"/>
    <w:rsid w:val="00D9550B"/>
    <w:rsid w:val="00D9554B"/>
    <w:rsid w:val="00D9576C"/>
    <w:rsid w:val="00D95993"/>
    <w:rsid w:val="00D959D4"/>
    <w:rsid w:val="00D95B9D"/>
    <w:rsid w:val="00D95BDE"/>
    <w:rsid w:val="00D95C9B"/>
    <w:rsid w:val="00D95D5F"/>
    <w:rsid w:val="00D96223"/>
    <w:rsid w:val="00D9644C"/>
    <w:rsid w:val="00D9647A"/>
    <w:rsid w:val="00D964FB"/>
    <w:rsid w:val="00D964FC"/>
    <w:rsid w:val="00D968A3"/>
    <w:rsid w:val="00D9690E"/>
    <w:rsid w:val="00D9693F"/>
    <w:rsid w:val="00D96B13"/>
    <w:rsid w:val="00D97015"/>
    <w:rsid w:val="00D970A7"/>
    <w:rsid w:val="00D97492"/>
    <w:rsid w:val="00D974E2"/>
    <w:rsid w:val="00D9750E"/>
    <w:rsid w:val="00D97547"/>
    <w:rsid w:val="00D975F4"/>
    <w:rsid w:val="00D97648"/>
    <w:rsid w:val="00D97A54"/>
    <w:rsid w:val="00D97B91"/>
    <w:rsid w:val="00D97E2A"/>
    <w:rsid w:val="00D97F77"/>
    <w:rsid w:val="00D97F82"/>
    <w:rsid w:val="00DA008D"/>
    <w:rsid w:val="00DA025C"/>
    <w:rsid w:val="00DA031B"/>
    <w:rsid w:val="00DA032E"/>
    <w:rsid w:val="00DA0576"/>
    <w:rsid w:val="00DA0814"/>
    <w:rsid w:val="00DA08CF"/>
    <w:rsid w:val="00DA0945"/>
    <w:rsid w:val="00DA0AD6"/>
    <w:rsid w:val="00DA0BB8"/>
    <w:rsid w:val="00DA0D04"/>
    <w:rsid w:val="00DA0D08"/>
    <w:rsid w:val="00DA0EE0"/>
    <w:rsid w:val="00DA0F14"/>
    <w:rsid w:val="00DA1081"/>
    <w:rsid w:val="00DA11E3"/>
    <w:rsid w:val="00DA15E9"/>
    <w:rsid w:val="00DA1709"/>
    <w:rsid w:val="00DA1819"/>
    <w:rsid w:val="00DA192E"/>
    <w:rsid w:val="00DA197C"/>
    <w:rsid w:val="00DA19D7"/>
    <w:rsid w:val="00DA1C71"/>
    <w:rsid w:val="00DA1D57"/>
    <w:rsid w:val="00DA1ED8"/>
    <w:rsid w:val="00DA1F0E"/>
    <w:rsid w:val="00DA2037"/>
    <w:rsid w:val="00DA22CB"/>
    <w:rsid w:val="00DA2383"/>
    <w:rsid w:val="00DA23D5"/>
    <w:rsid w:val="00DA240F"/>
    <w:rsid w:val="00DA288B"/>
    <w:rsid w:val="00DA2A11"/>
    <w:rsid w:val="00DA2A23"/>
    <w:rsid w:val="00DA2A77"/>
    <w:rsid w:val="00DA2C04"/>
    <w:rsid w:val="00DA2C5F"/>
    <w:rsid w:val="00DA2CD3"/>
    <w:rsid w:val="00DA2D92"/>
    <w:rsid w:val="00DA2DC8"/>
    <w:rsid w:val="00DA2FD0"/>
    <w:rsid w:val="00DA301F"/>
    <w:rsid w:val="00DA3326"/>
    <w:rsid w:val="00DA3358"/>
    <w:rsid w:val="00DA37C2"/>
    <w:rsid w:val="00DA3AB9"/>
    <w:rsid w:val="00DA3B94"/>
    <w:rsid w:val="00DA3E1D"/>
    <w:rsid w:val="00DA3F0B"/>
    <w:rsid w:val="00DA4156"/>
    <w:rsid w:val="00DA41A8"/>
    <w:rsid w:val="00DA42CD"/>
    <w:rsid w:val="00DA447D"/>
    <w:rsid w:val="00DA44B1"/>
    <w:rsid w:val="00DA4B02"/>
    <w:rsid w:val="00DA4B10"/>
    <w:rsid w:val="00DA4E04"/>
    <w:rsid w:val="00DA5258"/>
    <w:rsid w:val="00DA52A1"/>
    <w:rsid w:val="00DA52CE"/>
    <w:rsid w:val="00DA5837"/>
    <w:rsid w:val="00DA5874"/>
    <w:rsid w:val="00DA597B"/>
    <w:rsid w:val="00DA59E0"/>
    <w:rsid w:val="00DA5A2B"/>
    <w:rsid w:val="00DA5A56"/>
    <w:rsid w:val="00DA5BC0"/>
    <w:rsid w:val="00DA5D67"/>
    <w:rsid w:val="00DA5E85"/>
    <w:rsid w:val="00DA600D"/>
    <w:rsid w:val="00DA60E8"/>
    <w:rsid w:val="00DA617F"/>
    <w:rsid w:val="00DA630E"/>
    <w:rsid w:val="00DA63EB"/>
    <w:rsid w:val="00DA6432"/>
    <w:rsid w:val="00DA6CEC"/>
    <w:rsid w:val="00DA7322"/>
    <w:rsid w:val="00DA7422"/>
    <w:rsid w:val="00DA7636"/>
    <w:rsid w:val="00DA798B"/>
    <w:rsid w:val="00DA7A97"/>
    <w:rsid w:val="00DA7CBB"/>
    <w:rsid w:val="00DA7E3E"/>
    <w:rsid w:val="00DA7E6E"/>
    <w:rsid w:val="00DA7FEC"/>
    <w:rsid w:val="00DB002E"/>
    <w:rsid w:val="00DB00B0"/>
    <w:rsid w:val="00DB03AB"/>
    <w:rsid w:val="00DB0491"/>
    <w:rsid w:val="00DB04A4"/>
    <w:rsid w:val="00DB06A1"/>
    <w:rsid w:val="00DB0723"/>
    <w:rsid w:val="00DB07FD"/>
    <w:rsid w:val="00DB0832"/>
    <w:rsid w:val="00DB08A1"/>
    <w:rsid w:val="00DB0904"/>
    <w:rsid w:val="00DB099B"/>
    <w:rsid w:val="00DB0C6E"/>
    <w:rsid w:val="00DB0D22"/>
    <w:rsid w:val="00DB10F0"/>
    <w:rsid w:val="00DB1443"/>
    <w:rsid w:val="00DB15C8"/>
    <w:rsid w:val="00DB1799"/>
    <w:rsid w:val="00DB1A56"/>
    <w:rsid w:val="00DB1BB3"/>
    <w:rsid w:val="00DB1CF4"/>
    <w:rsid w:val="00DB1DE7"/>
    <w:rsid w:val="00DB1EC6"/>
    <w:rsid w:val="00DB1F52"/>
    <w:rsid w:val="00DB1F69"/>
    <w:rsid w:val="00DB22B0"/>
    <w:rsid w:val="00DB22C4"/>
    <w:rsid w:val="00DB23AC"/>
    <w:rsid w:val="00DB23C5"/>
    <w:rsid w:val="00DB23F4"/>
    <w:rsid w:val="00DB25E7"/>
    <w:rsid w:val="00DB2777"/>
    <w:rsid w:val="00DB27C0"/>
    <w:rsid w:val="00DB27EA"/>
    <w:rsid w:val="00DB2BAD"/>
    <w:rsid w:val="00DB2CCB"/>
    <w:rsid w:val="00DB2D68"/>
    <w:rsid w:val="00DB30F3"/>
    <w:rsid w:val="00DB32B0"/>
    <w:rsid w:val="00DB34B7"/>
    <w:rsid w:val="00DB34D1"/>
    <w:rsid w:val="00DB3595"/>
    <w:rsid w:val="00DB35B6"/>
    <w:rsid w:val="00DB3686"/>
    <w:rsid w:val="00DB387D"/>
    <w:rsid w:val="00DB3D3A"/>
    <w:rsid w:val="00DB3DC4"/>
    <w:rsid w:val="00DB401C"/>
    <w:rsid w:val="00DB403A"/>
    <w:rsid w:val="00DB4285"/>
    <w:rsid w:val="00DB42A1"/>
    <w:rsid w:val="00DB4368"/>
    <w:rsid w:val="00DB4584"/>
    <w:rsid w:val="00DB4785"/>
    <w:rsid w:val="00DB47E1"/>
    <w:rsid w:val="00DB47F5"/>
    <w:rsid w:val="00DB4A01"/>
    <w:rsid w:val="00DB4B2F"/>
    <w:rsid w:val="00DB4B50"/>
    <w:rsid w:val="00DB509B"/>
    <w:rsid w:val="00DB5458"/>
    <w:rsid w:val="00DB55C0"/>
    <w:rsid w:val="00DB59CD"/>
    <w:rsid w:val="00DB5CCE"/>
    <w:rsid w:val="00DB5DD2"/>
    <w:rsid w:val="00DB5E54"/>
    <w:rsid w:val="00DB5FC6"/>
    <w:rsid w:val="00DB6283"/>
    <w:rsid w:val="00DB6308"/>
    <w:rsid w:val="00DB6493"/>
    <w:rsid w:val="00DB6524"/>
    <w:rsid w:val="00DB656D"/>
    <w:rsid w:val="00DB67CE"/>
    <w:rsid w:val="00DB68A9"/>
    <w:rsid w:val="00DB69D1"/>
    <w:rsid w:val="00DB6C01"/>
    <w:rsid w:val="00DB6E89"/>
    <w:rsid w:val="00DB6ED1"/>
    <w:rsid w:val="00DB6F31"/>
    <w:rsid w:val="00DB714E"/>
    <w:rsid w:val="00DB73CD"/>
    <w:rsid w:val="00DB73F8"/>
    <w:rsid w:val="00DB73FE"/>
    <w:rsid w:val="00DB74DC"/>
    <w:rsid w:val="00DB74E8"/>
    <w:rsid w:val="00DB7656"/>
    <w:rsid w:val="00DB78E6"/>
    <w:rsid w:val="00DB79A3"/>
    <w:rsid w:val="00DB7AC9"/>
    <w:rsid w:val="00DB7C97"/>
    <w:rsid w:val="00DB7D15"/>
    <w:rsid w:val="00DB7EE2"/>
    <w:rsid w:val="00DC00D4"/>
    <w:rsid w:val="00DC0128"/>
    <w:rsid w:val="00DC01AA"/>
    <w:rsid w:val="00DC01BD"/>
    <w:rsid w:val="00DC0530"/>
    <w:rsid w:val="00DC07E4"/>
    <w:rsid w:val="00DC0949"/>
    <w:rsid w:val="00DC0F1A"/>
    <w:rsid w:val="00DC1281"/>
    <w:rsid w:val="00DC12DB"/>
    <w:rsid w:val="00DC180B"/>
    <w:rsid w:val="00DC189D"/>
    <w:rsid w:val="00DC1C1A"/>
    <w:rsid w:val="00DC1D0D"/>
    <w:rsid w:val="00DC1F16"/>
    <w:rsid w:val="00DC2048"/>
    <w:rsid w:val="00DC21F2"/>
    <w:rsid w:val="00DC23AB"/>
    <w:rsid w:val="00DC2565"/>
    <w:rsid w:val="00DC256B"/>
    <w:rsid w:val="00DC2735"/>
    <w:rsid w:val="00DC288A"/>
    <w:rsid w:val="00DC294D"/>
    <w:rsid w:val="00DC2A97"/>
    <w:rsid w:val="00DC2AE2"/>
    <w:rsid w:val="00DC2BB9"/>
    <w:rsid w:val="00DC2C36"/>
    <w:rsid w:val="00DC2C8D"/>
    <w:rsid w:val="00DC2CF2"/>
    <w:rsid w:val="00DC2CF3"/>
    <w:rsid w:val="00DC2D5C"/>
    <w:rsid w:val="00DC2E95"/>
    <w:rsid w:val="00DC2F01"/>
    <w:rsid w:val="00DC2F33"/>
    <w:rsid w:val="00DC2F69"/>
    <w:rsid w:val="00DC2FBA"/>
    <w:rsid w:val="00DC316D"/>
    <w:rsid w:val="00DC32CD"/>
    <w:rsid w:val="00DC3681"/>
    <w:rsid w:val="00DC38A6"/>
    <w:rsid w:val="00DC3A5B"/>
    <w:rsid w:val="00DC3C60"/>
    <w:rsid w:val="00DC3DD5"/>
    <w:rsid w:val="00DC3EAC"/>
    <w:rsid w:val="00DC40F6"/>
    <w:rsid w:val="00DC41AD"/>
    <w:rsid w:val="00DC41CE"/>
    <w:rsid w:val="00DC41E6"/>
    <w:rsid w:val="00DC424E"/>
    <w:rsid w:val="00DC4311"/>
    <w:rsid w:val="00DC4497"/>
    <w:rsid w:val="00DC44C8"/>
    <w:rsid w:val="00DC457E"/>
    <w:rsid w:val="00DC461A"/>
    <w:rsid w:val="00DC469F"/>
    <w:rsid w:val="00DC4759"/>
    <w:rsid w:val="00DC4877"/>
    <w:rsid w:val="00DC4932"/>
    <w:rsid w:val="00DC4B46"/>
    <w:rsid w:val="00DC4DC2"/>
    <w:rsid w:val="00DC4E39"/>
    <w:rsid w:val="00DC4E47"/>
    <w:rsid w:val="00DC4F52"/>
    <w:rsid w:val="00DC5097"/>
    <w:rsid w:val="00DC512C"/>
    <w:rsid w:val="00DC5138"/>
    <w:rsid w:val="00DC51F5"/>
    <w:rsid w:val="00DC549A"/>
    <w:rsid w:val="00DC54AB"/>
    <w:rsid w:val="00DC5510"/>
    <w:rsid w:val="00DC55F2"/>
    <w:rsid w:val="00DC587A"/>
    <w:rsid w:val="00DC598B"/>
    <w:rsid w:val="00DC5B75"/>
    <w:rsid w:val="00DC5C63"/>
    <w:rsid w:val="00DC5CD3"/>
    <w:rsid w:val="00DC5D3B"/>
    <w:rsid w:val="00DC5E58"/>
    <w:rsid w:val="00DC5E96"/>
    <w:rsid w:val="00DC5F26"/>
    <w:rsid w:val="00DC60BD"/>
    <w:rsid w:val="00DC6245"/>
    <w:rsid w:val="00DC6285"/>
    <w:rsid w:val="00DC660D"/>
    <w:rsid w:val="00DC67B3"/>
    <w:rsid w:val="00DC693F"/>
    <w:rsid w:val="00DC6FCE"/>
    <w:rsid w:val="00DC7310"/>
    <w:rsid w:val="00DC73D3"/>
    <w:rsid w:val="00DC740D"/>
    <w:rsid w:val="00DC757A"/>
    <w:rsid w:val="00DC75D6"/>
    <w:rsid w:val="00DC7B5E"/>
    <w:rsid w:val="00DC7BA1"/>
    <w:rsid w:val="00DC7C8F"/>
    <w:rsid w:val="00DC7CB6"/>
    <w:rsid w:val="00DC7D14"/>
    <w:rsid w:val="00DC7F48"/>
    <w:rsid w:val="00DD007F"/>
    <w:rsid w:val="00DD008A"/>
    <w:rsid w:val="00DD00EB"/>
    <w:rsid w:val="00DD0277"/>
    <w:rsid w:val="00DD03E5"/>
    <w:rsid w:val="00DD0457"/>
    <w:rsid w:val="00DD052B"/>
    <w:rsid w:val="00DD056B"/>
    <w:rsid w:val="00DD0606"/>
    <w:rsid w:val="00DD0776"/>
    <w:rsid w:val="00DD0811"/>
    <w:rsid w:val="00DD081A"/>
    <w:rsid w:val="00DD097A"/>
    <w:rsid w:val="00DD0B14"/>
    <w:rsid w:val="00DD1102"/>
    <w:rsid w:val="00DD1627"/>
    <w:rsid w:val="00DD1A75"/>
    <w:rsid w:val="00DD1B5F"/>
    <w:rsid w:val="00DD1FED"/>
    <w:rsid w:val="00DD20BD"/>
    <w:rsid w:val="00DD21A6"/>
    <w:rsid w:val="00DD2255"/>
    <w:rsid w:val="00DD2498"/>
    <w:rsid w:val="00DD25D6"/>
    <w:rsid w:val="00DD25E6"/>
    <w:rsid w:val="00DD2630"/>
    <w:rsid w:val="00DD2681"/>
    <w:rsid w:val="00DD276F"/>
    <w:rsid w:val="00DD2898"/>
    <w:rsid w:val="00DD28ED"/>
    <w:rsid w:val="00DD2A14"/>
    <w:rsid w:val="00DD2CBB"/>
    <w:rsid w:val="00DD2D16"/>
    <w:rsid w:val="00DD31DA"/>
    <w:rsid w:val="00DD3324"/>
    <w:rsid w:val="00DD33EE"/>
    <w:rsid w:val="00DD3541"/>
    <w:rsid w:val="00DD3579"/>
    <w:rsid w:val="00DD35D4"/>
    <w:rsid w:val="00DD37DE"/>
    <w:rsid w:val="00DD3AB6"/>
    <w:rsid w:val="00DD3ACB"/>
    <w:rsid w:val="00DD3BD5"/>
    <w:rsid w:val="00DD3DC0"/>
    <w:rsid w:val="00DD3EE3"/>
    <w:rsid w:val="00DD3F57"/>
    <w:rsid w:val="00DD43BC"/>
    <w:rsid w:val="00DD4481"/>
    <w:rsid w:val="00DD453B"/>
    <w:rsid w:val="00DD47DA"/>
    <w:rsid w:val="00DD48F6"/>
    <w:rsid w:val="00DD4B3A"/>
    <w:rsid w:val="00DD4F68"/>
    <w:rsid w:val="00DD512F"/>
    <w:rsid w:val="00DD5164"/>
    <w:rsid w:val="00DD529F"/>
    <w:rsid w:val="00DD547E"/>
    <w:rsid w:val="00DD5495"/>
    <w:rsid w:val="00DD54A1"/>
    <w:rsid w:val="00DD567F"/>
    <w:rsid w:val="00DD56B5"/>
    <w:rsid w:val="00DD58C3"/>
    <w:rsid w:val="00DD58CB"/>
    <w:rsid w:val="00DD597C"/>
    <w:rsid w:val="00DD5A30"/>
    <w:rsid w:val="00DD5C81"/>
    <w:rsid w:val="00DD5F70"/>
    <w:rsid w:val="00DD6154"/>
    <w:rsid w:val="00DD62DC"/>
    <w:rsid w:val="00DD62ED"/>
    <w:rsid w:val="00DD6370"/>
    <w:rsid w:val="00DD638C"/>
    <w:rsid w:val="00DD65D4"/>
    <w:rsid w:val="00DD65FD"/>
    <w:rsid w:val="00DD663C"/>
    <w:rsid w:val="00DD688E"/>
    <w:rsid w:val="00DD68D3"/>
    <w:rsid w:val="00DD6931"/>
    <w:rsid w:val="00DD6F4C"/>
    <w:rsid w:val="00DD6FC4"/>
    <w:rsid w:val="00DD7616"/>
    <w:rsid w:val="00DD76DD"/>
    <w:rsid w:val="00DD7E19"/>
    <w:rsid w:val="00DE02A9"/>
    <w:rsid w:val="00DE0840"/>
    <w:rsid w:val="00DE0905"/>
    <w:rsid w:val="00DE0ABA"/>
    <w:rsid w:val="00DE0CB2"/>
    <w:rsid w:val="00DE0D26"/>
    <w:rsid w:val="00DE0E0F"/>
    <w:rsid w:val="00DE102B"/>
    <w:rsid w:val="00DE10E7"/>
    <w:rsid w:val="00DE1112"/>
    <w:rsid w:val="00DE117B"/>
    <w:rsid w:val="00DE1378"/>
    <w:rsid w:val="00DE1495"/>
    <w:rsid w:val="00DE149F"/>
    <w:rsid w:val="00DE14A2"/>
    <w:rsid w:val="00DE161F"/>
    <w:rsid w:val="00DE19B4"/>
    <w:rsid w:val="00DE1B1A"/>
    <w:rsid w:val="00DE1DBA"/>
    <w:rsid w:val="00DE1F17"/>
    <w:rsid w:val="00DE2009"/>
    <w:rsid w:val="00DE2053"/>
    <w:rsid w:val="00DE215F"/>
    <w:rsid w:val="00DE219F"/>
    <w:rsid w:val="00DE22EE"/>
    <w:rsid w:val="00DE2306"/>
    <w:rsid w:val="00DE2377"/>
    <w:rsid w:val="00DE251D"/>
    <w:rsid w:val="00DE259B"/>
    <w:rsid w:val="00DE262D"/>
    <w:rsid w:val="00DE2748"/>
    <w:rsid w:val="00DE298A"/>
    <w:rsid w:val="00DE2BDA"/>
    <w:rsid w:val="00DE2CBE"/>
    <w:rsid w:val="00DE2D27"/>
    <w:rsid w:val="00DE2D7D"/>
    <w:rsid w:val="00DE2FDA"/>
    <w:rsid w:val="00DE326F"/>
    <w:rsid w:val="00DE3333"/>
    <w:rsid w:val="00DE3682"/>
    <w:rsid w:val="00DE3873"/>
    <w:rsid w:val="00DE3A1A"/>
    <w:rsid w:val="00DE3B9D"/>
    <w:rsid w:val="00DE3C30"/>
    <w:rsid w:val="00DE3C53"/>
    <w:rsid w:val="00DE3CAF"/>
    <w:rsid w:val="00DE3CCF"/>
    <w:rsid w:val="00DE3CE2"/>
    <w:rsid w:val="00DE3D1A"/>
    <w:rsid w:val="00DE404C"/>
    <w:rsid w:val="00DE409C"/>
    <w:rsid w:val="00DE485B"/>
    <w:rsid w:val="00DE4DD5"/>
    <w:rsid w:val="00DE4FA8"/>
    <w:rsid w:val="00DE4FC1"/>
    <w:rsid w:val="00DE4FD5"/>
    <w:rsid w:val="00DE512C"/>
    <w:rsid w:val="00DE52F9"/>
    <w:rsid w:val="00DE54F9"/>
    <w:rsid w:val="00DE58DB"/>
    <w:rsid w:val="00DE5AE8"/>
    <w:rsid w:val="00DE5D3F"/>
    <w:rsid w:val="00DE5D62"/>
    <w:rsid w:val="00DE61C8"/>
    <w:rsid w:val="00DE6217"/>
    <w:rsid w:val="00DE62AC"/>
    <w:rsid w:val="00DE63B9"/>
    <w:rsid w:val="00DE65EA"/>
    <w:rsid w:val="00DE6639"/>
    <w:rsid w:val="00DE6789"/>
    <w:rsid w:val="00DE6B1A"/>
    <w:rsid w:val="00DE6C7B"/>
    <w:rsid w:val="00DE6D77"/>
    <w:rsid w:val="00DE6EB1"/>
    <w:rsid w:val="00DE7065"/>
    <w:rsid w:val="00DE70CE"/>
    <w:rsid w:val="00DE712C"/>
    <w:rsid w:val="00DE767B"/>
    <w:rsid w:val="00DE7798"/>
    <w:rsid w:val="00DE77A2"/>
    <w:rsid w:val="00DE7940"/>
    <w:rsid w:val="00DE797E"/>
    <w:rsid w:val="00DE7A72"/>
    <w:rsid w:val="00DE7C60"/>
    <w:rsid w:val="00DE7D24"/>
    <w:rsid w:val="00DE7D5C"/>
    <w:rsid w:val="00DF0064"/>
    <w:rsid w:val="00DF00F7"/>
    <w:rsid w:val="00DF01F3"/>
    <w:rsid w:val="00DF0305"/>
    <w:rsid w:val="00DF0345"/>
    <w:rsid w:val="00DF0506"/>
    <w:rsid w:val="00DF0518"/>
    <w:rsid w:val="00DF070E"/>
    <w:rsid w:val="00DF0904"/>
    <w:rsid w:val="00DF0972"/>
    <w:rsid w:val="00DF0C63"/>
    <w:rsid w:val="00DF0D4C"/>
    <w:rsid w:val="00DF0F11"/>
    <w:rsid w:val="00DF0FB0"/>
    <w:rsid w:val="00DF10E2"/>
    <w:rsid w:val="00DF136F"/>
    <w:rsid w:val="00DF13D4"/>
    <w:rsid w:val="00DF1759"/>
    <w:rsid w:val="00DF17D8"/>
    <w:rsid w:val="00DF1875"/>
    <w:rsid w:val="00DF1984"/>
    <w:rsid w:val="00DF1A7B"/>
    <w:rsid w:val="00DF1C1B"/>
    <w:rsid w:val="00DF1FF6"/>
    <w:rsid w:val="00DF21CA"/>
    <w:rsid w:val="00DF2329"/>
    <w:rsid w:val="00DF254C"/>
    <w:rsid w:val="00DF258A"/>
    <w:rsid w:val="00DF2656"/>
    <w:rsid w:val="00DF2A54"/>
    <w:rsid w:val="00DF2ACA"/>
    <w:rsid w:val="00DF2CC6"/>
    <w:rsid w:val="00DF2F7F"/>
    <w:rsid w:val="00DF317A"/>
    <w:rsid w:val="00DF326A"/>
    <w:rsid w:val="00DF3420"/>
    <w:rsid w:val="00DF37D9"/>
    <w:rsid w:val="00DF3AE9"/>
    <w:rsid w:val="00DF3B1E"/>
    <w:rsid w:val="00DF3BBE"/>
    <w:rsid w:val="00DF3C44"/>
    <w:rsid w:val="00DF3DC3"/>
    <w:rsid w:val="00DF3F69"/>
    <w:rsid w:val="00DF3F8B"/>
    <w:rsid w:val="00DF3FBB"/>
    <w:rsid w:val="00DF3FCD"/>
    <w:rsid w:val="00DF43B5"/>
    <w:rsid w:val="00DF446E"/>
    <w:rsid w:val="00DF45D9"/>
    <w:rsid w:val="00DF46A1"/>
    <w:rsid w:val="00DF4720"/>
    <w:rsid w:val="00DF47DA"/>
    <w:rsid w:val="00DF48DD"/>
    <w:rsid w:val="00DF49BB"/>
    <w:rsid w:val="00DF4AC3"/>
    <w:rsid w:val="00DF4AE8"/>
    <w:rsid w:val="00DF4BEF"/>
    <w:rsid w:val="00DF4FF2"/>
    <w:rsid w:val="00DF4FF8"/>
    <w:rsid w:val="00DF525D"/>
    <w:rsid w:val="00DF5286"/>
    <w:rsid w:val="00DF533F"/>
    <w:rsid w:val="00DF53BC"/>
    <w:rsid w:val="00DF56C6"/>
    <w:rsid w:val="00DF5863"/>
    <w:rsid w:val="00DF5913"/>
    <w:rsid w:val="00DF5BCF"/>
    <w:rsid w:val="00DF5C06"/>
    <w:rsid w:val="00DF5C36"/>
    <w:rsid w:val="00DF5C55"/>
    <w:rsid w:val="00DF5D2D"/>
    <w:rsid w:val="00DF61B4"/>
    <w:rsid w:val="00DF6383"/>
    <w:rsid w:val="00DF65A1"/>
    <w:rsid w:val="00DF66A7"/>
    <w:rsid w:val="00DF6718"/>
    <w:rsid w:val="00DF67C2"/>
    <w:rsid w:val="00DF6845"/>
    <w:rsid w:val="00DF6998"/>
    <w:rsid w:val="00DF7015"/>
    <w:rsid w:val="00DF70BB"/>
    <w:rsid w:val="00DF7274"/>
    <w:rsid w:val="00DF7318"/>
    <w:rsid w:val="00DF7427"/>
    <w:rsid w:val="00DF7547"/>
    <w:rsid w:val="00DF765C"/>
    <w:rsid w:val="00DF77C8"/>
    <w:rsid w:val="00DF780D"/>
    <w:rsid w:val="00DF7A79"/>
    <w:rsid w:val="00DF7BE8"/>
    <w:rsid w:val="00DF7CCC"/>
    <w:rsid w:val="00DF7DBB"/>
    <w:rsid w:val="00DF7E4D"/>
    <w:rsid w:val="00DF7F02"/>
    <w:rsid w:val="00E000CA"/>
    <w:rsid w:val="00E0024F"/>
    <w:rsid w:val="00E0050A"/>
    <w:rsid w:val="00E0078E"/>
    <w:rsid w:val="00E00969"/>
    <w:rsid w:val="00E00C6B"/>
    <w:rsid w:val="00E00E69"/>
    <w:rsid w:val="00E00F05"/>
    <w:rsid w:val="00E01404"/>
    <w:rsid w:val="00E0145B"/>
    <w:rsid w:val="00E016F7"/>
    <w:rsid w:val="00E0172C"/>
    <w:rsid w:val="00E01859"/>
    <w:rsid w:val="00E018B5"/>
    <w:rsid w:val="00E018F5"/>
    <w:rsid w:val="00E019C5"/>
    <w:rsid w:val="00E01A40"/>
    <w:rsid w:val="00E01B62"/>
    <w:rsid w:val="00E01C3E"/>
    <w:rsid w:val="00E01D4B"/>
    <w:rsid w:val="00E01F60"/>
    <w:rsid w:val="00E0202A"/>
    <w:rsid w:val="00E02233"/>
    <w:rsid w:val="00E022A5"/>
    <w:rsid w:val="00E02327"/>
    <w:rsid w:val="00E0238A"/>
    <w:rsid w:val="00E02397"/>
    <w:rsid w:val="00E023AA"/>
    <w:rsid w:val="00E02557"/>
    <w:rsid w:val="00E02605"/>
    <w:rsid w:val="00E0261F"/>
    <w:rsid w:val="00E026D3"/>
    <w:rsid w:val="00E02745"/>
    <w:rsid w:val="00E027BD"/>
    <w:rsid w:val="00E02906"/>
    <w:rsid w:val="00E029F6"/>
    <w:rsid w:val="00E02AC2"/>
    <w:rsid w:val="00E02C44"/>
    <w:rsid w:val="00E033EA"/>
    <w:rsid w:val="00E03472"/>
    <w:rsid w:val="00E03527"/>
    <w:rsid w:val="00E0361B"/>
    <w:rsid w:val="00E03691"/>
    <w:rsid w:val="00E036C4"/>
    <w:rsid w:val="00E03821"/>
    <w:rsid w:val="00E03975"/>
    <w:rsid w:val="00E039BE"/>
    <w:rsid w:val="00E03D3E"/>
    <w:rsid w:val="00E03DE9"/>
    <w:rsid w:val="00E03FC7"/>
    <w:rsid w:val="00E04025"/>
    <w:rsid w:val="00E04043"/>
    <w:rsid w:val="00E04070"/>
    <w:rsid w:val="00E04547"/>
    <w:rsid w:val="00E04701"/>
    <w:rsid w:val="00E0471B"/>
    <w:rsid w:val="00E04752"/>
    <w:rsid w:val="00E047BB"/>
    <w:rsid w:val="00E047ED"/>
    <w:rsid w:val="00E048FE"/>
    <w:rsid w:val="00E04A4A"/>
    <w:rsid w:val="00E04B18"/>
    <w:rsid w:val="00E04BE9"/>
    <w:rsid w:val="00E04E70"/>
    <w:rsid w:val="00E04F11"/>
    <w:rsid w:val="00E04F59"/>
    <w:rsid w:val="00E04FAF"/>
    <w:rsid w:val="00E052E9"/>
    <w:rsid w:val="00E05619"/>
    <w:rsid w:val="00E05933"/>
    <w:rsid w:val="00E05A96"/>
    <w:rsid w:val="00E05AD4"/>
    <w:rsid w:val="00E05C6D"/>
    <w:rsid w:val="00E05DB3"/>
    <w:rsid w:val="00E05E89"/>
    <w:rsid w:val="00E060DC"/>
    <w:rsid w:val="00E0637E"/>
    <w:rsid w:val="00E0650E"/>
    <w:rsid w:val="00E0655E"/>
    <w:rsid w:val="00E065BE"/>
    <w:rsid w:val="00E067BC"/>
    <w:rsid w:val="00E06F31"/>
    <w:rsid w:val="00E06F4A"/>
    <w:rsid w:val="00E070E6"/>
    <w:rsid w:val="00E07107"/>
    <w:rsid w:val="00E07206"/>
    <w:rsid w:val="00E072FB"/>
    <w:rsid w:val="00E0775F"/>
    <w:rsid w:val="00E077D0"/>
    <w:rsid w:val="00E07882"/>
    <w:rsid w:val="00E0789C"/>
    <w:rsid w:val="00E0789E"/>
    <w:rsid w:val="00E07A4E"/>
    <w:rsid w:val="00E07B28"/>
    <w:rsid w:val="00E07CFD"/>
    <w:rsid w:val="00E07D30"/>
    <w:rsid w:val="00E07E26"/>
    <w:rsid w:val="00E07E6E"/>
    <w:rsid w:val="00E07FFA"/>
    <w:rsid w:val="00E10029"/>
    <w:rsid w:val="00E1003F"/>
    <w:rsid w:val="00E1004D"/>
    <w:rsid w:val="00E10165"/>
    <w:rsid w:val="00E102E7"/>
    <w:rsid w:val="00E10326"/>
    <w:rsid w:val="00E1034E"/>
    <w:rsid w:val="00E10389"/>
    <w:rsid w:val="00E10658"/>
    <w:rsid w:val="00E106FF"/>
    <w:rsid w:val="00E10876"/>
    <w:rsid w:val="00E108D8"/>
    <w:rsid w:val="00E10FC7"/>
    <w:rsid w:val="00E1104C"/>
    <w:rsid w:val="00E11315"/>
    <w:rsid w:val="00E1142C"/>
    <w:rsid w:val="00E11782"/>
    <w:rsid w:val="00E117F2"/>
    <w:rsid w:val="00E11A9B"/>
    <w:rsid w:val="00E11BB8"/>
    <w:rsid w:val="00E11DFF"/>
    <w:rsid w:val="00E11EA1"/>
    <w:rsid w:val="00E1208D"/>
    <w:rsid w:val="00E12099"/>
    <w:rsid w:val="00E1212C"/>
    <w:rsid w:val="00E122BA"/>
    <w:rsid w:val="00E124CD"/>
    <w:rsid w:val="00E124CF"/>
    <w:rsid w:val="00E127BE"/>
    <w:rsid w:val="00E1284F"/>
    <w:rsid w:val="00E1295E"/>
    <w:rsid w:val="00E12B78"/>
    <w:rsid w:val="00E12B96"/>
    <w:rsid w:val="00E12C86"/>
    <w:rsid w:val="00E12F57"/>
    <w:rsid w:val="00E12FA2"/>
    <w:rsid w:val="00E13021"/>
    <w:rsid w:val="00E13322"/>
    <w:rsid w:val="00E1364C"/>
    <w:rsid w:val="00E13781"/>
    <w:rsid w:val="00E137FF"/>
    <w:rsid w:val="00E138E3"/>
    <w:rsid w:val="00E138F3"/>
    <w:rsid w:val="00E139A2"/>
    <w:rsid w:val="00E13C42"/>
    <w:rsid w:val="00E13C85"/>
    <w:rsid w:val="00E13CFD"/>
    <w:rsid w:val="00E13D9E"/>
    <w:rsid w:val="00E13F2E"/>
    <w:rsid w:val="00E140BA"/>
    <w:rsid w:val="00E14290"/>
    <w:rsid w:val="00E145F3"/>
    <w:rsid w:val="00E145FF"/>
    <w:rsid w:val="00E146D6"/>
    <w:rsid w:val="00E14844"/>
    <w:rsid w:val="00E14889"/>
    <w:rsid w:val="00E148D3"/>
    <w:rsid w:val="00E14947"/>
    <w:rsid w:val="00E1495A"/>
    <w:rsid w:val="00E14B57"/>
    <w:rsid w:val="00E14B73"/>
    <w:rsid w:val="00E14BF8"/>
    <w:rsid w:val="00E14D16"/>
    <w:rsid w:val="00E14D9D"/>
    <w:rsid w:val="00E15143"/>
    <w:rsid w:val="00E1533B"/>
    <w:rsid w:val="00E1556F"/>
    <w:rsid w:val="00E159CE"/>
    <w:rsid w:val="00E15AA5"/>
    <w:rsid w:val="00E15C3C"/>
    <w:rsid w:val="00E15DBB"/>
    <w:rsid w:val="00E15DE5"/>
    <w:rsid w:val="00E15F85"/>
    <w:rsid w:val="00E16204"/>
    <w:rsid w:val="00E16211"/>
    <w:rsid w:val="00E162A1"/>
    <w:rsid w:val="00E164AE"/>
    <w:rsid w:val="00E16584"/>
    <w:rsid w:val="00E1676F"/>
    <w:rsid w:val="00E168DD"/>
    <w:rsid w:val="00E16934"/>
    <w:rsid w:val="00E16945"/>
    <w:rsid w:val="00E16A53"/>
    <w:rsid w:val="00E16AEC"/>
    <w:rsid w:val="00E16DFE"/>
    <w:rsid w:val="00E16EFA"/>
    <w:rsid w:val="00E16FFF"/>
    <w:rsid w:val="00E17000"/>
    <w:rsid w:val="00E174B4"/>
    <w:rsid w:val="00E177FB"/>
    <w:rsid w:val="00E179DB"/>
    <w:rsid w:val="00E17A1B"/>
    <w:rsid w:val="00E17CA5"/>
    <w:rsid w:val="00E17FE5"/>
    <w:rsid w:val="00E20591"/>
    <w:rsid w:val="00E20723"/>
    <w:rsid w:val="00E20860"/>
    <w:rsid w:val="00E20867"/>
    <w:rsid w:val="00E20A90"/>
    <w:rsid w:val="00E20B09"/>
    <w:rsid w:val="00E20BE1"/>
    <w:rsid w:val="00E20F6E"/>
    <w:rsid w:val="00E2104C"/>
    <w:rsid w:val="00E21104"/>
    <w:rsid w:val="00E21144"/>
    <w:rsid w:val="00E2114A"/>
    <w:rsid w:val="00E21165"/>
    <w:rsid w:val="00E211DF"/>
    <w:rsid w:val="00E21299"/>
    <w:rsid w:val="00E212A0"/>
    <w:rsid w:val="00E2161E"/>
    <w:rsid w:val="00E216CE"/>
    <w:rsid w:val="00E219FF"/>
    <w:rsid w:val="00E21AB8"/>
    <w:rsid w:val="00E21EC1"/>
    <w:rsid w:val="00E22100"/>
    <w:rsid w:val="00E2234A"/>
    <w:rsid w:val="00E2240F"/>
    <w:rsid w:val="00E224A8"/>
    <w:rsid w:val="00E2254B"/>
    <w:rsid w:val="00E22690"/>
    <w:rsid w:val="00E226BB"/>
    <w:rsid w:val="00E22BBC"/>
    <w:rsid w:val="00E23161"/>
    <w:rsid w:val="00E231B8"/>
    <w:rsid w:val="00E2322F"/>
    <w:rsid w:val="00E23240"/>
    <w:rsid w:val="00E23372"/>
    <w:rsid w:val="00E23379"/>
    <w:rsid w:val="00E233DF"/>
    <w:rsid w:val="00E23419"/>
    <w:rsid w:val="00E23444"/>
    <w:rsid w:val="00E236A4"/>
    <w:rsid w:val="00E2386A"/>
    <w:rsid w:val="00E2389F"/>
    <w:rsid w:val="00E238CC"/>
    <w:rsid w:val="00E23991"/>
    <w:rsid w:val="00E23A8E"/>
    <w:rsid w:val="00E23B33"/>
    <w:rsid w:val="00E23D35"/>
    <w:rsid w:val="00E23E25"/>
    <w:rsid w:val="00E23E8B"/>
    <w:rsid w:val="00E23EF1"/>
    <w:rsid w:val="00E23EFD"/>
    <w:rsid w:val="00E23FC9"/>
    <w:rsid w:val="00E2429A"/>
    <w:rsid w:val="00E2434C"/>
    <w:rsid w:val="00E2435F"/>
    <w:rsid w:val="00E24373"/>
    <w:rsid w:val="00E24799"/>
    <w:rsid w:val="00E2485C"/>
    <w:rsid w:val="00E248F4"/>
    <w:rsid w:val="00E2495F"/>
    <w:rsid w:val="00E249BC"/>
    <w:rsid w:val="00E249C6"/>
    <w:rsid w:val="00E24ADC"/>
    <w:rsid w:val="00E24BB4"/>
    <w:rsid w:val="00E24C4B"/>
    <w:rsid w:val="00E24C8B"/>
    <w:rsid w:val="00E24DEF"/>
    <w:rsid w:val="00E24E8E"/>
    <w:rsid w:val="00E24F8F"/>
    <w:rsid w:val="00E24FA5"/>
    <w:rsid w:val="00E2504E"/>
    <w:rsid w:val="00E251A8"/>
    <w:rsid w:val="00E253B4"/>
    <w:rsid w:val="00E2546D"/>
    <w:rsid w:val="00E256D2"/>
    <w:rsid w:val="00E257BD"/>
    <w:rsid w:val="00E259A8"/>
    <w:rsid w:val="00E25A81"/>
    <w:rsid w:val="00E25ABD"/>
    <w:rsid w:val="00E25B71"/>
    <w:rsid w:val="00E25BD9"/>
    <w:rsid w:val="00E25C7A"/>
    <w:rsid w:val="00E25D41"/>
    <w:rsid w:val="00E2602C"/>
    <w:rsid w:val="00E26117"/>
    <w:rsid w:val="00E26148"/>
    <w:rsid w:val="00E26201"/>
    <w:rsid w:val="00E26210"/>
    <w:rsid w:val="00E2661E"/>
    <w:rsid w:val="00E26C43"/>
    <w:rsid w:val="00E26DFA"/>
    <w:rsid w:val="00E26F76"/>
    <w:rsid w:val="00E272D6"/>
    <w:rsid w:val="00E27707"/>
    <w:rsid w:val="00E2771D"/>
    <w:rsid w:val="00E27742"/>
    <w:rsid w:val="00E277AE"/>
    <w:rsid w:val="00E278A4"/>
    <w:rsid w:val="00E2798F"/>
    <w:rsid w:val="00E27B57"/>
    <w:rsid w:val="00E27BBF"/>
    <w:rsid w:val="00E27BFA"/>
    <w:rsid w:val="00E27D66"/>
    <w:rsid w:val="00E27F58"/>
    <w:rsid w:val="00E301CB"/>
    <w:rsid w:val="00E302BD"/>
    <w:rsid w:val="00E3056D"/>
    <w:rsid w:val="00E3059C"/>
    <w:rsid w:val="00E30654"/>
    <w:rsid w:val="00E30A8C"/>
    <w:rsid w:val="00E30B3D"/>
    <w:rsid w:val="00E30B94"/>
    <w:rsid w:val="00E30C38"/>
    <w:rsid w:val="00E30CC7"/>
    <w:rsid w:val="00E30E3D"/>
    <w:rsid w:val="00E30F2A"/>
    <w:rsid w:val="00E30F6F"/>
    <w:rsid w:val="00E30F98"/>
    <w:rsid w:val="00E30FB4"/>
    <w:rsid w:val="00E30FCE"/>
    <w:rsid w:val="00E311B2"/>
    <w:rsid w:val="00E3121B"/>
    <w:rsid w:val="00E312A8"/>
    <w:rsid w:val="00E31530"/>
    <w:rsid w:val="00E31560"/>
    <w:rsid w:val="00E315B5"/>
    <w:rsid w:val="00E315C8"/>
    <w:rsid w:val="00E3166B"/>
    <w:rsid w:val="00E318C7"/>
    <w:rsid w:val="00E31906"/>
    <w:rsid w:val="00E31942"/>
    <w:rsid w:val="00E31943"/>
    <w:rsid w:val="00E31B11"/>
    <w:rsid w:val="00E31BC8"/>
    <w:rsid w:val="00E31D25"/>
    <w:rsid w:val="00E31E67"/>
    <w:rsid w:val="00E31FE6"/>
    <w:rsid w:val="00E32150"/>
    <w:rsid w:val="00E325E0"/>
    <w:rsid w:val="00E325F3"/>
    <w:rsid w:val="00E327C0"/>
    <w:rsid w:val="00E328E1"/>
    <w:rsid w:val="00E329A6"/>
    <w:rsid w:val="00E32A80"/>
    <w:rsid w:val="00E32AC0"/>
    <w:rsid w:val="00E32CD5"/>
    <w:rsid w:val="00E32EFF"/>
    <w:rsid w:val="00E33185"/>
    <w:rsid w:val="00E33350"/>
    <w:rsid w:val="00E33527"/>
    <w:rsid w:val="00E33549"/>
    <w:rsid w:val="00E33695"/>
    <w:rsid w:val="00E338D1"/>
    <w:rsid w:val="00E33AAF"/>
    <w:rsid w:val="00E33B3C"/>
    <w:rsid w:val="00E33ED4"/>
    <w:rsid w:val="00E33FF9"/>
    <w:rsid w:val="00E34216"/>
    <w:rsid w:val="00E346AD"/>
    <w:rsid w:val="00E3487B"/>
    <w:rsid w:val="00E34A49"/>
    <w:rsid w:val="00E34ABD"/>
    <w:rsid w:val="00E34AEB"/>
    <w:rsid w:val="00E34AF7"/>
    <w:rsid w:val="00E34B44"/>
    <w:rsid w:val="00E34D74"/>
    <w:rsid w:val="00E34EA5"/>
    <w:rsid w:val="00E35029"/>
    <w:rsid w:val="00E3509E"/>
    <w:rsid w:val="00E351C4"/>
    <w:rsid w:val="00E351D4"/>
    <w:rsid w:val="00E35320"/>
    <w:rsid w:val="00E35481"/>
    <w:rsid w:val="00E3570F"/>
    <w:rsid w:val="00E357A5"/>
    <w:rsid w:val="00E357DF"/>
    <w:rsid w:val="00E359EB"/>
    <w:rsid w:val="00E35CE1"/>
    <w:rsid w:val="00E35DD0"/>
    <w:rsid w:val="00E35DFA"/>
    <w:rsid w:val="00E35F58"/>
    <w:rsid w:val="00E35F95"/>
    <w:rsid w:val="00E36018"/>
    <w:rsid w:val="00E36033"/>
    <w:rsid w:val="00E361A2"/>
    <w:rsid w:val="00E36276"/>
    <w:rsid w:val="00E362DC"/>
    <w:rsid w:val="00E36681"/>
    <w:rsid w:val="00E3674C"/>
    <w:rsid w:val="00E3689A"/>
    <w:rsid w:val="00E368BC"/>
    <w:rsid w:val="00E36A67"/>
    <w:rsid w:val="00E36A96"/>
    <w:rsid w:val="00E36AE9"/>
    <w:rsid w:val="00E36B08"/>
    <w:rsid w:val="00E36B22"/>
    <w:rsid w:val="00E36BDA"/>
    <w:rsid w:val="00E36C7B"/>
    <w:rsid w:val="00E370AC"/>
    <w:rsid w:val="00E37104"/>
    <w:rsid w:val="00E371E2"/>
    <w:rsid w:val="00E372D5"/>
    <w:rsid w:val="00E372D9"/>
    <w:rsid w:val="00E3739A"/>
    <w:rsid w:val="00E373DA"/>
    <w:rsid w:val="00E375A8"/>
    <w:rsid w:val="00E37698"/>
    <w:rsid w:val="00E37763"/>
    <w:rsid w:val="00E37809"/>
    <w:rsid w:val="00E378D6"/>
    <w:rsid w:val="00E37912"/>
    <w:rsid w:val="00E37C2D"/>
    <w:rsid w:val="00E37E84"/>
    <w:rsid w:val="00E400F5"/>
    <w:rsid w:val="00E40313"/>
    <w:rsid w:val="00E40369"/>
    <w:rsid w:val="00E40382"/>
    <w:rsid w:val="00E403E2"/>
    <w:rsid w:val="00E40551"/>
    <w:rsid w:val="00E405D7"/>
    <w:rsid w:val="00E4065C"/>
    <w:rsid w:val="00E409DD"/>
    <w:rsid w:val="00E40CFF"/>
    <w:rsid w:val="00E40F39"/>
    <w:rsid w:val="00E40F3B"/>
    <w:rsid w:val="00E41061"/>
    <w:rsid w:val="00E41286"/>
    <w:rsid w:val="00E415A6"/>
    <w:rsid w:val="00E415B5"/>
    <w:rsid w:val="00E41645"/>
    <w:rsid w:val="00E41C4E"/>
    <w:rsid w:val="00E41FB8"/>
    <w:rsid w:val="00E420F6"/>
    <w:rsid w:val="00E4224F"/>
    <w:rsid w:val="00E422A7"/>
    <w:rsid w:val="00E42374"/>
    <w:rsid w:val="00E4241E"/>
    <w:rsid w:val="00E42450"/>
    <w:rsid w:val="00E4248B"/>
    <w:rsid w:val="00E42602"/>
    <w:rsid w:val="00E42617"/>
    <w:rsid w:val="00E428D6"/>
    <w:rsid w:val="00E42941"/>
    <w:rsid w:val="00E429D3"/>
    <w:rsid w:val="00E42A27"/>
    <w:rsid w:val="00E42CDE"/>
    <w:rsid w:val="00E42D41"/>
    <w:rsid w:val="00E42DFE"/>
    <w:rsid w:val="00E42EB4"/>
    <w:rsid w:val="00E42FFA"/>
    <w:rsid w:val="00E43061"/>
    <w:rsid w:val="00E43088"/>
    <w:rsid w:val="00E4351C"/>
    <w:rsid w:val="00E435DE"/>
    <w:rsid w:val="00E437E1"/>
    <w:rsid w:val="00E439C2"/>
    <w:rsid w:val="00E43AE2"/>
    <w:rsid w:val="00E43AE4"/>
    <w:rsid w:val="00E43AE7"/>
    <w:rsid w:val="00E43B83"/>
    <w:rsid w:val="00E43F75"/>
    <w:rsid w:val="00E43FC1"/>
    <w:rsid w:val="00E44312"/>
    <w:rsid w:val="00E44398"/>
    <w:rsid w:val="00E44456"/>
    <w:rsid w:val="00E44609"/>
    <w:rsid w:val="00E44625"/>
    <w:rsid w:val="00E44656"/>
    <w:rsid w:val="00E447F6"/>
    <w:rsid w:val="00E44872"/>
    <w:rsid w:val="00E448CB"/>
    <w:rsid w:val="00E44962"/>
    <w:rsid w:val="00E44B06"/>
    <w:rsid w:val="00E44BD6"/>
    <w:rsid w:val="00E44BF2"/>
    <w:rsid w:val="00E44D3B"/>
    <w:rsid w:val="00E44F90"/>
    <w:rsid w:val="00E4520C"/>
    <w:rsid w:val="00E45369"/>
    <w:rsid w:val="00E4553B"/>
    <w:rsid w:val="00E45606"/>
    <w:rsid w:val="00E456CC"/>
    <w:rsid w:val="00E45A17"/>
    <w:rsid w:val="00E45BF4"/>
    <w:rsid w:val="00E45C72"/>
    <w:rsid w:val="00E45CAD"/>
    <w:rsid w:val="00E45D5E"/>
    <w:rsid w:val="00E4629F"/>
    <w:rsid w:val="00E46688"/>
    <w:rsid w:val="00E4678A"/>
    <w:rsid w:val="00E468A1"/>
    <w:rsid w:val="00E468F8"/>
    <w:rsid w:val="00E46BB9"/>
    <w:rsid w:val="00E46D34"/>
    <w:rsid w:val="00E46F90"/>
    <w:rsid w:val="00E470D6"/>
    <w:rsid w:val="00E470E1"/>
    <w:rsid w:val="00E4710A"/>
    <w:rsid w:val="00E471A7"/>
    <w:rsid w:val="00E472D8"/>
    <w:rsid w:val="00E47391"/>
    <w:rsid w:val="00E4768C"/>
    <w:rsid w:val="00E476FF"/>
    <w:rsid w:val="00E477D3"/>
    <w:rsid w:val="00E477D6"/>
    <w:rsid w:val="00E47C54"/>
    <w:rsid w:val="00E47DF4"/>
    <w:rsid w:val="00E5021F"/>
    <w:rsid w:val="00E50308"/>
    <w:rsid w:val="00E5037B"/>
    <w:rsid w:val="00E503CB"/>
    <w:rsid w:val="00E504B1"/>
    <w:rsid w:val="00E50A72"/>
    <w:rsid w:val="00E50AFA"/>
    <w:rsid w:val="00E50B53"/>
    <w:rsid w:val="00E50C5D"/>
    <w:rsid w:val="00E50CA7"/>
    <w:rsid w:val="00E50F99"/>
    <w:rsid w:val="00E5108B"/>
    <w:rsid w:val="00E5130E"/>
    <w:rsid w:val="00E51429"/>
    <w:rsid w:val="00E51471"/>
    <w:rsid w:val="00E5148A"/>
    <w:rsid w:val="00E515F7"/>
    <w:rsid w:val="00E51EA1"/>
    <w:rsid w:val="00E51F38"/>
    <w:rsid w:val="00E5239C"/>
    <w:rsid w:val="00E523BF"/>
    <w:rsid w:val="00E524B8"/>
    <w:rsid w:val="00E52573"/>
    <w:rsid w:val="00E52A57"/>
    <w:rsid w:val="00E52D8B"/>
    <w:rsid w:val="00E52F3C"/>
    <w:rsid w:val="00E53024"/>
    <w:rsid w:val="00E53030"/>
    <w:rsid w:val="00E530A9"/>
    <w:rsid w:val="00E531EC"/>
    <w:rsid w:val="00E53400"/>
    <w:rsid w:val="00E53509"/>
    <w:rsid w:val="00E53529"/>
    <w:rsid w:val="00E5354A"/>
    <w:rsid w:val="00E53577"/>
    <w:rsid w:val="00E53744"/>
    <w:rsid w:val="00E537E9"/>
    <w:rsid w:val="00E5382D"/>
    <w:rsid w:val="00E53929"/>
    <w:rsid w:val="00E53997"/>
    <w:rsid w:val="00E539D6"/>
    <w:rsid w:val="00E53B64"/>
    <w:rsid w:val="00E53C71"/>
    <w:rsid w:val="00E53D24"/>
    <w:rsid w:val="00E53E47"/>
    <w:rsid w:val="00E53EDA"/>
    <w:rsid w:val="00E53F87"/>
    <w:rsid w:val="00E53FC7"/>
    <w:rsid w:val="00E54268"/>
    <w:rsid w:val="00E542B2"/>
    <w:rsid w:val="00E5446E"/>
    <w:rsid w:val="00E5480F"/>
    <w:rsid w:val="00E549F0"/>
    <w:rsid w:val="00E54A4D"/>
    <w:rsid w:val="00E54AC1"/>
    <w:rsid w:val="00E54ACA"/>
    <w:rsid w:val="00E54B8B"/>
    <w:rsid w:val="00E54CA1"/>
    <w:rsid w:val="00E54D0D"/>
    <w:rsid w:val="00E54E1B"/>
    <w:rsid w:val="00E5509E"/>
    <w:rsid w:val="00E55190"/>
    <w:rsid w:val="00E551D9"/>
    <w:rsid w:val="00E551DC"/>
    <w:rsid w:val="00E55470"/>
    <w:rsid w:val="00E55522"/>
    <w:rsid w:val="00E555D1"/>
    <w:rsid w:val="00E555D7"/>
    <w:rsid w:val="00E556C4"/>
    <w:rsid w:val="00E556D8"/>
    <w:rsid w:val="00E556DE"/>
    <w:rsid w:val="00E55701"/>
    <w:rsid w:val="00E5580C"/>
    <w:rsid w:val="00E558E5"/>
    <w:rsid w:val="00E55A0C"/>
    <w:rsid w:val="00E55ACB"/>
    <w:rsid w:val="00E55B11"/>
    <w:rsid w:val="00E55BA9"/>
    <w:rsid w:val="00E55CBF"/>
    <w:rsid w:val="00E55F0B"/>
    <w:rsid w:val="00E5671C"/>
    <w:rsid w:val="00E56858"/>
    <w:rsid w:val="00E569F8"/>
    <w:rsid w:val="00E56AFF"/>
    <w:rsid w:val="00E56E0B"/>
    <w:rsid w:val="00E56E65"/>
    <w:rsid w:val="00E56EA6"/>
    <w:rsid w:val="00E570D3"/>
    <w:rsid w:val="00E57177"/>
    <w:rsid w:val="00E57367"/>
    <w:rsid w:val="00E574F8"/>
    <w:rsid w:val="00E5783F"/>
    <w:rsid w:val="00E57935"/>
    <w:rsid w:val="00E57AA1"/>
    <w:rsid w:val="00E57C55"/>
    <w:rsid w:val="00E57CBE"/>
    <w:rsid w:val="00E57DE0"/>
    <w:rsid w:val="00E6002E"/>
    <w:rsid w:val="00E6023C"/>
    <w:rsid w:val="00E606CC"/>
    <w:rsid w:val="00E60A7D"/>
    <w:rsid w:val="00E60B61"/>
    <w:rsid w:val="00E60C9A"/>
    <w:rsid w:val="00E60E4E"/>
    <w:rsid w:val="00E60F9A"/>
    <w:rsid w:val="00E60FE2"/>
    <w:rsid w:val="00E61033"/>
    <w:rsid w:val="00E61642"/>
    <w:rsid w:val="00E61778"/>
    <w:rsid w:val="00E617B8"/>
    <w:rsid w:val="00E61ADF"/>
    <w:rsid w:val="00E61AF3"/>
    <w:rsid w:val="00E61CA1"/>
    <w:rsid w:val="00E6201D"/>
    <w:rsid w:val="00E620B0"/>
    <w:rsid w:val="00E62287"/>
    <w:rsid w:val="00E622D6"/>
    <w:rsid w:val="00E62447"/>
    <w:rsid w:val="00E6259C"/>
    <w:rsid w:val="00E626E9"/>
    <w:rsid w:val="00E627F9"/>
    <w:rsid w:val="00E6289D"/>
    <w:rsid w:val="00E6290A"/>
    <w:rsid w:val="00E62971"/>
    <w:rsid w:val="00E62A11"/>
    <w:rsid w:val="00E62C57"/>
    <w:rsid w:val="00E62C75"/>
    <w:rsid w:val="00E62C99"/>
    <w:rsid w:val="00E62D9E"/>
    <w:rsid w:val="00E62F72"/>
    <w:rsid w:val="00E62FEB"/>
    <w:rsid w:val="00E63134"/>
    <w:rsid w:val="00E63217"/>
    <w:rsid w:val="00E6322D"/>
    <w:rsid w:val="00E63476"/>
    <w:rsid w:val="00E63587"/>
    <w:rsid w:val="00E63928"/>
    <w:rsid w:val="00E63B2F"/>
    <w:rsid w:val="00E63B5F"/>
    <w:rsid w:val="00E63B62"/>
    <w:rsid w:val="00E64183"/>
    <w:rsid w:val="00E641A3"/>
    <w:rsid w:val="00E64335"/>
    <w:rsid w:val="00E6461F"/>
    <w:rsid w:val="00E646AF"/>
    <w:rsid w:val="00E64865"/>
    <w:rsid w:val="00E64885"/>
    <w:rsid w:val="00E6498E"/>
    <w:rsid w:val="00E64C6B"/>
    <w:rsid w:val="00E64CC6"/>
    <w:rsid w:val="00E64D35"/>
    <w:rsid w:val="00E64D6B"/>
    <w:rsid w:val="00E64EF2"/>
    <w:rsid w:val="00E650FA"/>
    <w:rsid w:val="00E65345"/>
    <w:rsid w:val="00E65839"/>
    <w:rsid w:val="00E65AEE"/>
    <w:rsid w:val="00E65B72"/>
    <w:rsid w:val="00E65CEA"/>
    <w:rsid w:val="00E65E61"/>
    <w:rsid w:val="00E65F3C"/>
    <w:rsid w:val="00E663AE"/>
    <w:rsid w:val="00E6643E"/>
    <w:rsid w:val="00E6647A"/>
    <w:rsid w:val="00E6661F"/>
    <w:rsid w:val="00E668A6"/>
    <w:rsid w:val="00E668BB"/>
    <w:rsid w:val="00E668EE"/>
    <w:rsid w:val="00E66922"/>
    <w:rsid w:val="00E66A19"/>
    <w:rsid w:val="00E66ABD"/>
    <w:rsid w:val="00E66BA8"/>
    <w:rsid w:val="00E66BE5"/>
    <w:rsid w:val="00E66C42"/>
    <w:rsid w:val="00E66F2A"/>
    <w:rsid w:val="00E66FB7"/>
    <w:rsid w:val="00E6701F"/>
    <w:rsid w:val="00E671E4"/>
    <w:rsid w:val="00E672E5"/>
    <w:rsid w:val="00E6735E"/>
    <w:rsid w:val="00E6742E"/>
    <w:rsid w:val="00E67616"/>
    <w:rsid w:val="00E676E5"/>
    <w:rsid w:val="00E6784B"/>
    <w:rsid w:val="00E678D7"/>
    <w:rsid w:val="00E67999"/>
    <w:rsid w:val="00E67BC6"/>
    <w:rsid w:val="00E67D9A"/>
    <w:rsid w:val="00E67DEE"/>
    <w:rsid w:val="00E67FE8"/>
    <w:rsid w:val="00E702D3"/>
    <w:rsid w:val="00E705E3"/>
    <w:rsid w:val="00E7067F"/>
    <w:rsid w:val="00E708AF"/>
    <w:rsid w:val="00E70A76"/>
    <w:rsid w:val="00E70AE7"/>
    <w:rsid w:val="00E70B71"/>
    <w:rsid w:val="00E70E23"/>
    <w:rsid w:val="00E713E2"/>
    <w:rsid w:val="00E71594"/>
    <w:rsid w:val="00E71841"/>
    <w:rsid w:val="00E71977"/>
    <w:rsid w:val="00E71B80"/>
    <w:rsid w:val="00E71E1D"/>
    <w:rsid w:val="00E71E38"/>
    <w:rsid w:val="00E71E51"/>
    <w:rsid w:val="00E71EC4"/>
    <w:rsid w:val="00E72135"/>
    <w:rsid w:val="00E72169"/>
    <w:rsid w:val="00E72244"/>
    <w:rsid w:val="00E72653"/>
    <w:rsid w:val="00E726C4"/>
    <w:rsid w:val="00E72B6C"/>
    <w:rsid w:val="00E72B72"/>
    <w:rsid w:val="00E72C97"/>
    <w:rsid w:val="00E72CC8"/>
    <w:rsid w:val="00E72CE5"/>
    <w:rsid w:val="00E72DF0"/>
    <w:rsid w:val="00E72E0B"/>
    <w:rsid w:val="00E72E2A"/>
    <w:rsid w:val="00E72EE3"/>
    <w:rsid w:val="00E72EFD"/>
    <w:rsid w:val="00E7332F"/>
    <w:rsid w:val="00E734F3"/>
    <w:rsid w:val="00E735FC"/>
    <w:rsid w:val="00E7362D"/>
    <w:rsid w:val="00E7367D"/>
    <w:rsid w:val="00E7369F"/>
    <w:rsid w:val="00E736C7"/>
    <w:rsid w:val="00E737D0"/>
    <w:rsid w:val="00E73881"/>
    <w:rsid w:val="00E738EC"/>
    <w:rsid w:val="00E73A5F"/>
    <w:rsid w:val="00E73A6F"/>
    <w:rsid w:val="00E73C44"/>
    <w:rsid w:val="00E74086"/>
    <w:rsid w:val="00E742CE"/>
    <w:rsid w:val="00E74393"/>
    <w:rsid w:val="00E745AF"/>
    <w:rsid w:val="00E748E3"/>
    <w:rsid w:val="00E74BF3"/>
    <w:rsid w:val="00E74D02"/>
    <w:rsid w:val="00E74EB2"/>
    <w:rsid w:val="00E750A9"/>
    <w:rsid w:val="00E75179"/>
    <w:rsid w:val="00E7539E"/>
    <w:rsid w:val="00E753B8"/>
    <w:rsid w:val="00E753D2"/>
    <w:rsid w:val="00E75903"/>
    <w:rsid w:val="00E75B3D"/>
    <w:rsid w:val="00E75DC5"/>
    <w:rsid w:val="00E76138"/>
    <w:rsid w:val="00E761A8"/>
    <w:rsid w:val="00E7620F"/>
    <w:rsid w:val="00E76276"/>
    <w:rsid w:val="00E76295"/>
    <w:rsid w:val="00E76370"/>
    <w:rsid w:val="00E76393"/>
    <w:rsid w:val="00E76421"/>
    <w:rsid w:val="00E76476"/>
    <w:rsid w:val="00E765EF"/>
    <w:rsid w:val="00E76C94"/>
    <w:rsid w:val="00E76D01"/>
    <w:rsid w:val="00E76FEE"/>
    <w:rsid w:val="00E7701E"/>
    <w:rsid w:val="00E77181"/>
    <w:rsid w:val="00E772DB"/>
    <w:rsid w:val="00E77354"/>
    <w:rsid w:val="00E7756E"/>
    <w:rsid w:val="00E775BE"/>
    <w:rsid w:val="00E77797"/>
    <w:rsid w:val="00E77955"/>
    <w:rsid w:val="00E77ADA"/>
    <w:rsid w:val="00E77B0C"/>
    <w:rsid w:val="00E77C98"/>
    <w:rsid w:val="00E77D7F"/>
    <w:rsid w:val="00E77EFF"/>
    <w:rsid w:val="00E8004E"/>
    <w:rsid w:val="00E80066"/>
    <w:rsid w:val="00E80085"/>
    <w:rsid w:val="00E8036D"/>
    <w:rsid w:val="00E8042C"/>
    <w:rsid w:val="00E804AE"/>
    <w:rsid w:val="00E804E0"/>
    <w:rsid w:val="00E8052F"/>
    <w:rsid w:val="00E8099C"/>
    <w:rsid w:val="00E80C9F"/>
    <w:rsid w:val="00E80CD5"/>
    <w:rsid w:val="00E80E76"/>
    <w:rsid w:val="00E80EA7"/>
    <w:rsid w:val="00E80EC6"/>
    <w:rsid w:val="00E80EE1"/>
    <w:rsid w:val="00E80F00"/>
    <w:rsid w:val="00E81183"/>
    <w:rsid w:val="00E813DD"/>
    <w:rsid w:val="00E81596"/>
    <w:rsid w:val="00E81880"/>
    <w:rsid w:val="00E818EC"/>
    <w:rsid w:val="00E81D0B"/>
    <w:rsid w:val="00E81D96"/>
    <w:rsid w:val="00E81DC5"/>
    <w:rsid w:val="00E81E8F"/>
    <w:rsid w:val="00E81E9D"/>
    <w:rsid w:val="00E81F51"/>
    <w:rsid w:val="00E81F94"/>
    <w:rsid w:val="00E81FEB"/>
    <w:rsid w:val="00E82164"/>
    <w:rsid w:val="00E821C1"/>
    <w:rsid w:val="00E82253"/>
    <w:rsid w:val="00E822FA"/>
    <w:rsid w:val="00E825FD"/>
    <w:rsid w:val="00E827FC"/>
    <w:rsid w:val="00E8297E"/>
    <w:rsid w:val="00E82A79"/>
    <w:rsid w:val="00E82B1C"/>
    <w:rsid w:val="00E82B81"/>
    <w:rsid w:val="00E82B88"/>
    <w:rsid w:val="00E82C21"/>
    <w:rsid w:val="00E82CAE"/>
    <w:rsid w:val="00E82D29"/>
    <w:rsid w:val="00E831F1"/>
    <w:rsid w:val="00E8343A"/>
    <w:rsid w:val="00E83464"/>
    <w:rsid w:val="00E8353A"/>
    <w:rsid w:val="00E8361E"/>
    <w:rsid w:val="00E836E7"/>
    <w:rsid w:val="00E839F3"/>
    <w:rsid w:val="00E83AE7"/>
    <w:rsid w:val="00E83B19"/>
    <w:rsid w:val="00E83B2D"/>
    <w:rsid w:val="00E83C5D"/>
    <w:rsid w:val="00E83F01"/>
    <w:rsid w:val="00E8418D"/>
    <w:rsid w:val="00E841B2"/>
    <w:rsid w:val="00E842B2"/>
    <w:rsid w:val="00E84554"/>
    <w:rsid w:val="00E8459B"/>
    <w:rsid w:val="00E84699"/>
    <w:rsid w:val="00E849AD"/>
    <w:rsid w:val="00E849CF"/>
    <w:rsid w:val="00E84AA0"/>
    <w:rsid w:val="00E84DB6"/>
    <w:rsid w:val="00E853E2"/>
    <w:rsid w:val="00E85412"/>
    <w:rsid w:val="00E85431"/>
    <w:rsid w:val="00E85466"/>
    <w:rsid w:val="00E8560B"/>
    <w:rsid w:val="00E85AE2"/>
    <w:rsid w:val="00E85C04"/>
    <w:rsid w:val="00E85EFF"/>
    <w:rsid w:val="00E85FD2"/>
    <w:rsid w:val="00E85FFD"/>
    <w:rsid w:val="00E8601E"/>
    <w:rsid w:val="00E86288"/>
    <w:rsid w:val="00E86291"/>
    <w:rsid w:val="00E86302"/>
    <w:rsid w:val="00E86306"/>
    <w:rsid w:val="00E86530"/>
    <w:rsid w:val="00E86646"/>
    <w:rsid w:val="00E86735"/>
    <w:rsid w:val="00E86E08"/>
    <w:rsid w:val="00E86F2B"/>
    <w:rsid w:val="00E87151"/>
    <w:rsid w:val="00E871DF"/>
    <w:rsid w:val="00E872F2"/>
    <w:rsid w:val="00E873BC"/>
    <w:rsid w:val="00E87426"/>
    <w:rsid w:val="00E87462"/>
    <w:rsid w:val="00E8759F"/>
    <w:rsid w:val="00E87737"/>
    <w:rsid w:val="00E8786A"/>
    <w:rsid w:val="00E87874"/>
    <w:rsid w:val="00E8799A"/>
    <w:rsid w:val="00E87DB5"/>
    <w:rsid w:val="00E87DBF"/>
    <w:rsid w:val="00E87EA7"/>
    <w:rsid w:val="00E87FAD"/>
    <w:rsid w:val="00E900A5"/>
    <w:rsid w:val="00E901D3"/>
    <w:rsid w:val="00E90269"/>
    <w:rsid w:val="00E90516"/>
    <w:rsid w:val="00E90688"/>
    <w:rsid w:val="00E907B6"/>
    <w:rsid w:val="00E90805"/>
    <w:rsid w:val="00E90AA4"/>
    <w:rsid w:val="00E90AE9"/>
    <w:rsid w:val="00E90C05"/>
    <w:rsid w:val="00E90C55"/>
    <w:rsid w:val="00E90CBC"/>
    <w:rsid w:val="00E90CD2"/>
    <w:rsid w:val="00E90EC8"/>
    <w:rsid w:val="00E90F82"/>
    <w:rsid w:val="00E9114B"/>
    <w:rsid w:val="00E911AD"/>
    <w:rsid w:val="00E911B2"/>
    <w:rsid w:val="00E91240"/>
    <w:rsid w:val="00E9124B"/>
    <w:rsid w:val="00E913FF"/>
    <w:rsid w:val="00E914AF"/>
    <w:rsid w:val="00E915C7"/>
    <w:rsid w:val="00E915E1"/>
    <w:rsid w:val="00E91840"/>
    <w:rsid w:val="00E91A4B"/>
    <w:rsid w:val="00E91A5D"/>
    <w:rsid w:val="00E91A8C"/>
    <w:rsid w:val="00E91AAA"/>
    <w:rsid w:val="00E91E20"/>
    <w:rsid w:val="00E91EF9"/>
    <w:rsid w:val="00E92136"/>
    <w:rsid w:val="00E92144"/>
    <w:rsid w:val="00E92278"/>
    <w:rsid w:val="00E92442"/>
    <w:rsid w:val="00E925B7"/>
    <w:rsid w:val="00E92653"/>
    <w:rsid w:val="00E9270D"/>
    <w:rsid w:val="00E927D6"/>
    <w:rsid w:val="00E9287F"/>
    <w:rsid w:val="00E928DA"/>
    <w:rsid w:val="00E92B64"/>
    <w:rsid w:val="00E92D3F"/>
    <w:rsid w:val="00E92E1F"/>
    <w:rsid w:val="00E92ED2"/>
    <w:rsid w:val="00E931DE"/>
    <w:rsid w:val="00E93545"/>
    <w:rsid w:val="00E9357E"/>
    <w:rsid w:val="00E9361C"/>
    <w:rsid w:val="00E936D3"/>
    <w:rsid w:val="00E938B1"/>
    <w:rsid w:val="00E93927"/>
    <w:rsid w:val="00E93B23"/>
    <w:rsid w:val="00E93C7E"/>
    <w:rsid w:val="00E93E87"/>
    <w:rsid w:val="00E93EF7"/>
    <w:rsid w:val="00E93F05"/>
    <w:rsid w:val="00E943B6"/>
    <w:rsid w:val="00E94440"/>
    <w:rsid w:val="00E946FC"/>
    <w:rsid w:val="00E947EA"/>
    <w:rsid w:val="00E94A10"/>
    <w:rsid w:val="00E951DA"/>
    <w:rsid w:val="00E953B8"/>
    <w:rsid w:val="00E953CF"/>
    <w:rsid w:val="00E953EE"/>
    <w:rsid w:val="00E954C0"/>
    <w:rsid w:val="00E9559D"/>
    <w:rsid w:val="00E9573C"/>
    <w:rsid w:val="00E95758"/>
    <w:rsid w:val="00E9587E"/>
    <w:rsid w:val="00E95947"/>
    <w:rsid w:val="00E95AFE"/>
    <w:rsid w:val="00E95B6C"/>
    <w:rsid w:val="00E95C40"/>
    <w:rsid w:val="00E95D20"/>
    <w:rsid w:val="00E95D98"/>
    <w:rsid w:val="00E95E47"/>
    <w:rsid w:val="00E95EBE"/>
    <w:rsid w:val="00E9620D"/>
    <w:rsid w:val="00E96304"/>
    <w:rsid w:val="00E96358"/>
    <w:rsid w:val="00E96376"/>
    <w:rsid w:val="00E96490"/>
    <w:rsid w:val="00E965D5"/>
    <w:rsid w:val="00E9675D"/>
    <w:rsid w:val="00E967BC"/>
    <w:rsid w:val="00E96855"/>
    <w:rsid w:val="00E96C74"/>
    <w:rsid w:val="00E96D04"/>
    <w:rsid w:val="00E96D0D"/>
    <w:rsid w:val="00E96D5D"/>
    <w:rsid w:val="00E96E95"/>
    <w:rsid w:val="00E96EF9"/>
    <w:rsid w:val="00E97152"/>
    <w:rsid w:val="00E9727F"/>
    <w:rsid w:val="00E97387"/>
    <w:rsid w:val="00E9738F"/>
    <w:rsid w:val="00E9761F"/>
    <w:rsid w:val="00E97741"/>
    <w:rsid w:val="00E97A61"/>
    <w:rsid w:val="00E97AF5"/>
    <w:rsid w:val="00E97BC7"/>
    <w:rsid w:val="00E97C25"/>
    <w:rsid w:val="00E97DF7"/>
    <w:rsid w:val="00E97E46"/>
    <w:rsid w:val="00EA012A"/>
    <w:rsid w:val="00EA02BA"/>
    <w:rsid w:val="00EA0564"/>
    <w:rsid w:val="00EA0620"/>
    <w:rsid w:val="00EA062F"/>
    <w:rsid w:val="00EA0669"/>
    <w:rsid w:val="00EA0860"/>
    <w:rsid w:val="00EA097E"/>
    <w:rsid w:val="00EA0AC5"/>
    <w:rsid w:val="00EA0AC6"/>
    <w:rsid w:val="00EA0B73"/>
    <w:rsid w:val="00EA0C73"/>
    <w:rsid w:val="00EA0D1A"/>
    <w:rsid w:val="00EA0F56"/>
    <w:rsid w:val="00EA1217"/>
    <w:rsid w:val="00EA13A2"/>
    <w:rsid w:val="00EA13B5"/>
    <w:rsid w:val="00EA1645"/>
    <w:rsid w:val="00EA16FF"/>
    <w:rsid w:val="00EA175C"/>
    <w:rsid w:val="00EA1843"/>
    <w:rsid w:val="00EA1872"/>
    <w:rsid w:val="00EA1B48"/>
    <w:rsid w:val="00EA1C3B"/>
    <w:rsid w:val="00EA1E9A"/>
    <w:rsid w:val="00EA1FAE"/>
    <w:rsid w:val="00EA21C0"/>
    <w:rsid w:val="00EA2546"/>
    <w:rsid w:val="00EA2948"/>
    <w:rsid w:val="00EA297E"/>
    <w:rsid w:val="00EA2A08"/>
    <w:rsid w:val="00EA2C22"/>
    <w:rsid w:val="00EA3000"/>
    <w:rsid w:val="00EA3239"/>
    <w:rsid w:val="00EA3378"/>
    <w:rsid w:val="00EA3430"/>
    <w:rsid w:val="00EA3487"/>
    <w:rsid w:val="00EA36D0"/>
    <w:rsid w:val="00EA379C"/>
    <w:rsid w:val="00EA37D7"/>
    <w:rsid w:val="00EA3B3C"/>
    <w:rsid w:val="00EA3C59"/>
    <w:rsid w:val="00EA3C5C"/>
    <w:rsid w:val="00EA3D08"/>
    <w:rsid w:val="00EA3E34"/>
    <w:rsid w:val="00EA3E3C"/>
    <w:rsid w:val="00EA3E9F"/>
    <w:rsid w:val="00EA3FEF"/>
    <w:rsid w:val="00EA465C"/>
    <w:rsid w:val="00EA4720"/>
    <w:rsid w:val="00EA4884"/>
    <w:rsid w:val="00EA4B7D"/>
    <w:rsid w:val="00EA4E45"/>
    <w:rsid w:val="00EA4F7C"/>
    <w:rsid w:val="00EA518E"/>
    <w:rsid w:val="00EA5394"/>
    <w:rsid w:val="00EA5555"/>
    <w:rsid w:val="00EA5744"/>
    <w:rsid w:val="00EA5745"/>
    <w:rsid w:val="00EA5750"/>
    <w:rsid w:val="00EA5B7F"/>
    <w:rsid w:val="00EA5BBE"/>
    <w:rsid w:val="00EA5C02"/>
    <w:rsid w:val="00EA5E38"/>
    <w:rsid w:val="00EA600A"/>
    <w:rsid w:val="00EA604D"/>
    <w:rsid w:val="00EA6165"/>
    <w:rsid w:val="00EA61CF"/>
    <w:rsid w:val="00EA62FF"/>
    <w:rsid w:val="00EA6318"/>
    <w:rsid w:val="00EA650F"/>
    <w:rsid w:val="00EA6A13"/>
    <w:rsid w:val="00EA6B34"/>
    <w:rsid w:val="00EA6CF7"/>
    <w:rsid w:val="00EA6E56"/>
    <w:rsid w:val="00EA6F5B"/>
    <w:rsid w:val="00EA7171"/>
    <w:rsid w:val="00EA727D"/>
    <w:rsid w:val="00EA747F"/>
    <w:rsid w:val="00EA7670"/>
    <w:rsid w:val="00EA777F"/>
    <w:rsid w:val="00EA7952"/>
    <w:rsid w:val="00EA7A9E"/>
    <w:rsid w:val="00EA7AA3"/>
    <w:rsid w:val="00EA7AEB"/>
    <w:rsid w:val="00EA7B85"/>
    <w:rsid w:val="00EA7C8C"/>
    <w:rsid w:val="00EA7DD0"/>
    <w:rsid w:val="00EA7E8C"/>
    <w:rsid w:val="00EA7F34"/>
    <w:rsid w:val="00EB0061"/>
    <w:rsid w:val="00EB00A8"/>
    <w:rsid w:val="00EB02A8"/>
    <w:rsid w:val="00EB045A"/>
    <w:rsid w:val="00EB0810"/>
    <w:rsid w:val="00EB0859"/>
    <w:rsid w:val="00EB0B46"/>
    <w:rsid w:val="00EB0B8D"/>
    <w:rsid w:val="00EB0C7A"/>
    <w:rsid w:val="00EB0C86"/>
    <w:rsid w:val="00EB0D16"/>
    <w:rsid w:val="00EB0D9B"/>
    <w:rsid w:val="00EB0DB9"/>
    <w:rsid w:val="00EB15B1"/>
    <w:rsid w:val="00EB1719"/>
    <w:rsid w:val="00EB18D2"/>
    <w:rsid w:val="00EB18F7"/>
    <w:rsid w:val="00EB1CE2"/>
    <w:rsid w:val="00EB1E0A"/>
    <w:rsid w:val="00EB1E72"/>
    <w:rsid w:val="00EB1F1F"/>
    <w:rsid w:val="00EB1F3F"/>
    <w:rsid w:val="00EB1F4D"/>
    <w:rsid w:val="00EB2303"/>
    <w:rsid w:val="00EB232D"/>
    <w:rsid w:val="00EB260F"/>
    <w:rsid w:val="00EB2698"/>
    <w:rsid w:val="00EB26B5"/>
    <w:rsid w:val="00EB279B"/>
    <w:rsid w:val="00EB2829"/>
    <w:rsid w:val="00EB2950"/>
    <w:rsid w:val="00EB2F10"/>
    <w:rsid w:val="00EB3042"/>
    <w:rsid w:val="00EB31D2"/>
    <w:rsid w:val="00EB3699"/>
    <w:rsid w:val="00EB3927"/>
    <w:rsid w:val="00EB3BB8"/>
    <w:rsid w:val="00EB3FE7"/>
    <w:rsid w:val="00EB40BB"/>
    <w:rsid w:val="00EB4278"/>
    <w:rsid w:val="00EB43A0"/>
    <w:rsid w:val="00EB455A"/>
    <w:rsid w:val="00EB4662"/>
    <w:rsid w:val="00EB4928"/>
    <w:rsid w:val="00EB492E"/>
    <w:rsid w:val="00EB4A16"/>
    <w:rsid w:val="00EB4B37"/>
    <w:rsid w:val="00EB4D18"/>
    <w:rsid w:val="00EB4D4F"/>
    <w:rsid w:val="00EB4EE4"/>
    <w:rsid w:val="00EB518A"/>
    <w:rsid w:val="00EB522D"/>
    <w:rsid w:val="00EB523A"/>
    <w:rsid w:val="00EB52C3"/>
    <w:rsid w:val="00EB5364"/>
    <w:rsid w:val="00EB55A7"/>
    <w:rsid w:val="00EB5801"/>
    <w:rsid w:val="00EB5824"/>
    <w:rsid w:val="00EB5A81"/>
    <w:rsid w:val="00EB5B27"/>
    <w:rsid w:val="00EB5C6E"/>
    <w:rsid w:val="00EB5CA9"/>
    <w:rsid w:val="00EB5CCB"/>
    <w:rsid w:val="00EB5CDB"/>
    <w:rsid w:val="00EB5DBE"/>
    <w:rsid w:val="00EB5F81"/>
    <w:rsid w:val="00EB6104"/>
    <w:rsid w:val="00EB672E"/>
    <w:rsid w:val="00EB674A"/>
    <w:rsid w:val="00EB6750"/>
    <w:rsid w:val="00EB67C0"/>
    <w:rsid w:val="00EB6816"/>
    <w:rsid w:val="00EB682F"/>
    <w:rsid w:val="00EB6894"/>
    <w:rsid w:val="00EB69DE"/>
    <w:rsid w:val="00EB6B1B"/>
    <w:rsid w:val="00EB6D44"/>
    <w:rsid w:val="00EB6DC8"/>
    <w:rsid w:val="00EB6E4F"/>
    <w:rsid w:val="00EB6FB9"/>
    <w:rsid w:val="00EB6FC3"/>
    <w:rsid w:val="00EB708C"/>
    <w:rsid w:val="00EB70C9"/>
    <w:rsid w:val="00EB713F"/>
    <w:rsid w:val="00EB7316"/>
    <w:rsid w:val="00EB7709"/>
    <w:rsid w:val="00EB7732"/>
    <w:rsid w:val="00EB78A5"/>
    <w:rsid w:val="00EB7947"/>
    <w:rsid w:val="00EB7A87"/>
    <w:rsid w:val="00EB7AA1"/>
    <w:rsid w:val="00EB7DD3"/>
    <w:rsid w:val="00EC0021"/>
    <w:rsid w:val="00EC00A8"/>
    <w:rsid w:val="00EC016F"/>
    <w:rsid w:val="00EC03B6"/>
    <w:rsid w:val="00EC049B"/>
    <w:rsid w:val="00EC052E"/>
    <w:rsid w:val="00EC05EB"/>
    <w:rsid w:val="00EC0930"/>
    <w:rsid w:val="00EC0A62"/>
    <w:rsid w:val="00EC0B6C"/>
    <w:rsid w:val="00EC0CF5"/>
    <w:rsid w:val="00EC11AB"/>
    <w:rsid w:val="00EC134F"/>
    <w:rsid w:val="00EC13F6"/>
    <w:rsid w:val="00EC147D"/>
    <w:rsid w:val="00EC14B9"/>
    <w:rsid w:val="00EC14C4"/>
    <w:rsid w:val="00EC16AC"/>
    <w:rsid w:val="00EC17AA"/>
    <w:rsid w:val="00EC1890"/>
    <w:rsid w:val="00EC1998"/>
    <w:rsid w:val="00EC1A71"/>
    <w:rsid w:val="00EC1BD0"/>
    <w:rsid w:val="00EC1D76"/>
    <w:rsid w:val="00EC1DEA"/>
    <w:rsid w:val="00EC204A"/>
    <w:rsid w:val="00EC205D"/>
    <w:rsid w:val="00EC20F8"/>
    <w:rsid w:val="00EC275B"/>
    <w:rsid w:val="00EC2805"/>
    <w:rsid w:val="00EC2ADC"/>
    <w:rsid w:val="00EC2E0F"/>
    <w:rsid w:val="00EC2E54"/>
    <w:rsid w:val="00EC2F56"/>
    <w:rsid w:val="00EC3003"/>
    <w:rsid w:val="00EC30F4"/>
    <w:rsid w:val="00EC3329"/>
    <w:rsid w:val="00EC338F"/>
    <w:rsid w:val="00EC33BD"/>
    <w:rsid w:val="00EC3556"/>
    <w:rsid w:val="00EC3592"/>
    <w:rsid w:val="00EC3607"/>
    <w:rsid w:val="00EC375A"/>
    <w:rsid w:val="00EC398A"/>
    <w:rsid w:val="00EC3A30"/>
    <w:rsid w:val="00EC3C1A"/>
    <w:rsid w:val="00EC3CF4"/>
    <w:rsid w:val="00EC3F38"/>
    <w:rsid w:val="00EC3F3A"/>
    <w:rsid w:val="00EC407D"/>
    <w:rsid w:val="00EC41E0"/>
    <w:rsid w:val="00EC4276"/>
    <w:rsid w:val="00EC448C"/>
    <w:rsid w:val="00EC4619"/>
    <w:rsid w:val="00EC4803"/>
    <w:rsid w:val="00EC4B0B"/>
    <w:rsid w:val="00EC4D71"/>
    <w:rsid w:val="00EC4F35"/>
    <w:rsid w:val="00EC4F49"/>
    <w:rsid w:val="00EC50B7"/>
    <w:rsid w:val="00EC5171"/>
    <w:rsid w:val="00EC522B"/>
    <w:rsid w:val="00EC54ED"/>
    <w:rsid w:val="00EC55E9"/>
    <w:rsid w:val="00EC5829"/>
    <w:rsid w:val="00EC5878"/>
    <w:rsid w:val="00EC5974"/>
    <w:rsid w:val="00EC599A"/>
    <w:rsid w:val="00EC5D0B"/>
    <w:rsid w:val="00EC5E4C"/>
    <w:rsid w:val="00EC5E84"/>
    <w:rsid w:val="00EC5F26"/>
    <w:rsid w:val="00EC6061"/>
    <w:rsid w:val="00EC63E9"/>
    <w:rsid w:val="00EC64BB"/>
    <w:rsid w:val="00EC692C"/>
    <w:rsid w:val="00EC6941"/>
    <w:rsid w:val="00EC6A66"/>
    <w:rsid w:val="00EC6C3B"/>
    <w:rsid w:val="00EC7335"/>
    <w:rsid w:val="00EC757B"/>
    <w:rsid w:val="00EC75F5"/>
    <w:rsid w:val="00EC7A05"/>
    <w:rsid w:val="00EC7D7C"/>
    <w:rsid w:val="00EC7F06"/>
    <w:rsid w:val="00EC7F26"/>
    <w:rsid w:val="00EC7F8D"/>
    <w:rsid w:val="00ED0027"/>
    <w:rsid w:val="00ED0357"/>
    <w:rsid w:val="00ED048B"/>
    <w:rsid w:val="00ED0491"/>
    <w:rsid w:val="00ED04DF"/>
    <w:rsid w:val="00ED05A6"/>
    <w:rsid w:val="00ED067B"/>
    <w:rsid w:val="00ED07D2"/>
    <w:rsid w:val="00ED0CC0"/>
    <w:rsid w:val="00ED1044"/>
    <w:rsid w:val="00ED10DA"/>
    <w:rsid w:val="00ED122C"/>
    <w:rsid w:val="00ED153E"/>
    <w:rsid w:val="00ED15EB"/>
    <w:rsid w:val="00ED163E"/>
    <w:rsid w:val="00ED16E9"/>
    <w:rsid w:val="00ED17C1"/>
    <w:rsid w:val="00ED18E8"/>
    <w:rsid w:val="00ED19BA"/>
    <w:rsid w:val="00ED1B4B"/>
    <w:rsid w:val="00ED1B73"/>
    <w:rsid w:val="00ED1DC7"/>
    <w:rsid w:val="00ED1E2B"/>
    <w:rsid w:val="00ED1E6D"/>
    <w:rsid w:val="00ED2053"/>
    <w:rsid w:val="00ED22EF"/>
    <w:rsid w:val="00ED231A"/>
    <w:rsid w:val="00ED25F1"/>
    <w:rsid w:val="00ED2657"/>
    <w:rsid w:val="00ED2715"/>
    <w:rsid w:val="00ED28CF"/>
    <w:rsid w:val="00ED2A27"/>
    <w:rsid w:val="00ED2B29"/>
    <w:rsid w:val="00ED2C12"/>
    <w:rsid w:val="00ED2C1B"/>
    <w:rsid w:val="00ED3216"/>
    <w:rsid w:val="00ED3217"/>
    <w:rsid w:val="00ED3AC7"/>
    <w:rsid w:val="00ED3C1C"/>
    <w:rsid w:val="00ED3CC8"/>
    <w:rsid w:val="00ED3DE6"/>
    <w:rsid w:val="00ED3E56"/>
    <w:rsid w:val="00ED3EF0"/>
    <w:rsid w:val="00ED3F2A"/>
    <w:rsid w:val="00ED4148"/>
    <w:rsid w:val="00ED419A"/>
    <w:rsid w:val="00ED434C"/>
    <w:rsid w:val="00ED4402"/>
    <w:rsid w:val="00ED45DF"/>
    <w:rsid w:val="00ED4708"/>
    <w:rsid w:val="00ED47E7"/>
    <w:rsid w:val="00ED4821"/>
    <w:rsid w:val="00ED4CEE"/>
    <w:rsid w:val="00ED4D1B"/>
    <w:rsid w:val="00ED4DE6"/>
    <w:rsid w:val="00ED4E47"/>
    <w:rsid w:val="00ED4EB0"/>
    <w:rsid w:val="00ED56D9"/>
    <w:rsid w:val="00ED57D3"/>
    <w:rsid w:val="00ED580F"/>
    <w:rsid w:val="00ED5A2D"/>
    <w:rsid w:val="00ED5C47"/>
    <w:rsid w:val="00ED5DC3"/>
    <w:rsid w:val="00ED5E91"/>
    <w:rsid w:val="00ED6112"/>
    <w:rsid w:val="00ED6196"/>
    <w:rsid w:val="00ED61B0"/>
    <w:rsid w:val="00ED62CE"/>
    <w:rsid w:val="00ED6441"/>
    <w:rsid w:val="00ED648D"/>
    <w:rsid w:val="00ED65BF"/>
    <w:rsid w:val="00ED661D"/>
    <w:rsid w:val="00ED6631"/>
    <w:rsid w:val="00ED67D4"/>
    <w:rsid w:val="00ED6A4B"/>
    <w:rsid w:val="00ED6AC2"/>
    <w:rsid w:val="00ED6C05"/>
    <w:rsid w:val="00ED6F41"/>
    <w:rsid w:val="00ED6F83"/>
    <w:rsid w:val="00ED717E"/>
    <w:rsid w:val="00ED71A5"/>
    <w:rsid w:val="00ED7215"/>
    <w:rsid w:val="00ED7626"/>
    <w:rsid w:val="00ED77E5"/>
    <w:rsid w:val="00ED7931"/>
    <w:rsid w:val="00ED7A0F"/>
    <w:rsid w:val="00ED7A53"/>
    <w:rsid w:val="00ED7AB0"/>
    <w:rsid w:val="00ED7AC6"/>
    <w:rsid w:val="00ED7AFB"/>
    <w:rsid w:val="00ED7CFC"/>
    <w:rsid w:val="00ED7D2F"/>
    <w:rsid w:val="00ED7F60"/>
    <w:rsid w:val="00EE00A6"/>
    <w:rsid w:val="00EE00F2"/>
    <w:rsid w:val="00EE0168"/>
    <w:rsid w:val="00EE0336"/>
    <w:rsid w:val="00EE0398"/>
    <w:rsid w:val="00EE050F"/>
    <w:rsid w:val="00EE05D2"/>
    <w:rsid w:val="00EE060E"/>
    <w:rsid w:val="00EE06B6"/>
    <w:rsid w:val="00EE06EC"/>
    <w:rsid w:val="00EE071F"/>
    <w:rsid w:val="00EE0730"/>
    <w:rsid w:val="00EE07D3"/>
    <w:rsid w:val="00EE099C"/>
    <w:rsid w:val="00EE0B73"/>
    <w:rsid w:val="00EE0D75"/>
    <w:rsid w:val="00EE0EA5"/>
    <w:rsid w:val="00EE0ED3"/>
    <w:rsid w:val="00EE0FC5"/>
    <w:rsid w:val="00EE145B"/>
    <w:rsid w:val="00EE16E0"/>
    <w:rsid w:val="00EE175D"/>
    <w:rsid w:val="00EE1A73"/>
    <w:rsid w:val="00EE1A98"/>
    <w:rsid w:val="00EE1CE4"/>
    <w:rsid w:val="00EE1DCF"/>
    <w:rsid w:val="00EE1EC4"/>
    <w:rsid w:val="00EE21C5"/>
    <w:rsid w:val="00EE21E4"/>
    <w:rsid w:val="00EE2289"/>
    <w:rsid w:val="00EE2361"/>
    <w:rsid w:val="00EE23AD"/>
    <w:rsid w:val="00EE23D4"/>
    <w:rsid w:val="00EE25C9"/>
    <w:rsid w:val="00EE2637"/>
    <w:rsid w:val="00EE26DA"/>
    <w:rsid w:val="00EE2918"/>
    <w:rsid w:val="00EE292C"/>
    <w:rsid w:val="00EE2954"/>
    <w:rsid w:val="00EE295E"/>
    <w:rsid w:val="00EE2CDE"/>
    <w:rsid w:val="00EE2D2B"/>
    <w:rsid w:val="00EE2FE6"/>
    <w:rsid w:val="00EE30C1"/>
    <w:rsid w:val="00EE30FE"/>
    <w:rsid w:val="00EE322E"/>
    <w:rsid w:val="00EE3408"/>
    <w:rsid w:val="00EE3440"/>
    <w:rsid w:val="00EE3492"/>
    <w:rsid w:val="00EE365A"/>
    <w:rsid w:val="00EE3714"/>
    <w:rsid w:val="00EE376B"/>
    <w:rsid w:val="00EE37A2"/>
    <w:rsid w:val="00EE381F"/>
    <w:rsid w:val="00EE3A3F"/>
    <w:rsid w:val="00EE3BF4"/>
    <w:rsid w:val="00EE3E76"/>
    <w:rsid w:val="00EE4116"/>
    <w:rsid w:val="00EE41B4"/>
    <w:rsid w:val="00EE42B8"/>
    <w:rsid w:val="00EE4516"/>
    <w:rsid w:val="00EE453A"/>
    <w:rsid w:val="00EE456A"/>
    <w:rsid w:val="00EE45AF"/>
    <w:rsid w:val="00EE468F"/>
    <w:rsid w:val="00EE47DF"/>
    <w:rsid w:val="00EE48ED"/>
    <w:rsid w:val="00EE4B48"/>
    <w:rsid w:val="00EE4B9A"/>
    <w:rsid w:val="00EE4D18"/>
    <w:rsid w:val="00EE4F14"/>
    <w:rsid w:val="00EE4FE0"/>
    <w:rsid w:val="00EE5397"/>
    <w:rsid w:val="00EE550E"/>
    <w:rsid w:val="00EE5592"/>
    <w:rsid w:val="00EE56A2"/>
    <w:rsid w:val="00EE5780"/>
    <w:rsid w:val="00EE5825"/>
    <w:rsid w:val="00EE5974"/>
    <w:rsid w:val="00EE5B43"/>
    <w:rsid w:val="00EE5D34"/>
    <w:rsid w:val="00EE5D3F"/>
    <w:rsid w:val="00EE5ED7"/>
    <w:rsid w:val="00EE60AC"/>
    <w:rsid w:val="00EE6124"/>
    <w:rsid w:val="00EE6227"/>
    <w:rsid w:val="00EE6402"/>
    <w:rsid w:val="00EE660D"/>
    <w:rsid w:val="00EE6B2C"/>
    <w:rsid w:val="00EE6BFD"/>
    <w:rsid w:val="00EE6CA0"/>
    <w:rsid w:val="00EE6DA5"/>
    <w:rsid w:val="00EE6DB1"/>
    <w:rsid w:val="00EE6E0C"/>
    <w:rsid w:val="00EE7075"/>
    <w:rsid w:val="00EE723B"/>
    <w:rsid w:val="00EE73B3"/>
    <w:rsid w:val="00EE73BA"/>
    <w:rsid w:val="00EE7622"/>
    <w:rsid w:val="00EE7655"/>
    <w:rsid w:val="00EE781A"/>
    <w:rsid w:val="00EE7972"/>
    <w:rsid w:val="00EE7A39"/>
    <w:rsid w:val="00EE7CE0"/>
    <w:rsid w:val="00EE7F65"/>
    <w:rsid w:val="00EF0225"/>
    <w:rsid w:val="00EF02DD"/>
    <w:rsid w:val="00EF0374"/>
    <w:rsid w:val="00EF04F1"/>
    <w:rsid w:val="00EF054E"/>
    <w:rsid w:val="00EF05C2"/>
    <w:rsid w:val="00EF0AE1"/>
    <w:rsid w:val="00EF0CEE"/>
    <w:rsid w:val="00EF0ED7"/>
    <w:rsid w:val="00EF12C0"/>
    <w:rsid w:val="00EF1559"/>
    <w:rsid w:val="00EF15C7"/>
    <w:rsid w:val="00EF1765"/>
    <w:rsid w:val="00EF1884"/>
    <w:rsid w:val="00EF18A3"/>
    <w:rsid w:val="00EF195D"/>
    <w:rsid w:val="00EF19A7"/>
    <w:rsid w:val="00EF1AF4"/>
    <w:rsid w:val="00EF1BDF"/>
    <w:rsid w:val="00EF1BF8"/>
    <w:rsid w:val="00EF1C2E"/>
    <w:rsid w:val="00EF1C32"/>
    <w:rsid w:val="00EF1DDF"/>
    <w:rsid w:val="00EF206B"/>
    <w:rsid w:val="00EF2382"/>
    <w:rsid w:val="00EF247F"/>
    <w:rsid w:val="00EF267D"/>
    <w:rsid w:val="00EF268C"/>
    <w:rsid w:val="00EF2BA2"/>
    <w:rsid w:val="00EF2ED4"/>
    <w:rsid w:val="00EF2F20"/>
    <w:rsid w:val="00EF3000"/>
    <w:rsid w:val="00EF309D"/>
    <w:rsid w:val="00EF3146"/>
    <w:rsid w:val="00EF3306"/>
    <w:rsid w:val="00EF33C9"/>
    <w:rsid w:val="00EF3848"/>
    <w:rsid w:val="00EF38A1"/>
    <w:rsid w:val="00EF38A3"/>
    <w:rsid w:val="00EF3913"/>
    <w:rsid w:val="00EF3AC3"/>
    <w:rsid w:val="00EF3CC3"/>
    <w:rsid w:val="00EF3DB8"/>
    <w:rsid w:val="00EF3EB2"/>
    <w:rsid w:val="00EF3FBC"/>
    <w:rsid w:val="00EF3FC4"/>
    <w:rsid w:val="00EF4141"/>
    <w:rsid w:val="00EF41A5"/>
    <w:rsid w:val="00EF41DF"/>
    <w:rsid w:val="00EF43EF"/>
    <w:rsid w:val="00EF44C2"/>
    <w:rsid w:val="00EF44D8"/>
    <w:rsid w:val="00EF45ED"/>
    <w:rsid w:val="00EF47DE"/>
    <w:rsid w:val="00EF4866"/>
    <w:rsid w:val="00EF4943"/>
    <w:rsid w:val="00EF496D"/>
    <w:rsid w:val="00EF49B3"/>
    <w:rsid w:val="00EF4A44"/>
    <w:rsid w:val="00EF4AB2"/>
    <w:rsid w:val="00EF4B18"/>
    <w:rsid w:val="00EF4B33"/>
    <w:rsid w:val="00EF4C0B"/>
    <w:rsid w:val="00EF4C0E"/>
    <w:rsid w:val="00EF4D61"/>
    <w:rsid w:val="00EF4EA4"/>
    <w:rsid w:val="00EF512B"/>
    <w:rsid w:val="00EF5201"/>
    <w:rsid w:val="00EF5A4A"/>
    <w:rsid w:val="00EF5B3A"/>
    <w:rsid w:val="00EF5BE5"/>
    <w:rsid w:val="00EF5EC6"/>
    <w:rsid w:val="00EF5F10"/>
    <w:rsid w:val="00EF62F9"/>
    <w:rsid w:val="00EF6332"/>
    <w:rsid w:val="00EF63E8"/>
    <w:rsid w:val="00EF64B1"/>
    <w:rsid w:val="00EF66BC"/>
    <w:rsid w:val="00EF6705"/>
    <w:rsid w:val="00EF6798"/>
    <w:rsid w:val="00EF67C9"/>
    <w:rsid w:val="00EF6A16"/>
    <w:rsid w:val="00EF6A47"/>
    <w:rsid w:val="00EF6B01"/>
    <w:rsid w:val="00EF6BB2"/>
    <w:rsid w:val="00EF70D2"/>
    <w:rsid w:val="00EF7114"/>
    <w:rsid w:val="00EF7431"/>
    <w:rsid w:val="00EF7496"/>
    <w:rsid w:val="00EF788F"/>
    <w:rsid w:val="00EF797A"/>
    <w:rsid w:val="00EF79D4"/>
    <w:rsid w:val="00EF7BA2"/>
    <w:rsid w:val="00EF7BE3"/>
    <w:rsid w:val="00EF7CB8"/>
    <w:rsid w:val="00EF7F44"/>
    <w:rsid w:val="00F0017D"/>
    <w:rsid w:val="00F002AC"/>
    <w:rsid w:val="00F00865"/>
    <w:rsid w:val="00F00B9A"/>
    <w:rsid w:val="00F00C31"/>
    <w:rsid w:val="00F00C45"/>
    <w:rsid w:val="00F00E17"/>
    <w:rsid w:val="00F00F72"/>
    <w:rsid w:val="00F01147"/>
    <w:rsid w:val="00F011FD"/>
    <w:rsid w:val="00F0125F"/>
    <w:rsid w:val="00F0153C"/>
    <w:rsid w:val="00F01568"/>
    <w:rsid w:val="00F016F2"/>
    <w:rsid w:val="00F0181C"/>
    <w:rsid w:val="00F0186D"/>
    <w:rsid w:val="00F01984"/>
    <w:rsid w:val="00F01A35"/>
    <w:rsid w:val="00F01C37"/>
    <w:rsid w:val="00F01E95"/>
    <w:rsid w:val="00F01EFD"/>
    <w:rsid w:val="00F01FC2"/>
    <w:rsid w:val="00F021CC"/>
    <w:rsid w:val="00F0238A"/>
    <w:rsid w:val="00F024DC"/>
    <w:rsid w:val="00F025CC"/>
    <w:rsid w:val="00F02616"/>
    <w:rsid w:val="00F02849"/>
    <w:rsid w:val="00F0298B"/>
    <w:rsid w:val="00F029D6"/>
    <w:rsid w:val="00F02A45"/>
    <w:rsid w:val="00F02C83"/>
    <w:rsid w:val="00F02CFD"/>
    <w:rsid w:val="00F02DC5"/>
    <w:rsid w:val="00F02E5D"/>
    <w:rsid w:val="00F02F47"/>
    <w:rsid w:val="00F030F7"/>
    <w:rsid w:val="00F03157"/>
    <w:rsid w:val="00F034C3"/>
    <w:rsid w:val="00F036BD"/>
    <w:rsid w:val="00F037C5"/>
    <w:rsid w:val="00F037E7"/>
    <w:rsid w:val="00F03892"/>
    <w:rsid w:val="00F038B5"/>
    <w:rsid w:val="00F03AC1"/>
    <w:rsid w:val="00F03CEA"/>
    <w:rsid w:val="00F03DF6"/>
    <w:rsid w:val="00F03EAC"/>
    <w:rsid w:val="00F0414D"/>
    <w:rsid w:val="00F04174"/>
    <w:rsid w:val="00F0419B"/>
    <w:rsid w:val="00F041B9"/>
    <w:rsid w:val="00F04298"/>
    <w:rsid w:val="00F042CF"/>
    <w:rsid w:val="00F0446F"/>
    <w:rsid w:val="00F04471"/>
    <w:rsid w:val="00F0473C"/>
    <w:rsid w:val="00F0478C"/>
    <w:rsid w:val="00F048FA"/>
    <w:rsid w:val="00F04A8E"/>
    <w:rsid w:val="00F04AD9"/>
    <w:rsid w:val="00F04B95"/>
    <w:rsid w:val="00F04D4E"/>
    <w:rsid w:val="00F04E70"/>
    <w:rsid w:val="00F04F7C"/>
    <w:rsid w:val="00F0553B"/>
    <w:rsid w:val="00F055A6"/>
    <w:rsid w:val="00F055B5"/>
    <w:rsid w:val="00F05663"/>
    <w:rsid w:val="00F058BD"/>
    <w:rsid w:val="00F05900"/>
    <w:rsid w:val="00F05917"/>
    <w:rsid w:val="00F05A31"/>
    <w:rsid w:val="00F05B53"/>
    <w:rsid w:val="00F05B7D"/>
    <w:rsid w:val="00F05CFC"/>
    <w:rsid w:val="00F05F53"/>
    <w:rsid w:val="00F05F7F"/>
    <w:rsid w:val="00F05FB5"/>
    <w:rsid w:val="00F0601A"/>
    <w:rsid w:val="00F0608E"/>
    <w:rsid w:val="00F060BE"/>
    <w:rsid w:val="00F06193"/>
    <w:rsid w:val="00F061F0"/>
    <w:rsid w:val="00F0621B"/>
    <w:rsid w:val="00F063BD"/>
    <w:rsid w:val="00F06461"/>
    <w:rsid w:val="00F06664"/>
    <w:rsid w:val="00F068A7"/>
    <w:rsid w:val="00F068D3"/>
    <w:rsid w:val="00F06962"/>
    <w:rsid w:val="00F06AC6"/>
    <w:rsid w:val="00F06C7B"/>
    <w:rsid w:val="00F06D25"/>
    <w:rsid w:val="00F07122"/>
    <w:rsid w:val="00F0724F"/>
    <w:rsid w:val="00F07502"/>
    <w:rsid w:val="00F07533"/>
    <w:rsid w:val="00F07599"/>
    <w:rsid w:val="00F0760C"/>
    <w:rsid w:val="00F07658"/>
    <w:rsid w:val="00F07811"/>
    <w:rsid w:val="00F0782C"/>
    <w:rsid w:val="00F07D20"/>
    <w:rsid w:val="00F07F42"/>
    <w:rsid w:val="00F10084"/>
    <w:rsid w:val="00F100B9"/>
    <w:rsid w:val="00F10124"/>
    <w:rsid w:val="00F10189"/>
    <w:rsid w:val="00F10287"/>
    <w:rsid w:val="00F1041F"/>
    <w:rsid w:val="00F1044A"/>
    <w:rsid w:val="00F105DE"/>
    <w:rsid w:val="00F10610"/>
    <w:rsid w:val="00F1064B"/>
    <w:rsid w:val="00F1091E"/>
    <w:rsid w:val="00F10A86"/>
    <w:rsid w:val="00F10E8B"/>
    <w:rsid w:val="00F10ED7"/>
    <w:rsid w:val="00F10EDC"/>
    <w:rsid w:val="00F10F03"/>
    <w:rsid w:val="00F11169"/>
    <w:rsid w:val="00F111A0"/>
    <w:rsid w:val="00F1132A"/>
    <w:rsid w:val="00F113AB"/>
    <w:rsid w:val="00F11464"/>
    <w:rsid w:val="00F11486"/>
    <w:rsid w:val="00F11709"/>
    <w:rsid w:val="00F11A82"/>
    <w:rsid w:val="00F122EB"/>
    <w:rsid w:val="00F122F6"/>
    <w:rsid w:val="00F123FE"/>
    <w:rsid w:val="00F124FA"/>
    <w:rsid w:val="00F124FC"/>
    <w:rsid w:val="00F125BB"/>
    <w:rsid w:val="00F12664"/>
    <w:rsid w:val="00F126BC"/>
    <w:rsid w:val="00F126DD"/>
    <w:rsid w:val="00F1276F"/>
    <w:rsid w:val="00F1288E"/>
    <w:rsid w:val="00F129C3"/>
    <w:rsid w:val="00F12A37"/>
    <w:rsid w:val="00F12BAD"/>
    <w:rsid w:val="00F12C1D"/>
    <w:rsid w:val="00F12F79"/>
    <w:rsid w:val="00F13008"/>
    <w:rsid w:val="00F1302D"/>
    <w:rsid w:val="00F13304"/>
    <w:rsid w:val="00F13398"/>
    <w:rsid w:val="00F133FB"/>
    <w:rsid w:val="00F135CF"/>
    <w:rsid w:val="00F135EA"/>
    <w:rsid w:val="00F1371D"/>
    <w:rsid w:val="00F13773"/>
    <w:rsid w:val="00F13865"/>
    <w:rsid w:val="00F138AF"/>
    <w:rsid w:val="00F1390E"/>
    <w:rsid w:val="00F13975"/>
    <w:rsid w:val="00F13A69"/>
    <w:rsid w:val="00F13ADD"/>
    <w:rsid w:val="00F13CE8"/>
    <w:rsid w:val="00F13D52"/>
    <w:rsid w:val="00F13D54"/>
    <w:rsid w:val="00F1405B"/>
    <w:rsid w:val="00F14351"/>
    <w:rsid w:val="00F14413"/>
    <w:rsid w:val="00F1448F"/>
    <w:rsid w:val="00F144DD"/>
    <w:rsid w:val="00F14559"/>
    <w:rsid w:val="00F1457E"/>
    <w:rsid w:val="00F14694"/>
    <w:rsid w:val="00F14848"/>
    <w:rsid w:val="00F14A76"/>
    <w:rsid w:val="00F14B17"/>
    <w:rsid w:val="00F14C49"/>
    <w:rsid w:val="00F14DE4"/>
    <w:rsid w:val="00F14F38"/>
    <w:rsid w:val="00F14F64"/>
    <w:rsid w:val="00F150AB"/>
    <w:rsid w:val="00F153D3"/>
    <w:rsid w:val="00F15551"/>
    <w:rsid w:val="00F15591"/>
    <w:rsid w:val="00F155C7"/>
    <w:rsid w:val="00F15756"/>
    <w:rsid w:val="00F157B4"/>
    <w:rsid w:val="00F1584D"/>
    <w:rsid w:val="00F15941"/>
    <w:rsid w:val="00F159CB"/>
    <w:rsid w:val="00F15B23"/>
    <w:rsid w:val="00F15B92"/>
    <w:rsid w:val="00F15C10"/>
    <w:rsid w:val="00F15CF3"/>
    <w:rsid w:val="00F15E65"/>
    <w:rsid w:val="00F1615E"/>
    <w:rsid w:val="00F1619D"/>
    <w:rsid w:val="00F16344"/>
    <w:rsid w:val="00F1652A"/>
    <w:rsid w:val="00F1667A"/>
    <w:rsid w:val="00F167DE"/>
    <w:rsid w:val="00F16983"/>
    <w:rsid w:val="00F16ADC"/>
    <w:rsid w:val="00F16B08"/>
    <w:rsid w:val="00F16BAD"/>
    <w:rsid w:val="00F16CF8"/>
    <w:rsid w:val="00F16F90"/>
    <w:rsid w:val="00F1732C"/>
    <w:rsid w:val="00F17450"/>
    <w:rsid w:val="00F1749A"/>
    <w:rsid w:val="00F175A8"/>
    <w:rsid w:val="00F1765C"/>
    <w:rsid w:val="00F17793"/>
    <w:rsid w:val="00F178CD"/>
    <w:rsid w:val="00F17D3F"/>
    <w:rsid w:val="00F200B6"/>
    <w:rsid w:val="00F201EE"/>
    <w:rsid w:val="00F2026A"/>
    <w:rsid w:val="00F2033D"/>
    <w:rsid w:val="00F20345"/>
    <w:rsid w:val="00F20926"/>
    <w:rsid w:val="00F20977"/>
    <w:rsid w:val="00F20A4B"/>
    <w:rsid w:val="00F20AAC"/>
    <w:rsid w:val="00F20AAE"/>
    <w:rsid w:val="00F20B3D"/>
    <w:rsid w:val="00F20BC5"/>
    <w:rsid w:val="00F20C92"/>
    <w:rsid w:val="00F20D96"/>
    <w:rsid w:val="00F20F29"/>
    <w:rsid w:val="00F20FD6"/>
    <w:rsid w:val="00F21157"/>
    <w:rsid w:val="00F2127A"/>
    <w:rsid w:val="00F21914"/>
    <w:rsid w:val="00F21A54"/>
    <w:rsid w:val="00F21B45"/>
    <w:rsid w:val="00F21BB0"/>
    <w:rsid w:val="00F21DD6"/>
    <w:rsid w:val="00F21ED9"/>
    <w:rsid w:val="00F21FB5"/>
    <w:rsid w:val="00F22112"/>
    <w:rsid w:val="00F2234D"/>
    <w:rsid w:val="00F223FC"/>
    <w:rsid w:val="00F224D7"/>
    <w:rsid w:val="00F22534"/>
    <w:rsid w:val="00F2275B"/>
    <w:rsid w:val="00F2277E"/>
    <w:rsid w:val="00F228E9"/>
    <w:rsid w:val="00F22945"/>
    <w:rsid w:val="00F22D5B"/>
    <w:rsid w:val="00F22E1C"/>
    <w:rsid w:val="00F22E5D"/>
    <w:rsid w:val="00F22E74"/>
    <w:rsid w:val="00F22EBF"/>
    <w:rsid w:val="00F22FA8"/>
    <w:rsid w:val="00F22FB9"/>
    <w:rsid w:val="00F23023"/>
    <w:rsid w:val="00F2313B"/>
    <w:rsid w:val="00F2331D"/>
    <w:rsid w:val="00F236D0"/>
    <w:rsid w:val="00F2390E"/>
    <w:rsid w:val="00F23CF3"/>
    <w:rsid w:val="00F23D51"/>
    <w:rsid w:val="00F23DE8"/>
    <w:rsid w:val="00F23EE5"/>
    <w:rsid w:val="00F2406D"/>
    <w:rsid w:val="00F242E0"/>
    <w:rsid w:val="00F2432C"/>
    <w:rsid w:val="00F244BE"/>
    <w:rsid w:val="00F24559"/>
    <w:rsid w:val="00F245D8"/>
    <w:rsid w:val="00F24B6D"/>
    <w:rsid w:val="00F24BDB"/>
    <w:rsid w:val="00F24CD7"/>
    <w:rsid w:val="00F24EF8"/>
    <w:rsid w:val="00F25116"/>
    <w:rsid w:val="00F25271"/>
    <w:rsid w:val="00F252B5"/>
    <w:rsid w:val="00F253B0"/>
    <w:rsid w:val="00F25443"/>
    <w:rsid w:val="00F254A3"/>
    <w:rsid w:val="00F2555A"/>
    <w:rsid w:val="00F255A7"/>
    <w:rsid w:val="00F25801"/>
    <w:rsid w:val="00F258F0"/>
    <w:rsid w:val="00F2598F"/>
    <w:rsid w:val="00F259AD"/>
    <w:rsid w:val="00F25C5C"/>
    <w:rsid w:val="00F25DE0"/>
    <w:rsid w:val="00F25E09"/>
    <w:rsid w:val="00F25FAF"/>
    <w:rsid w:val="00F26041"/>
    <w:rsid w:val="00F26338"/>
    <w:rsid w:val="00F264B6"/>
    <w:rsid w:val="00F267BA"/>
    <w:rsid w:val="00F26B52"/>
    <w:rsid w:val="00F26BA0"/>
    <w:rsid w:val="00F26BB3"/>
    <w:rsid w:val="00F26C00"/>
    <w:rsid w:val="00F26C07"/>
    <w:rsid w:val="00F26C76"/>
    <w:rsid w:val="00F26D07"/>
    <w:rsid w:val="00F26F0B"/>
    <w:rsid w:val="00F26F53"/>
    <w:rsid w:val="00F27020"/>
    <w:rsid w:val="00F2708E"/>
    <w:rsid w:val="00F2722E"/>
    <w:rsid w:val="00F27262"/>
    <w:rsid w:val="00F2727E"/>
    <w:rsid w:val="00F27428"/>
    <w:rsid w:val="00F278B8"/>
    <w:rsid w:val="00F27A7B"/>
    <w:rsid w:val="00F27C9B"/>
    <w:rsid w:val="00F27DAD"/>
    <w:rsid w:val="00F27FA5"/>
    <w:rsid w:val="00F27FAD"/>
    <w:rsid w:val="00F3004C"/>
    <w:rsid w:val="00F30053"/>
    <w:rsid w:val="00F300B8"/>
    <w:rsid w:val="00F301A7"/>
    <w:rsid w:val="00F30263"/>
    <w:rsid w:val="00F303F8"/>
    <w:rsid w:val="00F30424"/>
    <w:rsid w:val="00F304C1"/>
    <w:rsid w:val="00F306EB"/>
    <w:rsid w:val="00F30753"/>
    <w:rsid w:val="00F30833"/>
    <w:rsid w:val="00F30902"/>
    <w:rsid w:val="00F3093B"/>
    <w:rsid w:val="00F30AEF"/>
    <w:rsid w:val="00F30CAD"/>
    <w:rsid w:val="00F30CE5"/>
    <w:rsid w:val="00F31162"/>
    <w:rsid w:val="00F31373"/>
    <w:rsid w:val="00F31386"/>
    <w:rsid w:val="00F31439"/>
    <w:rsid w:val="00F314AE"/>
    <w:rsid w:val="00F31828"/>
    <w:rsid w:val="00F31979"/>
    <w:rsid w:val="00F31A7D"/>
    <w:rsid w:val="00F31AF4"/>
    <w:rsid w:val="00F31E37"/>
    <w:rsid w:val="00F31E79"/>
    <w:rsid w:val="00F31EFB"/>
    <w:rsid w:val="00F32096"/>
    <w:rsid w:val="00F320D0"/>
    <w:rsid w:val="00F32216"/>
    <w:rsid w:val="00F3222D"/>
    <w:rsid w:val="00F32307"/>
    <w:rsid w:val="00F3238C"/>
    <w:rsid w:val="00F323AC"/>
    <w:rsid w:val="00F32435"/>
    <w:rsid w:val="00F324A7"/>
    <w:rsid w:val="00F326C2"/>
    <w:rsid w:val="00F32709"/>
    <w:rsid w:val="00F32722"/>
    <w:rsid w:val="00F3298F"/>
    <w:rsid w:val="00F32C75"/>
    <w:rsid w:val="00F32EFB"/>
    <w:rsid w:val="00F33532"/>
    <w:rsid w:val="00F338A2"/>
    <w:rsid w:val="00F3396E"/>
    <w:rsid w:val="00F33A80"/>
    <w:rsid w:val="00F33C44"/>
    <w:rsid w:val="00F33C68"/>
    <w:rsid w:val="00F33D80"/>
    <w:rsid w:val="00F33E3A"/>
    <w:rsid w:val="00F34079"/>
    <w:rsid w:val="00F345E9"/>
    <w:rsid w:val="00F346C7"/>
    <w:rsid w:val="00F3480F"/>
    <w:rsid w:val="00F3499A"/>
    <w:rsid w:val="00F34B00"/>
    <w:rsid w:val="00F34F48"/>
    <w:rsid w:val="00F3512B"/>
    <w:rsid w:val="00F35176"/>
    <w:rsid w:val="00F35303"/>
    <w:rsid w:val="00F3530B"/>
    <w:rsid w:val="00F35442"/>
    <w:rsid w:val="00F354A3"/>
    <w:rsid w:val="00F354EE"/>
    <w:rsid w:val="00F356C5"/>
    <w:rsid w:val="00F358A5"/>
    <w:rsid w:val="00F35A72"/>
    <w:rsid w:val="00F35F02"/>
    <w:rsid w:val="00F36048"/>
    <w:rsid w:val="00F36200"/>
    <w:rsid w:val="00F362ED"/>
    <w:rsid w:val="00F365FB"/>
    <w:rsid w:val="00F366CF"/>
    <w:rsid w:val="00F368D5"/>
    <w:rsid w:val="00F36983"/>
    <w:rsid w:val="00F36D73"/>
    <w:rsid w:val="00F36DDE"/>
    <w:rsid w:val="00F36E87"/>
    <w:rsid w:val="00F36E9F"/>
    <w:rsid w:val="00F3733C"/>
    <w:rsid w:val="00F373FB"/>
    <w:rsid w:val="00F3747A"/>
    <w:rsid w:val="00F37508"/>
    <w:rsid w:val="00F37540"/>
    <w:rsid w:val="00F37586"/>
    <w:rsid w:val="00F375A9"/>
    <w:rsid w:val="00F375C6"/>
    <w:rsid w:val="00F37752"/>
    <w:rsid w:val="00F37864"/>
    <w:rsid w:val="00F378DC"/>
    <w:rsid w:val="00F379E5"/>
    <w:rsid w:val="00F37B96"/>
    <w:rsid w:val="00F40036"/>
    <w:rsid w:val="00F40213"/>
    <w:rsid w:val="00F40376"/>
    <w:rsid w:val="00F40392"/>
    <w:rsid w:val="00F403BC"/>
    <w:rsid w:val="00F40449"/>
    <w:rsid w:val="00F40535"/>
    <w:rsid w:val="00F40665"/>
    <w:rsid w:val="00F4071B"/>
    <w:rsid w:val="00F4073D"/>
    <w:rsid w:val="00F408DA"/>
    <w:rsid w:val="00F40A11"/>
    <w:rsid w:val="00F40A2E"/>
    <w:rsid w:val="00F40E36"/>
    <w:rsid w:val="00F40FEB"/>
    <w:rsid w:val="00F410E7"/>
    <w:rsid w:val="00F41228"/>
    <w:rsid w:val="00F4142C"/>
    <w:rsid w:val="00F4146F"/>
    <w:rsid w:val="00F4159A"/>
    <w:rsid w:val="00F415DD"/>
    <w:rsid w:val="00F41821"/>
    <w:rsid w:val="00F41853"/>
    <w:rsid w:val="00F41963"/>
    <w:rsid w:val="00F41AC5"/>
    <w:rsid w:val="00F41D9E"/>
    <w:rsid w:val="00F41E1E"/>
    <w:rsid w:val="00F4210F"/>
    <w:rsid w:val="00F42117"/>
    <w:rsid w:val="00F42170"/>
    <w:rsid w:val="00F421A0"/>
    <w:rsid w:val="00F422C8"/>
    <w:rsid w:val="00F42439"/>
    <w:rsid w:val="00F42479"/>
    <w:rsid w:val="00F426FA"/>
    <w:rsid w:val="00F428D7"/>
    <w:rsid w:val="00F42AE2"/>
    <w:rsid w:val="00F42B7D"/>
    <w:rsid w:val="00F42CE6"/>
    <w:rsid w:val="00F42D95"/>
    <w:rsid w:val="00F42E3E"/>
    <w:rsid w:val="00F42F38"/>
    <w:rsid w:val="00F42F80"/>
    <w:rsid w:val="00F42FDE"/>
    <w:rsid w:val="00F430F5"/>
    <w:rsid w:val="00F431A7"/>
    <w:rsid w:val="00F43606"/>
    <w:rsid w:val="00F4368E"/>
    <w:rsid w:val="00F437BD"/>
    <w:rsid w:val="00F4387B"/>
    <w:rsid w:val="00F438F0"/>
    <w:rsid w:val="00F43998"/>
    <w:rsid w:val="00F43A5E"/>
    <w:rsid w:val="00F43B64"/>
    <w:rsid w:val="00F43D44"/>
    <w:rsid w:val="00F43E0C"/>
    <w:rsid w:val="00F43F61"/>
    <w:rsid w:val="00F441CA"/>
    <w:rsid w:val="00F44239"/>
    <w:rsid w:val="00F444B8"/>
    <w:rsid w:val="00F445AE"/>
    <w:rsid w:val="00F447F3"/>
    <w:rsid w:val="00F44A10"/>
    <w:rsid w:val="00F44AEB"/>
    <w:rsid w:val="00F44B27"/>
    <w:rsid w:val="00F44FFF"/>
    <w:rsid w:val="00F45106"/>
    <w:rsid w:val="00F45367"/>
    <w:rsid w:val="00F45368"/>
    <w:rsid w:val="00F454F6"/>
    <w:rsid w:val="00F4570D"/>
    <w:rsid w:val="00F45716"/>
    <w:rsid w:val="00F459C0"/>
    <w:rsid w:val="00F45ADE"/>
    <w:rsid w:val="00F45CAB"/>
    <w:rsid w:val="00F45D86"/>
    <w:rsid w:val="00F45E68"/>
    <w:rsid w:val="00F463CF"/>
    <w:rsid w:val="00F46785"/>
    <w:rsid w:val="00F467B7"/>
    <w:rsid w:val="00F4680E"/>
    <w:rsid w:val="00F46813"/>
    <w:rsid w:val="00F468EA"/>
    <w:rsid w:val="00F469FC"/>
    <w:rsid w:val="00F46AAF"/>
    <w:rsid w:val="00F46B4E"/>
    <w:rsid w:val="00F46B57"/>
    <w:rsid w:val="00F46F1F"/>
    <w:rsid w:val="00F47119"/>
    <w:rsid w:val="00F47123"/>
    <w:rsid w:val="00F4730A"/>
    <w:rsid w:val="00F473FC"/>
    <w:rsid w:val="00F47513"/>
    <w:rsid w:val="00F4756F"/>
    <w:rsid w:val="00F4760D"/>
    <w:rsid w:val="00F4770B"/>
    <w:rsid w:val="00F4781F"/>
    <w:rsid w:val="00F4786E"/>
    <w:rsid w:val="00F4792D"/>
    <w:rsid w:val="00F47B07"/>
    <w:rsid w:val="00F47CB7"/>
    <w:rsid w:val="00F47D61"/>
    <w:rsid w:val="00F47DD9"/>
    <w:rsid w:val="00F47FB1"/>
    <w:rsid w:val="00F501C2"/>
    <w:rsid w:val="00F502F5"/>
    <w:rsid w:val="00F50693"/>
    <w:rsid w:val="00F50739"/>
    <w:rsid w:val="00F5093C"/>
    <w:rsid w:val="00F50D9B"/>
    <w:rsid w:val="00F51006"/>
    <w:rsid w:val="00F511A2"/>
    <w:rsid w:val="00F51238"/>
    <w:rsid w:val="00F51336"/>
    <w:rsid w:val="00F514A9"/>
    <w:rsid w:val="00F5151A"/>
    <w:rsid w:val="00F51754"/>
    <w:rsid w:val="00F5187C"/>
    <w:rsid w:val="00F518DB"/>
    <w:rsid w:val="00F518FF"/>
    <w:rsid w:val="00F51A1E"/>
    <w:rsid w:val="00F51A3C"/>
    <w:rsid w:val="00F51C0A"/>
    <w:rsid w:val="00F51C5B"/>
    <w:rsid w:val="00F51C8A"/>
    <w:rsid w:val="00F51D20"/>
    <w:rsid w:val="00F51EB2"/>
    <w:rsid w:val="00F51F1C"/>
    <w:rsid w:val="00F51F69"/>
    <w:rsid w:val="00F52000"/>
    <w:rsid w:val="00F52058"/>
    <w:rsid w:val="00F52200"/>
    <w:rsid w:val="00F523C8"/>
    <w:rsid w:val="00F52535"/>
    <w:rsid w:val="00F525B7"/>
    <w:rsid w:val="00F52702"/>
    <w:rsid w:val="00F5294A"/>
    <w:rsid w:val="00F529D6"/>
    <w:rsid w:val="00F52BC7"/>
    <w:rsid w:val="00F52BDF"/>
    <w:rsid w:val="00F52EF8"/>
    <w:rsid w:val="00F52FDB"/>
    <w:rsid w:val="00F5310F"/>
    <w:rsid w:val="00F531D7"/>
    <w:rsid w:val="00F5322E"/>
    <w:rsid w:val="00F53388"/>
    <w:rsid w:val="00F533D9"/>
    <w:rsid w:val="00F53457"/>
    <w:rsid w:val="00F5353D"/>
    <w:rsid w:val="00F535A5"/>
    <w:rsid w:val="00F5361B"/>
    <w:rsid w:val="00F53624"/>
    <w:rsid w:val="00F53716"/>
    <w:rsid w:val="00F5375C"/>
    <w:rsid w:val="00F539E6"/>
    <w:rsid w:val="00F53B2D"/>
    <w:rsid w:val="00F53B6D"/>
    <w:rsid w:val="00F53BA1"/>
    <w:rsid w:val="00F53C20"/>
    <w:rsid w:val="00F54093"/>
    <w:rsid w:val="00F540D9"/>
    <w:rsid w:val="00F545DA"/>
    <w:rsid w:val="00F54636"/>
    <w:rsid w:val="00F546F5"/>
    <w:rsid w:val="00F547C9"/>
    <w:rsid w:val="00F547F5"/>
    <w:rsid w:val="00F549E3"/>
    <w:rsid w:val="00F54C0E"/>
    <w:rsid w:val="00F54C1A"/>
    <w:rsid w:val="00F54CB9"/>
    <w:rsid w:val="00F54E82"/>
    <w:rsid w:val="00F54EA9"/>
    <w:rsid w:val="00F54F51"/>
    <w:rsid w:val="00F5502B"/>
    <w:rsid w:val="00F550AD"/>
    <w:rsid w:val="00F554D5"/>
    <w:rsid w:val="00F5558B"/>
    <w:rsid w:val="00F5558D"/>
    <w:rsid w:val="00F555A3"/>
    <w:rsid w:val="00F555E2"/>
    <w:rsid w:val="00F55811"/>
    <w:rsid w:val="00F55DD8"/>
    <w:rsid w:val="00F55DF9"/>
    <w:rsid w:val="00F56117"/>
    <w:rsid w:val="00F561BC"/>
    <w:rsid w:val="00F5633E"/>
    <w:rsid w:val="00F56425"/>
    <w:rsid w:val="00F566E6"/>
    <w:rsid w:val="00F566F6"/>
    <w:rsid w:val="00F567C0"/>
    <w:rsid w:val="00F5682D"/>
    <w:rsid w:val="00F5684E"/>
    <w:rsid w:val="00F569EA"/>
    <w:rsid w:val="00F56C65"/>
    <w:rsid w:val="00F56C94"/>
    <w:rsid w:val="00F56D02"/>
    <w:rsid w:val="00F56E29"/>
    <w:rsid w:val="00F56EA3"/>
    <w:rsid w:val="00F56F99"/>
    <w:rsid w:val="00F571D6"/>
    <w:rsid w:val="00F5721E"/>
    <w:rsid w:val="00F5727C"/>
    <w:rsid w:val="00F5740C"/>
    <w:rsid w:val="00F57604"/>
    <w:rsid w:val="00F579A4"/>
    <w:rsid w:val="00F57A46"/>
    <w:rsid w:val="00F57A66"/>
    <w:rsid w:val="00F57ADC"/>
    <w:rsid w:val="00F57CC7"/>
    <w:rsid w:val="00F57CCA"/>
    <w:rsid w:val="00F57F5E"/>
    <w:rsid w:val="00F60017"/>
    <w:rsid w:val="00F60038"/>
    <w:rsid w:val="00F602B9"/>
    <w:rsid w:val="00F6036A"/>
    <w:rsid w:val="00F6050C"/>
    <w:rsid w:val="00F60616"/>
    <w:rsid w:val="00F6085C"/>
    <w:rsid w:val="00F60BCA"/>
    <w:rsid w:val="00F60D32"/>
    <w:rsid w:val="00F60EF2"/>
    <w:rsid w:val="00F60F01"/>
    <w:rsid w:val="00F6120D"/>
    <w:rsid w:val="00F6134C"/>
    <w:rsid w:val="00F61424"/>
    <w:rsid w:val="00F6142F"/>
    <w:rsid w:val="00F617E5"/>
    <w:rsid w:val="00F6183B"/>
    <w:rsid w:val="00F61855"/>
    <w:rsid w:val="00F61911"/>
    <w:rsid w:val="00F61A56"/>
    <w:rsid w:val="00F61CA3"/>
    <w:rsid w:val="00F61CA4"/>
    <w:rsid w:val="00F61E7A"/>
    <w:rsid w:val="00F61EB7"/>
    <w:rsid w:val="00F61FE1"/>
    <w:rsid w:val="00F62057"/>
    <w:rsid w:val="00F62108"/>
    <w:rsid w:val="00F6215F"/>
    <w:rsid w:val="00F62233"/>
    <w:rsid w:val="00F62648"/>
    <w:rsid w:val="00F6288A"/>
    <w:rsid w:val="00F62A9E"/>
    <w:rsid w:val="00F62BA9"/>
    <w:rsid w:val="00F62CE3"/>
    <w:rsid w:val="00F62F62"/>
    <w:rsid w:val="00F630BB"/>
    <w:rsid w:val="00F631E5"/>
    <w:rsid w:val="00F633EE"/>
    <w:rsid w:val="00F63550"/>
    <w:rsid w:val="00F63752"/>
    <w:rsid w:val="00F63905"/>
    <w:rsid w:val="00F639EE"/>
    <w:rsid w:val="00F63C5A"/>
    <w:rsid w:val="00F63C9B"/>
    <w:rsid w:val="00F63F80"/>
    <w:rsid w:val="00F63F85"/>
    <w:rsid w:val="00F64028"/>
    <w:rsid w:val="00F64117"/>
    <w:rsid w:val="00F641D2"/>
    <w:rsid w:val="00F64211"/>
    <w:rsid w:val="00F64480"/>
    <w:rsid w:val="00F645F2"/>
    <w:rsid w:val="00F647A8"/>
    <w:rsid w:val="00F649D1"/>
    <w:rsid w:val="00F64A61"/>
    <w:rsid w:val="00F64D94"/>
    <w:rsid w:val="00F64E05"/>
    <w:rsid w:val="00F650B0"/>
    <w:rsid w:val="00F65308"/>
    <w:rsid w:val="00F653BC"/>
    <w:rsid w:val="00F65409"/>
    <w:rsid w:val="00F655D8"/>
    <w:rsid w:val="00F65722"/>
    <w:rsid w:val="00F65AF6"/>
    <w:rsid w:val="00F65C54"/>
    <w:rsid w:val="00F65E06"/>
    <w:rsid w:val="00F65E6B"/>
    <w:rsid w:val="00F65F21"/>
    <w:rsid w:val="00F6604E"/>
    <w:rsid w:val="00F66110"/>
    <w:rsid w:val="00F662BD"/>
    <w:rsid w:val="00F6661D"/>
    <w:rsid w:val="00F666F0"/>
    <w:rsid w:val="00F666F4"/>
    <w:rsid w:val="00F66735"/>
    <w:rsid w:val="00F667B5"/>
    <w:rsid w:val="00F667C4"/>
    <w:rsid w:val="00F667FF"/>
    <w:rsid w:val="00F66925"/>
    <w:rsid w:val="00F66938"/>
    <w:rsid w:val="00F66A86"/>
    <w:rsid w:val="00F66BCE"/>
    <w:rsid w:val="00F66C0F"/>
    <w:rsid w:val="00F66CB5"/>
    <w:rsid w:val="00F670A0"/>
    <w:rsid w:val="00F67316"/>
    <w:rsid w:val="00F67AE6"/>
    <w:rsid w:val="00F67BDD"/>
    <w:rsid w:val="00F67D43"/>
    <w:rsid w:val="00F67DA8"/>
    <w:rsid w:val="00F67F17"/>
    <w:rsid w:val="00F70132"/>
    <w:rsid w:val="00F70185"/>
    <w:rsid w:val="00F70363"/>
    <w:rsid w:val="00F70382"/>
    <w:rsid w:val="00F7041A"/>
    <w:rsid w:val="00F70661"/>
    <w:rsid w:val="00F70765"/>
    <w:rsid w:val="00F709CF"/>
    <w:rsid w:val="00F70A6B"/>
    <w:rsid w:val="00F70AA8"/>
    <w:rsid w:val="00F70B36"/>
    <w:rsid w:val="00F70C68"/>
    <w:rsid w:val="00F70CEC"/>
    <w:rsid w:val="00F70D41"/>
    <w:rsid w:val="00F711AB"/>
    <w:rsid w:val="00F711DF"/>
    <w:rsid w:val="00F7141D"/>
    <w:rsid w:val="00F714C6"/>
    <w:rsid w:val="00F71663"/>
    <w:rsid w:val="00F718FC"/>
    <w:rsid w:val="00F71A1D"/>
    <w:rsid w:val="00F71B5F"/>
    <w:rsid w:val="00F71FA5"/>
    <w:rsid w:val="00F71FFC"/>
    <w:rsid w:val="00F720E4"/>
    <w:rsid w:val="00F72155"/>
    <w:rsid w:val="00F72575"/>
    <w:rsid w:val="00F72616"/>
    <w:rsid w:val="00F72678"/>
    <w:rsid w:val="00F726BA"/>
    <w:rsid w:val="00F72A02"/>
    <w:rsid w:val="00F72AD0"/>
    <w:rsid w:val="00F72B3C"/>
    <w:rsid w:val="00F72DD6"/>
    <w:rsid w:val="00F72E84"/>
    <w:rsid w:val="00F72EBF"/>
    <w:rsid w:val="00F72ECC"/>
    <w:rsid w:val="00F72F2D"/>
    <w:rsid w:val="00F73249"/>
    <w:rsid w:val="00F732F5"/>
    <w:rsid w:val="00F73457"/>
    <w:rsid w:val="00F73543"/>
    <w:rsid w:val="00F73772"/>
    <w:rsid w:val="00F737BF"/>
    <w:rsid w:val="00F73965"/>
    <w:rsid w:val="00F73CC8"/>
    <w:rsid w:val="00F73E71"/>
    <w:rsid w:val="00F740A5"/>
    <w:rsid w:val="00F7417F"/>
    <w:rsid w:val="00F743E7"/>
    <w:rsid w:val="00F74462"/>
    <w:rsid w:val="00F74476"/>
    <w:rsid w:val="00F7477A"/>
    <w:rsid w:val="00F7478B"/>
    <w:rsid w:val="00F74A20"/>
    <w:rsid w:val="00F74AE3"/>
    <w:rsid w:val="00F74B15"/>
    <w:rsid w:val="00F74B5B"/>
    <w:rsid w:val="00F74C12"/>
    <w:rsid w:val="00F74CEA"/>
    <w:rsid w:val="00F74DFE"/>
    <w:rsid w:val="00F74F43"/>
    <w:rsid w:val="00F75170"/>
    <w:rsid w:val="00F7554F"/>
    <w:rsid w:val="00F75646"/>
    <w:rsid w:val="00F75851"/>
    <w:rsid w:val="00F75934"/>
    <w:rsid w:val="00F75BD8"/>
    <w:rsid w:val="00F75D0C"/>
    <w:rsid w:val="00F75DC3"/>
    <w:rsid w:val="00F75F09"/>
    <w:rsid w:val="00F760CF"/>
    <w:rsid w:val="00F761AE"/>
    <w:rsid w:val="00F76310"/>
    <w:rsid w:val="00F7632A"/>
    <w:rsid w:val="00F7645A"/>
    <w:rsid w:val="00F7699A"/>
    <w:rsid w:val="00F76A3A"/>
    <w:rsid w:val="00F76A3B"/>
    <w:rsid w:val="00F76BA2"/>
    <w:rsid w:val="00F76BF4"/>
    <w:rsid w:val="00F76DCC"/>
    <w:rsid w:val="00F7718E"/>
    <w:rsid w:val="00F774EE"/>
    <w:rsid w:val="00F77569"/>
    <w:rsid w:val="00F775BF"/>
    <w:rsid w:val="00F77661"/>
    <w:rsid w:val="00F77689"/>
    <w:rsid w:val="00F77866"/>
    <w:rsid w:val="00F778C5"/>
    <w:rsid w:val="00F77963"/>
    <w:rsid w:val="00F77BB2"/>
    <w:rsid w:val="00F77EDF"/>
    <w:rsid w:val="00F802C0"/>
    <w:rsid w:val="00F802DA"/>
    <w:rsid w:val="00F804D5"/>
    <w:rsid w:val="00F805B8"/>
    <w:rsid w:val="00F807E4"/>
    <w:rsid w:val="00F80B49"/>
    <w:rsid w:val="00F80C00"/>
    <w:rsid w:val="00F80D74"/>
    <w:rsid w:val="00F80E22"/>
    <w:rsid w:val="00F80E51"/>
    <w:rsid w:val="00F80ECC"/>
    <w:rsid w:val="00F80EFB"/>
    <w:rsid w:val="00F8118F"/>
    <w:rsid w:val="00F811B1"/>
    <w:rsid w:val="00F81204"/>
    <w:rsid w:val="00F8133B"/>
    <w:rsid w:val="00F81491"/>
    <w:rsid w:val="00F81642"/>
    <w:rsid w:val="00F817B8"/>
    <w:rsid w:val="00F8186C"/>
    <w:rsid w:val="00F81AC7"/>
    <w:rsid w:val="00F81B50"/>
    <w:rsid w:val="00F81C3B"/>
    <w:rsid w:val="00F81D62"/>
    <w:rsid w:val="00F81E47"/>
    <w:rsid w:val="00F81E71"/>
    <w:rsid w:val="00F81E92"/>
    <w:rsid w:val="00F82166"/>
    <w:rsid w:val="00F82498"/>
    <w:rsid w:val="00F82516"/>
    <w:rsid w:val="00F82C8E"/>
    <w:rsid w:val="00F82F59"/>
    <w:rsid w:val="00F8322D"/>
    <w:rsid w:val="00F833E0"/>
    <w:rsid w:val="00F834A6"/>
    <w:rsid w:val="00F83788"/>
    <w:rsid w:val="00F837AD"/>
    <w:rsid w:val="00F83A6C"/>
    <w:rsid w:val="00F83A7C"/>
    <w:rsid w:val="00F83DB9"/>
    <w:rsid w:val="00F84266"/>
    <w:rsid w:val="00F84288"/>
    <w:rsid w:val="00F84378"/>
    <w:rsid w:val="00F8446D"/>
    <w:rsid w:val="00F844DB"/>
    <w:rsid w:val="00F847BB"/>
    <w:rsid w:val="00F84806"/>
    <w:rsid w:val="00F848B9"/>
    <w:rsid w:val="00F84D55"/>
    <w:rsid w:val="00F84D5F"/>
    <w:rsid w:val="00F84F2F"/>
    <w:rsid w:val="00F84F49"/>
    <w:rsid w:val="00F852D7"/>
    <w:rsid w:val="00F85385"/>
    <w:rsid w:val="00F854DE"/>
    <w:rsid w:val="00F85BAC"/>
    <w:rsid w:val="00F85D52"/>
    <w:rsid w:val="00F85E7F"/>
    <w:rsid w:val="00F8618B"/>
    <w:rsid w:val="00F86199"/>
    <w:rsid w:val="00F8672C"/>
    <w:rsid w:val="00F867BF"/>
    <w:rsid w:val="00F867DA"/>
    <w:rsid w:val="00F86A0A"/>
    <w:rsid w:val="00F86D1A"/>
    <w:rsid w:val="00F86F1B"/>
    <w:rsid w:val="00F86F75"/>
    <w:rsid w:val="00F8707C"/>
    <w:rsid w:val="00F8738D"/>
    <w:rsid w:val="00F8749A"/>
    <w:rsid w:val="00F8774D"/>
    <w:rsid w:val="00F87778"/>
    <w:rsid w:val="00F878C9"/>
    <w:rsid w:val="00F8790B"/>
    <w:rsid w:val="00F87DB3"/>
    <w:rsid w:val="00F87DB4"/>
    <w:rsid w:val="00F87DE0"/>
    <w:rsid w:val="00F87DE1"/>
    <w:rsid w:val="00F87DFD"/>
    <w:rsid w:val="00F9000C"/>
    <w:rsid w:val="00F9010D"/>
    <w:rsid w:val="00F9014B"/>
    <w:rsid w:val="00F9066B"/>
    <w:rsid w:val="00F9075C"/>
    <w:rsid w:val="00F908DC"/>
    <w:rsid w:val="00F90917"/>
    <w:rsid w:val="00F9093D"/>
    <w:rsid w:val="00F90973"/>
    <w:rsid w:val="00F90A5D"/>
    <w:rsid w:val="00F90BD7"/>
    <w:rsid w:val="00F90D0F"/>
    <w:rsid w:val="00F91397"/>
    <w:rsid w:val="00F9158C"/>
    <w:rsid w:val="00F917FC"/>
    <w:rsid w:val="00F91835"/>
    <w:rsid w:val="00F91C0D"/>
    <w:rsid w:val="00F91DD4"/>
    <w:rsid w:val="00F91EC5"/>
    <w:rsid w:val="00F91FB2"/>
    <w:rsid w:val="00F9245F"/>
    <w:rsid w:val="00F927E2"/>
    <w:rsid w:val="00F9282D"/>
    <w:rsid w:val="00F9291E"/>
    <w:rsid w:val="00F92A35"/>
    <w:rsid w:val="00F92A70"/>
    <w:rsid w:val="00F92AAA"/>
    <w:rsid w:val="00F92D22"/>
    <w:rsid w:val="00F92D9D"/>
    <w:rsid w:val="00F92DE8"/>
    <w:rsid w:val="00F92FAD"/>
    <w:rsid w:val="00F930D9"/>
    <w:rsid w:val="00F933AA"/>
    <w:rsid w:val="00F9350D"/>
    <w:rsid w:val="00F935FF"/>
    <w:rsid w:val="00F9373B"/>
    <w:rsid w:val="00F937C2"/>
    <w:rsid w:val="00F93B8C"/>
    <w:rsid w:val="00F942BF"/>
    <w:rsid w:val="00F943FE"/>
    <w:rsid w:val="00F944D9"/>
    <w:rsid w:val="00F947AA"/>
    <w:rsid w:val="00F947F5"/>
    <w:rsid w:val="00F9488C"/>
    <w:rsid w:val="00F948B9"/>
    <w:rsid w:val="00F94BC4"/>
    <w:rsid w:val="00F94C67"/>
    <w:rsid w:val="00F94D1F"/>
    <w:rsid w:val="00F94DAD"/>
    <w:rsid w:val="00F94DD3"/>
    <w:rsid w:val="00F94EA0"/>
    <w:rsid w:val="00F94FE2"/>
    <w:rsid w:val="00F95165"/>
    <w:rsid w:val="00F952D2"/>
    <w:rsid w:val="00F9550B"/>
    <w:rsid w:val="00F95737"/>
    <w:rsid w:val="00F95847"/>
    <w:rsid w:val="00F9591D"/>
    <w:rsid w:val="00F95A0B"/>
    <w:rsid w:val="00F95A3B"/>
    <w:rsid w:val="00F95A60"/>
    <w:rsid w:val="00F95B4E"/>
    <w:rsid w:val="00F95C97"/>
    <w:rsid w:val="00F960DA"/>
    <w:rsid w:val="00F96211"/>
    <w:rsid w:val="00F96243"/>
    <w:rsid w:val="00F962B0"/>
    <w:rsid w:val="00F9639B"/>
    <w:rsid w:val="00F9644F"/>
    <w:rsid w:val="00F9657C"/>
    <w:rsid w:val="00F967E3"/>
    <w:rsid w:val="00F96908"/>
    <w:rsid w:val="00F96975"/>
    <w:rsid w:val="00F96993"/>
    <w:rsid w:val="00F96C3D"/>
    <w:rsid w:val="00F96D75"/>
    <w:rsid w:val="00F96E3B"/>
    <w:rsid w:val="00F96F59"/>
    <w:rsid w:val="00F97085"/>
    <w:rsid w:val="00F970AA"/>
    <w:rsid w:val="00F97286"/>
    <w:rsid w:val="00F97310"/>
    <w:rsid w:val="00F97515"/>
    <w:rsid w:val="00F9762B"/>
    <w:rsid w:val="00F9775E"/>
    <w:rsid w:val="00F97784"/>
    <w:rsid w:val="00F978E4"/>
    <w:rsid w:val="00F979DD"/>
    <w:rsid w:val="00F97B46"/>
    <w:rsid w:val="00F97BF5"/>
    <w:rsid w:val="00F97CB4"/>
    <w:rsid w:val="00F97E70"/>
    <w:rsid w:val="00FA01F0"/>
    <w:rsid w:val="00FA0406"/>
    <w:rsid w:val="00FA0431"/>
    <w:rsid w:val="00FA0586"/>
    <w:rsid w:val="00FA0751"/>
    <w:rsid w:val="00FA0844"/>
    <w:rsid w:val="00FA0885"/>
    <w:rsid w:val="00FA0969"/>
    <w:rsid w:val="00FA0D9E"/>
    <w:rsid w:val="00FA0EF5"/>
    <w:rsid w:val="00FA1179"/>
    <w:rsid w:val="00FA12A3"/>
    <w:rsid w:val="00FA12F6"/>
    <w:rsid w:val="00FA1315"/>
    <w:rsid w:val="00FA13C2"/>
    <w:rsid w:val="00FA13FB"/>
    <w:rsid w:val="00FA14F3"/>
    <w:rsid w:val="00FA15A4"/>
    <w:rsid w:val="00FA15D7"/>
    <w:rsid w:val="00FA1683"/>
    <w:rsid w:val="00FA1685"/>
    <w:rsid w:val="00FA1811"/>
    <w:rsid w:val="00FA18A8"/>
    <w:rsid w:val="00FA18D8"/>
    <w:rsid w:val="00FA1925"/>
    <w:rsid w:val="00FA1A23"/>
    <w:rsid w:val="00FA1A2F"/>
    <w:rsid w:val="00FA1B70"/>
    <w:rsid w:val="00FA1BF5"/>
    <w:rsid w:val="00FA1C22"/>
    <w:rsid w:val="00FA1C2C"/>
    <w:rsid w:val="00FA1C55"/>
    <w:rsid w:val="00FA1C6A"/>
    <w:rsid w:val="00FA1ED5"/>
    <w:rsid w:val="00FA1F81"/>
    <w:rsid w:val="00FA216D"/>
    <w:rsid w:val="00FA2173"/>
    <w:rsid w:val="00FA217E"/>
    <w:rsid w:val="00FA233E"/>
    <w:rsid w:val="00FA23E9"/>
    <w:rsid w:val="00FA2581"/>
    <w:rsid w:val="00FA2703"/>
    <w:rsid w:val="00FA2810"/>
    <w:rsid w:val="00FA2820"/>
    <w:rsid w:val="00FA2A11"/>
    <w:rsid w:val="00FA2AE3"/>
    <w:rsid w:val="00FA2BAB"/>
    <w:rsid w:val="00FA2C38"/>
    <w:rsid w:val="00FA2D39"/>
    <w:rsid w:val="00FA2D5E"/>
    <w:rsid w:val="00FA2DBF"/>
    <w:rsid w:val="00FA2E28"/>
    <w:rsid w:val="00FA2E57"/>
    <w:rsid w:val="00FA2F0B"/>
    <w:rsid w:val="00FA30AB"/>
    <w:rsid w:val="00FA3113"/>
    <w:rsid w:val="00FA3220"/>
    <w:rsid w:val="00FA33B3"/>
    <w:rsid w:val="00FA33CD"/>
    <w:rsid w:val="00FA34DF"/>
    <w:rsid w:val="00FA3567"/>
    <w:rsid w:val="00FA35B6"/>
    <w:rsid w:val="00FA378A"/>
    <w:rsid w:val="00FA37FC"/>
    <w:rsid w:val="00FA3867"/>
    <w:rsid w:val="00FA38A9"/>
    <w:rsid w:val="00FA38EE"/>
    <w:rsid w:val="00FA3A98"/>
    <w:rsid w:val="00FA3AC6"/>
    <w:rsid w:val="00FA3B54"/>
    <w:rsid w:val="00FA3D4C"/>
    <w:rsid w:val="00FA3E17"/>
    <w:rsid w:val="00FA3E9E"/>
    <w:rsid w:val="00FA423E"/>
    <w:rsid w:val="00FA4289"/>
    <w:rsid w:val="00FA469B"/>
    <w:rsid w:val="00FA47A5"/>
    <w:rsid w:val="00FA4937"/>
    <w:rsid w:val="00FA4A94"/>
    <w:rsid w:val="00FA4BC3"/>
    <w:rsid w:val="00FA4D80"/>
    <w:rsid w:val="00FA4D8A"/>
    <w:rsid w:val="00FA4EFD"/>
    <w:rsid w:val="00FA4FBE"/>
    <w:rsid w:val="00FA526F"/>
    <w:rsid w:val="00FA52C7"/>
    <w:rsid w:val="00FA52CB"/>
    <w:rsid w:val="00FA53BE"/>
    <w:rsid w:val="00FA54A1"/>
    <w:rsid w:val="00FA54B3"/>
    <w:rsid w:val="00FA58D7"/>
    <w:rsid w:val="00FA5A3B"/>
    <w:rsid w:val="00FA5CA5"/>
    <w:rsid w:val="00FA603F"/>
    <w:rsid w:val="00FA60E0"/>
    <w:rsid w:val="00FA614E"/>
    <w:rsid w:val="00FA6264"/>
    <w:rsid w:val="00FA63FC"/>
    <w:rsid w:val="00FA66EE"/>
    <w:rsid w:val="00FA6BF8"/>
    <w:rsid w:val="00FA6C95"/>
    <w:rsid w:val="00FA6E29"/>
    <w:rsid w:val="00FA714D"/>
    <w:rsid w:val="00FA7247"/>
    <w:rsid w:val="00FA7268"/>
    <w:rsid w:val="00FA7323"/>
    <w:rsid w:val="00FA737E"/>
    <w:rsid w:val="00FA75A9"/>
    <w:rsid w:val="00FA76AC"/>
    <w:rsid w:val="00FA76C6"/>
    <w:rsid w:val="00FA772E"/>
    <w:rsid w:val="00FA7785"/>
    <w:rsid w:val="00FA7886"/>
    <w:rsid w:val="00FA794D"/>
    <w:rsid w:val="00FA7B02"/>
    <w:rsid w:val="00FA7B17"/>
    <w:rsid w:val="00FA7D1F"/>
    <w:rsid w:val="00FA7D4C"/>
    <w:rsid w:val="00FA7DA6"/>
    <w:rsid w:val="00FA7EE4"/>
    <w:rsid w:val="00FB0023"/>
    <w:rsid w:val="00FB01A5"/>
    <w:rsid w:val="00FB0219"/>
    <w:rsid w:val="00FB02A2"/>
    <w:rsid w:val="00FB04DB"/>
    <w:rsid w:val="00FB0511"/>
    <w:rsid w:val="00FB053B"/>
    <w:rsid w:val="00FB06B7"/>
    <w:rsid w:val="00FB07F0"/>
    <w:rsid w:val="00FB080A"/>
    <w:rsid w:val="00FB0964"/>
    <w:rsid w:val="00FB097E"/>
    <w:rsid w:val="00FB0AED"/>
    <w:rsid w:val="00FB0B92"/>
    <w:rsid w:val="00FB0C06"/>
    <w:rsid w:val="00FB0CA4"/>
    <w:rsid w:val="00FB0D8C"/>
    <w:rsid w:val="00FB0DA1"/>
    <w:rsid w:val="00FB0EF0"/>
    <w:rsid w:val="00FB11BC"/>
    <w:rsid w:val="00FB1503"/>
    <w:rsid w:val="00FB154E"/>
    <w:rsid w:val="00FB18CC"/>
    <w:rsid w:val="00FB1A55"/>
    <w:rsid w:val="00FB1E0B"/>
    <w:rsid w:val="00FB1EA7"/>
    <w:rsid w:val="00FB1EE3"/>
    <w:rsid w:val="00FB22A1"/>
    <w:rsid w:val="00FB22E7"/>
    <w:rsid w:val="00FB2707"/>
    <w:rsid w:val="00FB27F5"/>
    <w:rsid w:val="00FB2A8A"/>
    <w:rsid w:val="00FB2B3B"/>
    <w:rsid w:val="00FB2DCD"/>
    <w:rsid w:val="00FB2DCF"/>
    <w:rsid w:val="00FB2F8B"/>
    <w:rsid w:val="00FB3ADF"/>
    <w:rsid w:val="00FB4088"/>
    <w:rsid w:val="00FB4098"/>
    <w:rsid w:val="00FB417F"/>
    <w:rsid w:val="00FB4414"/>
    <w:rsid w:val="00FB4607"/>
    <w:rsid w:val="00FB46AD"/>
    <w:rsid w:val="00FB49BA"/>
    <w:rsid w:val="00FB4BC4"/>
    <w:rsid w:val="00FB4BC8"/>
    <w:rsid w:val="00FB4C56"/>
    <w:rsid w:val="00FB4D4A"/>
    <w:rsid w:val="00FB5546"/>
    <w:rsid w:val="00FB55F4"/>
    <w:rsid w:val="00FB561C"/>
    <w:rsid w:val="00FB56EB"/>
    <w:rsid w:val="00FB580E"/>
    <w:rsid w:val="00FB5C92"/>
    <w:rsid w:val="00FB5C9E"/>
    <w:rsid w:val="00FB5CAF"/>
    <w:rsid w:val="00FB5E88"/>
    <w:rsid w:val="00FB5F6F"/>
    <w:rsid w:val="00FB64F1"/>
    <w:rsid w:val="00FB6623"/>
    <w:rsid w:val="00FB666F"/>
    <w:rsid w:val="00FB671C"/>
    <w:rsid w:val="00FB67FB"/>
    <w:rsid w:val="00FB6896"/>
    <w:rsid w:val="00FB6918"/>
    <w:rsid w:val="00FB6978"/>
    <w:rsid w:val="00FB6A30"/>
    <w:rsid w:val="00FB6A34"/>
    <w:rsid w:val="00FB6FC5"/>
    <w:rsid w:val="00FB70A7"/>
    <w:rsid w:val="00FB7196"/>
    <w:rsid w:val="00FB7332"/>
    <w:rsid w:val="00FB7422"/>
    <w:rsid w:val="00FB7485"/>
    <w:rsid w:val="00FB7814"/>
    <w:rsid w:val="00FB7C44"/>
    <w:rsid w:val="00FB7D50"/>
    <w:rsid w:val="00FB7ED9"/>
    <w:rsid w:val="00FB7F66"/>
    <w:rsid w:val="00FC0020"/>
    <w:rsid w:val="00FC0116"/>
    <w:rsid w:val="00FC050C"/>
    <w:rsid w:val="00FC05D0"/>
    <w:rsid w:val="00FC072E"/>
    <w:rsid w:val="00FC0A40"/>
    <w:rsid w:val="00FC0A92"/>
    <w:rsid w:val="00FC0AF9"/>
    <w:rsid w:val="00FC0BA0"/>
    <w:rsid w:val="00FC0BE2"/>
    <w:rsid w:val="00FC0E33"/>
    <w:rsid w:val="00FC0F1F"/>
    <w:rsid w:val="00FC112A"/>
    <w:rsid w:val="00FC11DE"/>
    <w:rsid w:val="00FC15E7"/>
    <w:rsid w:val="00FC1726"/>
    <w:rsid w:val="00FC1781"/>
    <w:rsid w:val="00FC1A98"/>
    <w:rsid w:val="00FC1C58"/>
    <w:rsid w:val="00FC1E6C"/>
    <w:rsid w:val="00FC203A"/>
    <w:rsid w:val="00FC20A4"/>
    <w:rsid w:val="00FC211C"/>
    <w:rsid w:val="00FC230A"/>
    <w:rsid w:val="00FC2406"/>
    <w:rsid w:val="00FC250F"/>
    <w:rsid w:val="00FC277E"/>
    <w:rsid w:val="00FC2A2D"/>
    <w:rsid w:val="00FC2F47"/>
    <w:rsid w:val="00FC2FAF"/>
    <w:rsid w:val="00FC2FC6"/>
    <w:rsid w:val="00FC2FCE"/>
    <w:rsid w:val="00FC2FF2"/>
    <w:rsid w:val="00FC3256"/>
    <w:rsid w:val="00FC32E6"/>
    <w:rsid w:val="00FC3348"/>
    <w:rsid w:val="00FC34D4"/>
    <w:rsid w:val="00FC34E7"/>
    <w:rsid w:val="00FC360A"/>
    <w:rsid w:val="00FC3877"/>
    <w:rsid w:val="00FC3B51"/>
    <w:rsid w:val="00FC3CC8"/>
    <w:rsid w:val="00FC3E7F"/>
    <w:rsid w:val="00FC3F20"/>
    <w:rsid w:val="00FC3F69"/>
    <w:rsid w:val="00FC3FD3"/>
    <w:rsid w:val="00FC4178"/>
    <w:rsid w:val="00FC41F7"/>
    <w:rsid w:val="00FC4211"/>
    <w:rsid w:val="00FC427A"/>
    <w:rsid w:val="00FC42F8"/>
    <w:rsid w:val="00FC4392"/>
    <w:rsid w:val="00FC4409"/>
    <w:rsid w:val="00FC4458"/>
    <w:rsid w:val="00FC4503"/>
    <w:rsid w:val="00FC454D"/>
    <w:rsid w:val="00FC460E"/>
    <w:rsid w:val="00FC474B"/>
    <w:rsid w:val="00FC47CB"/>
    <w:rsid w:val="00FC485A"/>
    <w:rsid w:val="00FC4AE8"/>
    <w:rsid w:val="00FC4B66"/>
    <w:rsid w:val="00FC4BE8"/>
    <w:rsid w:val="00FC4EB0"/>
    <w:rsid w:val="00FC4EBC"/>
    <w:rsid w:val="00FC521E"/>
    <w:rsid w:val="00FC5666"/>
    <w:rsid w:val="00FC5A09"/>
    <w:rsid w:val="00FC5BC1"/>
    <w:rsid w:val="00FC5C86"/>
    <w:rsid w:val="00FC5EFE"/>
    <w:rsid w:val="00FC5FB0"/>
    <w:rsid w:val="00FC60BC"/>
    <w:rsid w:val="00FC6137"/>
    <w:rsid w:val="00FC61B0"/>
    <w:rsid w:val="00FC6419"/>
    <w:rsid w:val="00FC657A"/>
    <w:rsid w:val="00FC65E5"/>
    <w:rsid w:val="00FC665D"/>
    <w:rsid w:val="00FC6746"/>
    <w:rsid w:val="00FC68B7"/>
    <w:rsid w:val="00FC6983"/>
    <w:rsid w:val="00FC69A3"/>
    <w:rsid w:val="00FC6A9D"/>
    <w:rsid w:val="00FC6AB7"/>
    <w:rsid w:val="00FC6ECB"/>
    <w:rsid w:val="00FC6F06"/>
    <w:rsid w:val="00FC6F48"/>
    <w:rsid w:val="00FC7126"/>
    <w:rsid w:val="00FC72E0"/>
    <w:rsid w:val="00FC744A"/>
    <w:rsid w:val="00FC7526"/>
    <w:rsid w:val="00FC759E"/>
    <w:rsid w:val="00FC762D"/>
    <w:rsid w:val="00FC7909"/>
    <w:rsid w:val="00FC7AA0"/>
    <w:rsid w:val="00FC7CE2"/>
    <w:rsid w:val="00FC7E7C"/>
    <w:rsid w:val="00FC7F8F"/>
    <w:rsid w:val="00FD0205"/>
    <w:rsid w:val="00FD020D"/>
    <w:rsid w:val="00FD0223"/>
    <w:rsid w:val="00FD06D4"/>
    <w:rsid w:val="00FD0A86"/>
    <w:rsid w:val="00FD0AE3"/>
    <w:rsid w:val="00FD0C42"/>
    <w:rsid w:val="00FD0DC2"/>
    <w:rsid w:val="00FD0DD5"/>
    <w:rsid w:val="00FD0E16"/>
    <w:rsid w:val="00FD0E9E"/>
    <w:rsid w:val="00FD114B"/>
    <w:rsid w:val="00FD1166"/>
    <w:rsid w:val="00FD1426"/>
    <w:rsid w:val="00FD16AC"/>
    <w:rsid w:val="00FD1730"/>
    <w:rsid w:val="00FD1795"/>
    <w:rsid w:val="00FD196F"/>
    <w:rsid w:val="00FD1C5C"/>
    <w:rsid w:val="00FD1E3B"/>
    <w:rsid w:val="00FD1FC7"/>
    <w:rsid w:val="00FD20DA"/>
    <w:rsid w:val="00FD239C"/>
    <w:rsid w:val="00FD25D9"/>
    <w:rsid w:val="00FD2781"/>
    <w:rsid w:val="00FD2C66"/>
    <w:rsid w:val="00FD2CE7"/>
    <w:rsid w:val="00FD2DB3"/>
    <w:rsid w:val="00FD2F20"/>
    <w:rsid w:val="00FD3140"/>
    <w:rsid w:val="00FD3213"/>
    <w:rsid w:val="00FD33A8"/>
    <w:rsid w:val="00FD33B8"/>
    <w:rsid w:val="00FD3435"/>
    <w:rsid w:val="00FD3542"/>
    <w:rsid w:val="00FD371C"/>
    <w:rsid w:val="00FD3728"/>
    <w:rsid w:val="00FD377E"/>
    <w:rsid w:val="00FD38CE"/>
    <w:rsid w:val="00FD3924"/>
    <w:rsid w:val="00FD3B49"/>
    <w:rsid w:val="00FD3C0A"/>
    <w:rsid w:val="00FD3EA0"/>
    <w:rsid w:val="00FD3F46"/>
    <w:rsid w:val="00FD4053"/>
    <w:rsid w:val="00FD413F"/>
    <w:rsid w:val="00FD4911"/>
    <w:rsid w:val="00FD4951"/>
    <w:rsid w:val="00FD4C54"/>
    <w:rsid w:val="00FD4CDC"/>
    <w:rsid w:val="00FD4E1D"/>
    <w:rsid w:val="00FD4EA0"/>
    <w:rsid w:val="00FD4EF9"/>
    <w:rsid w:val="00FD4FB4"/>
    <w:rsid w:val="00FD5124"/>
    <w:rsid w:val="00FD51D1"/>
    <w:rsid w:val="00FD5218"/>
    <w:rsid w:val="00FD5623"/>
    <w:rsid w:val="00FD5668"/>
    <w:rsid w:val="00FD5B71"/>
    <w:rsid w:val="00FD5E52"/>
    <w:rsid w:val="00FD5EB5"/>
    <w:rsid w:val="00FD5ED4"/>
    <w:rsid w:val="00FD5FC8"/>
    <w:rsid w:val="00FD6186"/>
    <w:rsid w:val="00FD6212"/>
    <w:rsid w:val="00FD6531"/>
    <w:rsid w:val="00FD6970"/>
    <w:rsid w:val="00FD699F"/>
    <w:rsid w:val="00FD6D12"/>
    <w:rsid w:val="00FD6D19"/>
    <w:rsid w:val="00FD7217"/>
    <w:rsid w:val="00FD7510"/>
    <w:rsid w:val="00FD7584"/>
    <w:rsid w:val="00FD79DB"/>
    <w:rsid w:val="00FD7B85"/>
    <w:rsid w:val="00FD7C2E"/>
    <w:rsid w:val="00FD7DA2"/>
    <w:rsid w:val="00FE02B0"/>
    <w:rsid w:val="00FE0726"/>
    <w:rsid w:val="00FE07BF"/>
    <w:rsid w:val="00FE07C6"/>
    <w:rsid w:val="00FE0BF1"/>
    <w:rsid w:val="00FE0C13"/>
    <w:rsid w:val="00FE0C5B"/>
    <w:rsid w:val="00FE0CDA"/>
    <w:rsid w:val="00FE0EDC"/>
    <w:rsid w:val="00FE10DC"/>
    <w:rsid w:val="00FE1286"/>
    <w:rsid w:val="00FE1321"/>
    <w:rsid w:val="00FE162A"/>
    <w:rsid w:val="00FE1861"/>
    <w:rsid w:val="00FE19DC"/>
    <w:rsid w:val="00FE1B50"/>
    <w:rsid w:val="00FE1E0D"/>
    <w:rsid w:val="00FE1F16"/>
    <w:rsid w:val="00FE2323"/>
    <w:rsid w:val="00FE2669"/>
    <w:rsid w:val="00FE2739"/>
    <w:rsid w:val="00FE27E0"/>
    <w:rsid w:val="00FE2A7A"/>
    <w:rsid w:val="00FE2D1B"/>
    <w:rsid w:val="00FE2E4C"/>
    <w:rsid w:val="00FE2EDC"/>
    <w:rsid w:val="00FE2FAF"/>
    <w:rsid w:val="00FE2FE4"/>
    <w:rsid w:val="00FE3091"/>
    <w:rsid w:val="00FE310C"/>
    <w:rsid w:val="00FE3341"/>
    <w:rsid w:val="00FE33AB"/>
    <w:rsid w:val="00FE33AF"/>
    <w:rsid w:val="00FE34DA"/>
    <w:rsid w:val="00FE3611"/>
    <w:rsid w:val="00FE3695"/>
    <w:rsid w:val="00FE37A6"/>
    <w:rsid w:val="00FE3B41"/>
    <w:rsid w:val="00FE3B6A"/>
    <w:rsid w:val="00FE3C38"/>
    <w:rsid w:val="00FE3DFF"/>
    <w:rsid w:val="00FE4138"/>
    <w:rsid w:val="00FE4246"/>
    <w:rsid w:val="00FE4284"/>
    <w:rsid w:val="00FE46E8"/>
    <w:rsid w:val="00FE4735"/>
    <w:rsid w:val="00FE475D"/>
    <w:rsid w:val="00FE4B78"/>
    <w:rsid w:val="00FE4BD7"/>
    <w:rsid w:val="00FE4C86"/>
    <w:rsid w:val="00FE4FB1"/>
    <w:rsid w:val="00FE4FBF"/>
    <w:rsid w:val="00FE4FEA"/>
    <w:rsid w:val="00FE508A"/>
    <w:rsid w:val="00FE5326"/>
    <w:rsid w:val="00FE5585"/>
    <w:rsid w:val="00FE55C5"/>
    <w:rsid w:val="00FE58AD"/>
    <w:rsid w:val="00FE58F8"/>
    <w:rsid w:val="00FE5981"/>
    <w:rsid w:val="00FE5AF2"/>
    <w:rsid w:val="00FE5BCD"/>
    <w:rsid w:val="00FE5E98"/>
    <w:rsid w:val="00FE5FF0"/>
    <w:rsid w:val="00FE60F8"/>
    <w:rsid w:val="00FE6113"/>
    <w:rsid w:val="00FE61A0"/>
    <w:rsid w:val="00FE62B6"/>
    <w:rsid w:val="00FE6445"/>
    <w:rsid w:val="00FE6614"/>
    <w:rsid w:val="00FE6859"/>
    <w:rsid w:val="00FE68F7"/>
    <w:rsid w:val="00FE6904"/>
    <w:rsid w:val="00FE695D"/>
    <w:rsid w:val="00FE6973"/>
    <w:rsid w:val="00FE69A9"/>
    <w:rsid w:val="00FE6A3F"/>
    <w:rsid w:val="00FE6A4E"/>
    <w:rsid w:val="00FE6B08"/>
    <w:rsid w:val="00FE6B33"/>
    <w:rsid w:val="00FE6BEF"/>
    <w:rsid w:val="00FE6D6F"/>
    <w:rsid w:val="00FE6D84"/>
    <w:rsid w:val="00FE6D92"/>
    <w:rsid w:val="00FE6DDB"/>
    <w:rsid w:val="00FE6F07"/>
    <w:rsid w:val="00FE6F3D"/>
    <w:rsid w:val="00FE6FE3"/>
    <w:rsid w:val="00FE712D"/>
    <w:rsid w:val="00FE717E"/>
    <w:rsid w:val="00FE7270"/>
    <w:rsid w:val="00FE7482"/>
    <w:rsid w:val="00FE76E9"/>
    <w:rsid w:val="00FE793D"/>
    <w:rsid w:val="00FE7BDC"/>
    <w:rsid w:val="00FE7CCB"/>
    <w:rsid w:val="00FE7E8A"/>
    <w:rsid w:val="00FF02DE"/>
    <w:rsid w:val="00FF0495"/>
    <w:rsid w:val="00FF0595"/>
    <w:rsid w:val="00FF05A1"/>
    <w:rsid w:val="00FF05F4"/>
    <w:rsid w:val="00FF06F5"/>
    <w:rsid w:val="00FF073F"/>
    <w:rsid w:val="00FF079B"/>
    <w:rsid w:val="00FF0AF6"/>
    <w:rsid w:val="00FF0B2D"/>
    <w:rsid w:val="00FF0BCE"/>
    <w:rsid w:val="00FF0C7A"/>
    <w:rsid w:val="00FF0CB5"/>
    <w:rsid w:val="00FF0DB5"/>
    <w:rsid w:val="00FF0FAA"/>
    <w:rsid w:val="00FF11C2"/>
    <w:rsid w:val="00FF11F4"/>
    <w:rsid w:val="00FF147F"/>
    <w:rsid w:val="00FF15CE"/>
    <w:rsid w:val="00FF1637"/>
    <w:rsid w:val="00FF1765"/>
    <w:rsid w:val="00FF17B6"/>
    <w:rsid w:val="00FF193B"/>
    <w:rsid w:val="00FF19FB"/>
    <w:rsid w:val="00FF1B57"/>
    <w:rsid w:val="00FF1C01"/>
    <w:rsid w:val="00FF1C5E"/>
    <w:rsid w:val="00FF1F14"/>
    <w:rsid w:val="00FF2036"/>
    <w:rsid w:val="00FF20D0"/>
    <w:rsid w:val="00FF23CD"/>
    <w:rsid w:val="00FF24B1"/>
    <w:rsid w:val="00FF254F"/>
    <w:rsid w:val="00FF25CB"/>
    <w:rsid w:val="00FF2783"/>
    <w:rsid w:val="00FF27BD"/>
    <w:rsid w:val="00FF2809"/>
    <w:rsid w:val="00FF280F"/>
    <w:rsid w:val="00FF2904"/>
    <w:rsid w:val="00FF2A42"/>
    <w:rsid w:val="00FF2C6A"/>
    <w:rsid w:val="00FF2F59"/>
    <w:rsid w:val="00FF3230"/>
    <w:rsid w:val="00FF357A"/>
    <w:rsid w:val="00FF3618"/>
    <w:rsid w:val="00FF3694"/>
    <w:rsid w:val="00FF3781"/>
    <w:rsid w:val="00FF3865"/>
    <w:rsid w:val="00FF3CD7"/>
    <w:rsid w:val="00FF3DC2"/>
    <w:rsid w:val="00FF3EB6"/>
    <w:rsid w:val="00FF4260"/>
    <w:rsid w:val="00FF4626"/>
    <w:rsid w:val="00FF4631"/>
    <w:rsid w:val="00FF4704"/>
    <w:rsid w:val="00FF473B"/>
    <w:rsid w:val="00FF474A"/>
    <w:rsid w:val="00FF4763"/>
    <w:rsid w:val="00FF4A64"/>
    <w:rsid w:val="00FF4A97"/>
    <w:rsid w:val="00FF4D91"/>
    <w:rsid w:val="00FF4ECD"/>
    <w:rsid w:val="00FF4F18"/>
    <w:rsid w:val="00FF4F90"/>
    <w:rsid w:val="00FF4FB9"/>
    <w:rsid w:val="00FF506C"/>
    <w:rsid w:val="00FF5082"/>
    <w:rsid w:val="00FF52BF"/>
    <w:rsid w:val="00FF540F"/>
    <w:rsid w:val="00FF556A"/>
    <w:rsid w:val="00FF55D9"/>
    <w:rsid w:val="00FF56C2"/>
    <w:rsid w:val="00FF5707"/>
    <w:rsid w:val="00FF593A"/>
    <w:rsid w:val="00FF5A07"/>
    <w:rsid w:val="00FF5A61"/>
    <w:rsid w:val="00FF5C08"/>
    <w:rsid w:val="00FF5C60"/>
    <w:rsid w:val="00FF5CE8"/>
    <w:rsid w:val="00FF5DE1"/>
    <w:rsid w:val="00FF5F36"/>
    <w:rsid w:val="00FF6100"/>
    <w:rsid w:val="00FF61BB"/>
    <w:rsid w:val="00FF622F"/>
    <w:rsid w:val="00FF63EA"/>
    <w:rsid w:val="00FF650B"/>
    <w:rsid w:val="00FF6657"/>
    <w:rsid w:val="00FF66D9"/>
    <w:rsid w:val="00FF6B72"/>
    <w:rsid w:val="00FF6BBC"/>
    <w:rsid w:val="00FF6C21"/>
    <w:rsid w:val="00FF6CEA"/>
    <w:rsid w:val="00FF6E5E"/>
    <w:rsid w:val="00FF6E99"/>
    <w:rsid w:val="00FF6FDC"/>
    <w:rsid w:val="00FF7160"/>
    <w:rsid w:val="00FF72E4"/>
    <w:rsid w:val="00FF7474"/>
    <w:rsid w:val="00FF7507"/>
    <w:rsid w:val="00FF7687"/>
    <w:rsid w:val="00FF785C"/>
    <w:rsid w:val="00FF7878"/>
    <w:rsid w:val="00FF7937"/>
    <w:rsid w:val="00FF7A9D"/>
    <w:rsid w:val="00FF7A9E"/>
    <w:rsid w:val="00FF7E25"/>
    <w:rsid w:val="00FF7E74"/>
    <w:rsid w:val="00FF7E81"/>
    <w:rsid w:val="00FF7EBA"/>
    <w:rsid w:val="00FF7F0F"/>
    <w:rsid w:val="00FF7F77"/>
    <w:rsid w:val="011E965E"/>
    <w:rsid w:val="01344119"/>
    <w:rsid w:val="013DD8C2"/>
    <w:rsid w:val="01BC40C0"/>
    <w:rsid w:val="01CAFDB0"/>
    <w:rsid w:val="01D7B752"/>
    <w:rsid w:val="01E982C2"/>
    <w:rsid w:val="02256C31"/>
    <w:rsid w:val="0230AD33"/>
    <w:rsid w:val="024DC7CE"/>
    <w:rsid w:val="02809B6F"/>
    <w:rsid w:val="029D2E1A"/>
    <w:rsid w:val="02CA27D0"/>
    <w:rsid w:val="02D3CB2B"/>
    <w:rsid w:val="02E64F19"/>
    <w:rsid w:val="02ECFCAA"/>
    <w:rsid w:val="03201CF2"/>
    <w:rsid w:val="03337640"/>
    <w:rsid w:val="03644BE4"/>
    <w:rsid w:val="0373A3E1"/>
    <w:rsid w:val="0373F476"/>
    <w:rsid w:val="03785E7A"/>
    <w:rsid w:val="03B81C8F"/>
    <w:rsid w:val="03DF647C"/>
    <w:rsid w:val="045F3323"/>
    <w:rsid w:val="0465F831"/>
    <w:rsid w:val="048467FA"/>
    <w:rsid w:val="04995636"/>
    <w:rsid w:val="04CBE36C"/>
    <w:rsid w:val="04D21F93"/>
    <w:rsid w:val="04F38126"/>
    <w:rsid w:val="04FD897E"/>
    <w:rsid w:val="050DC836"/>
    <w:rsid w:val="0510283F"/>
    <w:rsid w:val="05325D64"/>
    <w:rsid w:val="0536257E"/>
    <w:rsid w:val="053FF90D"/>
    <w:rsid w:val="0552700D"/>
    <w:rsid w:val="055926AC"/>
    <w:rsid w:val="055D8C2E"/>
    <w:rsid w:val="0586159B"/>
    <w:rsid w:val="05875141"/>
    <w:rsid w:val="058A3C3E"/>
    <w:rsid w:val="05B767A5"/>
    <w:rsid w:val="05CAE3A4"/>
    <w:rsid w:val="0635E373"/>
    <w:rsid w:val="0650885E"/>
    <w:rsid w:val="0669AEB3"/>
    <w:rsid w:val="06933E54"/>
    <w:rsid w:val="069632B1"/>
    <w:rsid w:val="06DBBAE3"/>
    <w:rsid w:val="06DF1A1C"/>
    <w:rsid w:val="06E22E02"/>
    <w:rsid w:val="075124C0"/>
    <w:rsid w:val="0760AC79"/>
    <w:rsid w:val="07710236"/>
    <w:rsid w:val="07A7B440"/>
    <w:rsid w:val="07C652B3"/>
    <w:rsid w:val="07D0FE87"/>
    <w:rsid w:val="07E36F00"/>
    <w:rsid w:val="07E53841"/>
    <w:rsid w:val="07E654ED"/>
    <w:rsid w:val="07F098AD"/>
    <w:rsid w:val="0800E236"/>
    <w:rsid w:val="080F658A"/>
    <w:rsid w:val="08150FC8"/>
    <w:rsid w:val="08491BCB"/>
    <w:rsid w:val="086A3046"/>
    <w:rsid w:val="08A7B629"/>
    <w:rsid w:val="08BF897B"/>
    <w:rsid w:val="0953976A"/>
    <w:rsid w:val="095402C4"/>
    <w:rsid w:val="0956DC47"/>
    <w:rsid w:val="0959B611"/>
    <w:rsid w:val="0962D4F6"/>
    <w:rsid w:val="09AE2A48"/>
    <w:rsid w:val="09E1DD9F"/>
    <w:rsid w:val="0A3B5FB6"/>
    <w:rsid w:val="0A9B0767"/>
    <w:rsid w:val="0AA212DD"/>
    <w:rsid w:val="0AB5FCEE"/>
    <w:rsid w:val="0AB6F7BA"/>
    <w:rsid w:val="0ADCA763"/>
    <w:rsid w:val="0AEF00E2"/>
    <w:rsid w:val="0B24E110"/>
    <w:rsid w:val="0BA11E92"/>
    <w:rsid w:val="0BA1F0C3"/>
    <w:rsid w:val="0BA97066"/>
    <w:rsid w:val="0C6A3226"/>
    <w:rsid w:val="0C7F0794"/>
    <w:rsid w:val="0C964D8D"/>
    <w:rsid w:val="0C96901A"/>
    <w:rsid w:val="0CA48CCC"/>
    <w:rsid w:val="0D1D3AD1"/>
    <w:rsid w:val="0D507FAC"/>
    <w:rsid w:val="0DCA2A9A"/>
    <w:rsid w:val="0DFC0665"/>
    <w:rsid w:val="0E1B65A5"/>
    <w:rsid w:val="0E24D702"/>
    <w:rsid w:val="0E8A2069"/>
    <w:rsid w:val="0E8D09CF"/>
    <w:rsid w:val="0E8E0535"/>
    <w:rsid w:val="0E965849"/>
    <w:rsid w:val="0EE87C39"/>
    <w:rsid w:val="0F0C6190"/>
    <w:rsid w:val="0F88D6D8"/>
    <w:rsid w:val="0F9BF3FD"/>
    <w:rsid w:val="0FB58AFC"/>
    <w:rsid w:val="0FD65842"/>
    <w:rsid w:val="0FDC6433"/>
    <w:rsid w:val="10184387"/>
    <w:rsid w:val="101C8CEF"/>
    <w:rsid w:val="1020E662"/>
    <w:rsid w:val="103DAC6F"/>
    <w:rsid w:val="10400954"/>
    <w:rsid w:val="1042D03E"/>
    <w:rsid w:val="105FC80E"/>
    <w:rsid w:val="106F0AA7"/>
    <w:rsid w:val="109C337E"/>
    <w:rsid w:val="10B0F48D"/>
    <w:rsid w:val="10B93F6D"/>
    <w:rsid w:val="10CED03A"/>
    <w:rsid w:val="10D55EDE"/>
    <w:rsid w:val="10EC0845"/>
    <w:rsid w:val="117AF385"/>
    <w:rsid w:val="11A3D530"/>
    <w:rsid w:val="11C5C64A"/>
    <w:rsid w:val="12102986"/>
    <w:rsid w:val="1229F9D0"/>
    <w:rsid w:val="126799D8"/>
    <w:rsid w:val="128DB0A0"/>
    <w:rsid w:val="128E3289"/>
    <w:rsid w:val="128E6062"/>
    <w:rsid w:val="12BA3AF0"/>
    <w:rsid w:val="12C01916"/>
    <w:rsid w:val="12C5FB83"/>
    <w:rsid w:val="12E3224B"/>
    <w:rsid w:val="12FA80E9"/>
    <w:rsid w:val="13030475"/>
    <w:rsid w:val="1313B3DE"/>
    <w:rsid w:val="131A4E2E"/>
    <w:rsid w:val="1322DA11"/>
    <w:rsid w:val="132646D1"/>
    <w:rsid w:val="13409F92"/>
    <w:rsid w:val="1360E86E"/>
    <w:rsid w:val="1392497E"/>
    <w:rsid w:val="13AF0B17"/>
    <w:rsid w:val="13C0EDC7"/>
    <w:rsid w:val="13C8FA38"/>
    <w:rsid w:val="13D82841"/>
    <w:rsid w:val="13E5D7AD"/>
    <w:rsid w:val="13F6F598"/>
    <w:rsid w:val="1408568A"/>
    <w:rsid w:val="141F9046"/>
    <w:rsid w:val="142C1B4F"/>
    <w:rsid w:val="1441A14D"/>
    <w:rsid w:val="14449D11"/>
    <w:rsid w:val="14631BD7"/>
    <w:rsid w:val="14968D4B"/>
    <w:rsid w:val="14BFB129"/>
    <w:rsid w:val="151FE519"/>
    <w:rsid w:val="152CA0BC"/>
    <w:rsid w:val="156BF170"/>
    <w:rsid w:val="1588285E"/>
    <w:rsid w:val="162A64EB"/>
    <w:rsid w:val="16353F67"/>
    <w:rsid w:val="164751BA"/>
    <w:rsid w:val="16B53304"/>
    <w:rsid w:val="16D56381"/>
    <w:rsid w:val="16EB195C"/>
    <w:rsid w:val="17236A1E"/>
    <w:rsid w:val="173A9134"/>
    <w:rsid w:val="174434F1"/>
    <w:rsid w:val="1751F403"/>
    <w:rsid w:val="17732D6C"/>
    <w:rsid w:val="17960715"/>
    <w:rsid w:val="17ADA6B5"/>
    <w:rsid w:val="17D05090"/>
    <w:rsid w:val="17EF00B9"/>
    <w:rsid w:val="17F826DF"/>
    <w:rsid w:val="1823517F"/>
    <w:rsid w:val="1836B33D"/>
    <w:rsid w:val="1841B880"/>
    <w:rsid w:val="1856C9C4"/>
    <w:rsid w:val="1874D574"/>
    <w:rsid w:val="18943A36"/>
    <w:rsid w:val="19465B78"/>
    <w:rsid w:val="195AF874"/>
    <w:rsid w:val="19AEF6C5"/>
    <w:rsid w:val="19CE6C6E"/>
    <w:rsid w:val="19DF9AA7"/>
    <w:rsid w:val="19E72903"/>
    <w:rsid w:val="1A06AC72"/>
    <w:rsid w:val="1A4F9F57"/>
    <w:rsid w:val="1A54364E"/>
    <w:rsid w:val="1A656212"/>
    <w:rsid w:val="1A71181F"/>
    <w:rsid w:val="1A8A7DCA"/>
    <w:rsid w:val="1A9F8B3D"/>
    <w:rsid w:val="1AB538B5"/>
    <w:rsid w:val="1ABAB1BD"/>
    <w:rsid w:val="1AC6DF4D"/>
    <w:rsid w:val="1ACB49AB"/>
    <w:rsid w:val="1ADFAF31"/>
    <w:rsid w:val="1AF98DCE"/>
    <w:rsid w:val="1B131AD2"/>
    <w:rsid w:val="1B28F63A"/>
    <w:rsid w:val="1BA3BA78"/>
    <w:rsid w:val="1BC25FB1"/>
    <w:rsid w:val="1BC5FA52"/>
    <w:rsid w:val="1BCCBDD7"/>
    <w:rsid w:val="1BD6DF18"/>
    <w:rsid w:val="1C005DC0"/>
    <w:rsid w:val="1C21FE39"/>
    <w:rsid w:val="1C2BA950"/>
    <w:rsid w:val="1C35AF0C"/>
    <w:rsid w:val="1C3AD73E"/>
    <w:rsid w:val="1C598DB3"/>
    <w:rsid w:val="1C5E29A7"/>
    <w:rsid w:val="1CA0713B"/>
    <w:rsid w:val="1D5A616B"/>
    <w:rsid w:val="1E143EC4"/>
    <w:rsid w:val="1E7363AE"/>
    <w:rsid w:val="1E80C49A"/>
    <w:rsid w:val="1EA5E0C4"/>
    <w:rsid w:val="1EC9121B"/>
    <w:rsid w:val="1F02471B"/>
    <w:rsid w:val="1F21789C"/>
    <w:rsid w:val="1F554102"/>
    <w:rsid w:val="1FE054E7"/>
    <w:rsid w:val="1FE2A7A6"/>
    <w:rsid w:val="20038D54"/>
    <w:rsid w:val="20297D8C"/>
    <w:rsid w:val="20311460"/>
    <w:rsid w:val="210FE59D"/>
    <w:rsid w:val="2174D90E"/>
    <w:rsid w:val="21983F2B"/>
    <w:rsid w:val="21A111B6"/>
    <w:rsid w:val="21CD2278"/>
    <w:rsid w:val="21CF5291"/>
    <w:rsid w:val="21DF8DEC"/>
    <w:rsid w:val="21EB7241"/>
    <w:rsid w:val="221861DB"/>
    <w:rsid w:val="2232956A"/>
    <w:rsid w:val="225C121B"/>
    <w:rsid w:val="22682D86"/>
    <w:rsid w:val="22AD2D4E"/>
    <w:rsid w:val="22DCCC35"/>
    <w:rsid w:val="22E058A6"/>
    <w:rsid w:val="234B0E49"/>
    <w:rsid w:val="23649040"/>
    <w:rsid w:val="23A07510"/>
    <w:rsid w:val="23C42F3D"/>
    <w:rsid w:val="23DC58DA"/>
    <w:rsid w:val="23DD1AAF"/>
    <w:rsid w:val="23E4A0B9"/>
    <w:rsid w:val="24205723"/>
    <w:rsid w:val="247F40A4"/>
    <w:rsid w:val="24A5AF1E"/>
    <w:rsid w:val="24F4080B"/>
    <w:rsid w:val="24F9E660"/>
    <w:rsid w:val="2509B998"/>
    <w:rsid w:val="25130F96"/>
    <w:rsid w:val="25431F05"/>
    <w:rsid w:val="256E7BFD"/>
    <w:rsid w:val="25B44FB8"/>
    <w:rsid w:val="25EA6325"/>
    <w:rsid w:val="2610FEF7"/>
    <w:rsid w:val="262C6AD4"/>
    <w:rsid w:val="265F8B85"/>
    <w:rsid w:val="26670D57"/>
    <w:rsid w:val="266DFF22"/>
    <w:rsid w:val="2672681B"/>
    <w:rsid w:val="268623BF"/>
    <w:rsid w:val="269F3A4E"/>
    <w:rsid w:val="26D0B502"/>
    <w:rsid w:val="26D2FA11"/>
    <w:rsid w:val="26D55F3A"/>
    <w:rsid w:val="26EBAE89"/>
    <w:rsid w:val="271162B6"/>
    <w:rsid w:val="27264729"/>
    <w:rsid w:val="272E0A2F"/>
    <w:rsid w:val="2750337F"/>
    <w:rsid w:val="2774F7E3"/>
    <w:rsid w:val="27770E8D"/>
    <w:rsid w:val="277EF1FE"/>
    <w:rsid w:val="2795F287"/>
    <w:rsid w:val="27A13802"/>
    <w:rsid w:val="27BC5D08"/>
    <w:rsid w:val="27EF5B17"/>
    <w:rsid w:val="27F05244"/>
    <w:rsid w:val="27F78886"/>
    <w:rsid w:val="28043434"/>
    <w:rsid w:val="2839D127"/>
    <w:rsid w:val="283D7386"/>
    <w:rsid w:val="28893298"/>
    <w:rsid w:val="28961E1B"/>
    <w:rsid w:val="28E25628"/>
    <w:rsid w:val="28E2DF3B"/>
    <w:rsid w:val="28EF9FA8"/>
    <w:rsid w:val="29C91CC0"/>
    <w:rsid w:val="29C991B0"/>
    <w:rsid w:val="29D4F23C"/>
    <w:rsid w:val="29EC66C6"/>
    <w:rsid w:val="29FD4ABC"/>
    <w:rsid w:val="29FF81BD"/>
    <w:rsid w:val="2A1B9213"/>
    <w:rsid w:val="2A39EDF5"/>
    <w:rsid w:val="2A4744C5"/>
    <w:rsid w:val="2A6CECB5"/>
    <w:rsid w:val="2A98327F"/>
    <w:rsid w:val="2AA72D59"/>
    <w:rsid w:val="2AB64425"/>
    <w:rsid w:val="2AB75963"/>
    <w:rsid w:val="2AC178D0"/>
    <w:rsid w:val="2B046631"/>
    <w:rsid w:val="2B04B36E"/>
    <w:rsid w:val="2B5F0387"/>
    <w:rsid w:val="2B67C67F"/>
    <w:rsid w:val="2B749B32"/>
    <w:rsid w:val="2B91F2F7"/>
    <w:rsid w:val="2B930B6F"/>
    <w:rsid w:val="2BB73890"/>
    <w:rsid w:val="2BD2EB65"/>
    <w:rsid w:val="2BD8CCD7"/>
    <w:rsid w:val="2BF4F429"/>
    <w:rsid w:val="2BF9F36E"/>
    <w:rsid w:val="2C00A458"/>
    <w:rsid w:val="2C223E81"/>
    <w:rsid w:val="2C2E2C76"/>
    <w:rsid w:val="2C579730"/>
    <w:rsid w:val="2C69A933"/>
    <w:rsid w:val="2C88E54F"/>
    <w:rsid w:val="2CE18947"/>
    <w:rsid w:val="2CF88A9B"/>
    <w:rsid w:val="2D09675D"/>
    <w:rsid w:val="2D16BF84"/>
    <w:rsid w:val="2D502928"/>
    <w:rsid w:val="2D78D752"/>
    <w:rsid w:val="2DB1A79C"/>
    <w:rsid w:val="2DB8286A"/>
    <w:rsid w:val="2DC2DE5C"/>
    <w:rsid w:val="2DCF26DB"/>
    <w:rsid w:val="2DE1CEBC"/>
    <w:rsid w:val="2E368E25"/>
    <w:rsid w:val="2E558B05"/>
    <w:rsid w:val="2E5FA712"/>
    <w:rsid w:val="2E7A2C03"/>
    <w:rsid w:val="2E8C47A1"/>
    <w:rsid w:val="2EA3C9A9"/>
    <w:rsid w:val="2EB32BDA"/>
    <w:rsid w:val="2EB9E622"/>
    <w:rsid w:val="2ECE8849"/>
    <w:rsid w:val="2EDD9A05"/>
    <w:rsid w:val="2EE6BF1F"/>
    <w:rsid w:val="2EEFB2C0"/>
    <w:rsid w:val="2F28185D"/>
    <w:rsid w:val="2F3C61D4"/>
    <w:rsid w:val="2F5CD201"/>
    <w:rsid w:val="2F7970CB"/>
    <w:rsid w:val="2FC97911"/>
    <w:rsid w:val="3034AD10"/>
    <w:rsid w:val="30F230BF"/>
    <w:rsid w:val="311AB68E"/>
    <w:rsid w:val="31642FAD"/>
    <w:rsid w:val="31AF07DC"/>
    <w:rsid w:val="31BB1691"/>
    <w:rsid w:val="31C4479B"/>
    <w:rsid w:val="31E1557D"/>
    <w:rsid w:val="31E3BFCF"/>
    <w:rsid w:val="31FA000B"/>
    <w:rsid w:val="3244451D"/>
    <w:rsid w:val="3246BC36"/>
    <w:rsid w:val="32A80AF4"/>
    <w:rsid w:val="32C23881"/>
    <w:rsid w:val="32C791A7"/>
    <w:rsid w:val="32E0D6E1"/>
    <w:rsid w:val="32E1F6B3"/>
    <w:rsid w:val="32EE3D39"/>
    <w:rsid w:val="32FAF0B7"/>
    <w:rsid w:val="331ABA9E"/>
    <w:rsid w:val="332E9DA8"/>
    <w:rsid w:val="332FAAEC"/>
    <w:rsid w:val="33982A32"/>
    <w:rsid w:val="345AAA29"/>
    <w:rsid w:val="3462AAE2"/>
    <w:rsid w:val="34850295"/>
    <w:rsid w:val="34896D23"/>
    <w:rsid w:val="3495C5B6"/>
    <w:rsid w:val="34CB3DE4"/>
    <w:rsid w:val="34F1D0AD"/>
    <w:rsid w:val="34F82387"/>
    <w:rsid w:val="3514149B"/>
    <w:rsid w:val="353EC30E"/>
    <w:rsid w:val="354E1E14"/>
    <w:rsid w:val="35DE0C85"/>
    <w:rsid w:val="361C841A"/>
    <w:rsid w:val="364F8512"/>
    <w:rsid w:val="364FE32C"/>
    <w:rsid w:val="36514042"/>
    <w:rsid w:val="36548837"/>
    <w:rsid w:val="36576DE4"/>
    <w:rsid w:val="3687DEAD"/>
    <w:rsid w:val="36ADB531"/>
    <w:rsid w:val="36BD8B67"/>
    <w:rsid w:val="36C32C61"/>
    <w:rsid w:val="36E04FEC"/>
    <w:rsid w:val="36F598D0"/>
    <w:rsid w:val="37102E5C"/>
    <w:rsid w:val="373486B9"/>
    <w:rsid w:val="373F56ED"/>
    <w:rsid w:val="3765E6E3"/>
    <w:rsid w:val="37C0E3AB"/>
    <w:rsid w:val="37D35879"/>
    <w:rsid w:val="37E01BFB"/>
    <w:rsid w:val="37E50FBB"/>
    <w:rsid w:val="380081A4"/>
    <w:rsid w:val="3809D885"/>
    <w:rsid w:val="382F78E4"/>
    <w:rsid w:val="383257D1"/>
    <w:rsid w:val="383FF5C0"/>
    <w:rsid w:val="384F19F1"/>
    <w:rsid w:val="386FA152"/>
    <w:rsid w:val="38B2D131"/>
    <w:rsid w:val="38C6006F"/>
    <w:rsid w:val="38D4DECE"/>
    <w:rsid w:val="3916B15D"/>
    <w:rsid w:val="39351DD8"/>
    <w:rsid w:val="39528247"/>
    <w:rsid w:val="39634A80"/>
    <w:rsid w:val="39713606"/>
    <w:rsid w:val="3976F782"/>
    <w:rsid w:val="3986B695"/>
    <w:rsid w:val="399F782B"/>
    <w:rsid w:val="39E08C69"/>
    <w:rsid w:val="39ECC6A2"/>
    <w:rsid w:val="3A0C55EE"/>
    <w:rsid w:val="3A97B6C9"/>
    <w:rsid w:val="3B268D01"/>
    <w:rsid w:val="3B575618"/>
    <w:rsid w:val="3B5AA2E8"/>
    <w:rsid w:val="3B6688D8"/>
    <w:rsid w:val="3B7BA0D3"/>
    <w:rsid w:val="3B9CEDB8"/>
    <w:rsid w:val="3BA46C17"/>
    <w:rsid w:val="3BAC5649"/>
    <w:rsid w:val="3BAE92A8"/>
    <w:rsid w:val="3BB8241B"/>
    <w:rsid w:val="3BDE19F4"/>
    <w:rsid w:val="3BE32A13"/>
    <w:rsid w:val="3BF0D6FB"/>
    <w:rsid w:val="3C0E16D7"/>
    <w:rsid w:val="3C1CE681"/>
    <w:rsid w:val="3C1F7661"/>
    <w:rsid w:val="3C27E6C9"/>
    <w:rsid w:val="3C5B671B"/>
    <w:rsid w:val="3CBA83F3"/>
    <w:rsid w:val="3CD4CD03"/>
    <w:rsid w:val="3CEB86AF"/>
    <w:rsid w:val="3D37E495"/>
    <w:rsid w:val="3DCB7981"/>
    <w:rsid w:val="3DDC7470"/>
    <w:rsid w:val="3E007EB1"/>
    <w:rsid w:val="3E1A9BEB"/>
    <w:rsid w:val="3E5B887E"/>
    <w:rsid w:val="3E6A9B57"/>
    <w:rsid w:val="3E860300"/>
    <w:rsid w:val="3EA65CE2"/>
    <w:rsid w:val="3EAFE4D3"/>
    <w:rsid w:val="3ED40CD4"/>
    <w:rsid w:val="3ED9BC0F"/>
    <w:rsid w:val="3EEB12B8"/>
    <w:rsid w:val="3F29D176"/>
    <w:rsid w:val="400ADFF3"/>
    <w:rsid w:val="4010B708"/>
    <w:rsid w:val="4037A6A5"/>
    <w:rsid w:val="404025C2"/>
    <w:rsid w:val="40FF23C8"/>
    <w:rsid w:val="4101E5A2"/>
    <w:rsid w:val="412B28F1"/>
    <w:rsid w:val="414D2F14"/>
    <w:rsid w:val="415049FF"/>
    <w:rsid w:val="419EAE47"/>
    <w:rsid w:val="41A58158"/>
    <w:rsid w:val="41E410EA"/>
    <w:rsid w:val="41F7E906"/>
    <w:rsid w:val="41FE72D9"/>
    <w:rsid w:val="42704CF0"/>
    <w:rsid w:val="42776C31"/>
    <w:rsid w:val="42C96B0C"/>
    <w:rsid w:val="42F68E57"/>
    <w:rsid w:val="4309A5FF"/>
    <w:rsid w:val="434630B5"/>
    <w:rsid w:val="435A0BA6"/>
    <w:rsid w:val="437B6C71"/>
    <w:rsid w:val="43AD8FF9"/>
    <w:rsid w:val="43B95329"/>
    <w:rsid w:val="44036256"/>
    <w:rsid w:val="440BFCAF"/>
    <w:rsid w:val="443EA3D3"/>
    <w:rsid w:val="44421D0A"/>
    <w:rsid w:val="44651D8A"/>
    <w:rsid w:val="446B7DBB"/>
    <w:rsid w:val="447D63AB"/>
    <w:rsid w:val="44F287EE"/>
    <w:rsid w:val="44F71354"/>
    <w:rsid w:val="4505601B"/>
    <w:rsid w:val="45389D3B"/>
    <w:rsid w:val="45587ECB"/>
    <w:rsid w:val="4563CC16"/>
    <w:rsid w:val="45CA9950"/>
    <w:rsid w:val="45D1D635"/>
    <w:rsid w:val="45DEC5E5"/>
    <w:rsid w:val="45DFC9B0"/>
    <w:rsid w:val="46109D76"/>
    <w:rsid w:val="46235F4B"/>
    <w:rsid w:val="46582EC9"/>
    <w:rsid w:val="46970932"/>
    <w:rsid w:val="46A527DF"/>
    <w:rsid w:val="4719F906"/>
    <w:rsid w:val="471A1D95"/>
    <w:rsid w:val="47616762"/>
    <w:rsid w:val="4783ECAE"/>
    <w:rsid w:val="47BA809B"/>
    <w:rsid w:val="47CF77D0"/>
    <w:rsid w:val="47E284CC"/>
    <w:rsid w:val="484188D1"/>
    <w:rsid w:val="488083B7"/>
    <w:rsid w:val="48B7CD25"/>
    <w:rsid w:val="48C89C76"/>
    <w:rsid w:val="48CF91FA"/>
    <w:rsid w:val="491AC698"/>
    <w:rsid w:val="491CA826"/>
    <w:rsid w:val="492593B1"/>
    <w:rsid w:val="497DBDB5"/>
    <w:rsid w:val="4A06B0D4"/>
    <w:rsid w:val="4A0AF857"/>
    <w:rsid w:val="4A15DBA2"/>
    <w:rsid w:val="4A3203AA"/>
    <w:rsid w:val="4A44F761"/>
    <w:rsid w:val="4A587349"/>
    <w:rsid w:val="4A64B083"/>
    <w:rsid w:val="4A74CE26"/>
    <w:rsid w:val="4A8596C2"/>
    <w:rsid w:val="4B014905"/>
    <w:rsid w:val="4B182570"/>
    <w:rsid w:val="4B313E2B"/>
    <w:rsid w:val="4B3EABAD"/>
    <w:rsid w:val="4B797D67"/>
    <w:rsid w:val="4B7A3D8E"/>
    <w:rsid w:val="4B8D418B"/>
    <w:rsid w:val="4BA00744"/>
    <w:rsid w:val="4BFF76C0"/>
    <w:rsid w:val="4C02BBA0"/>
    <w:rsid w:val="4C4797EB"/>
    <w:rsid w:val="4C52937D"/>
    <w:rsid w:val="4C8F5DE6"/>
    <w:rsid w:val="4CAA7E3C"/>
    <w:rsid w:val="4CDC1E70"/>
    <w:rsid w:val="4CE80737"/>
    <w:rsid w:val="4D6644F2"/>
    <w:rsid w:val="4D979008"/>
    <w:rsid w:val="4E038D08"/>
    <w:rsid w:val="4E0434F3"/>
    <w:rsid w:val="4E129C4F"/>
    <w:rsid w:val="4E6402E6"/>
    <w:rsid w:val="4E715239"/>
    <w:rsid w:val="4E804266"/>
    <w:rsid w:val="4E91FAF3"/>
    <w:rsid w:val="4ED2707A"/>
    <w:rsid w:val="4EE1B11D"/>
    <w:rsid w:val="4F39E9E7"/>
    <w:rsid w:val="4F5C9FF7"/>
    <w:rsid w:val="4F61374C"/>
    <w:rsid w:val="4F754C47"/>
    <w:rsid w:val="4FB86CA1"/>
    <w:rsid w:val="4FC2A1D6"/>
    <w:rsid w:val="4FD60DBE"/>
    <w:rsid w:val="5009E392"/>
    <w:rsid w:val="503E7FC3"/>
    <w:rsid w:val="50C2A292"/>
    <w:rsid w:val="50E58789"/>
    <w:rsid w:val="510669A0"/>
    <w:rsid w:val="51434FF3"/>
    <w:rsid w:val="515F0F9B"/>
    <w:rsid w:val="518FF206"/>
    <w:rsid w:val="519E6B27"/>
    <w:rsid w:val="51C1ABAB"/>
    <w:rsid w:val="5210F9A3"/>
    <w:rsid w:val="523A4A91"/>
    <w:rsid w:val="523A8B6D"/>
    <w:rsid w:val="525DCAC0"/>
    <w:rsid w:val="5263B967"/>
    <w:rsid w:val="5264EB89"/>
    <w:rsid w:val="5279D7D4"/>
    <w:rsid w:val="529BE593"/>
    <w:rsid w:val="529DA443"/>
    <w:rsid w:val="52B4D4FA"/>
    <w:rsid w:val="52DE53AF"/>
    <w:rsid w:val="52DEC18A"/>
    <w:rsid w:val="52E7DFCF"/>
    <w:rsid w:val="52EB83E8"/>
    <w:rsid w:val="5327D749"/>
    <w:rsid w:val="537361CA"/>
    <w:rsid w:val="5386652B"/>
    <w:rsid w:val="53CC8A4B"/>
    <w:rsid w:val="54057899"/>
    <w:rsid w:val="540E9828"/>
    <w:rsid w:val="542BB269"/>
    <w:rsid w:val="54327F47"/>
    <w:rsid w:val="5467314D"/>
    <w:rsid w:val="5479B305"/>
    <w:rsid w:val="54DB4C77"/>
    <w:rsid w:val="54F80290"/>
    <w:rsid w:val="55075349"/>
    <w:rsid w:val="551D582F"/>
    <w:rsid w:val="553E2A70"/>
    <w:rsid w:val="5559F422"/>
    <w:rsid w:val="555E70C8"/>
    <w:rsid w:val="5561736E"/>
    <w:rsid w:val="559FDB46"/>
    <w:rsid w:val="55E60BBD"/>
    <w:rsid w:val="5602BC9F"/>
    <w:rsid w:val="560F46D8"/>
    <w:rsid w:val="56589009"/>
    <w:rsid w:val="5690944D"/>
    <w:rsid w:val="5696B5D7"/>
    <w:rsid w:val="56A9772F"/>
    <w:rsid w:val="56F4EE75"/>
    <w:rsid w:val="5749AFD8"/>
    <w:rsid w:val="577738FF"/>
    <w:rsid w:val="57E92D39"/>
    <w:rsid w:val="57F7865C"/>
    <w:rsid w:val="57FB4F9A"/>
    <w:rsid w:val="58487C2F"/>
    <w:rsid w:val="588B92C2"/>
    <w:rsid w:val="58D7D181"/>
    <w:rsid w:val="5903489E"/>
    <w:rsid w:val="5927E15B"/>
    <w:rsid w:val="593456D5"/>
    <w:rsid w:val="59618B8B"/>
    <w:rsid w:val="596B186A"/>
    <w:rsid w:val="597299C6"/>
    <w:rsid w:val="598EF3E9"/>
    <w:rsid w:val="599F0F02"/>
    <w:rsid w:val="59E3DFE7"/>
    <w:rsid w:val="59E759FA"/>
    <w:rsid w:val="5A22EF80"/>
    <w:rsid w:val="5A237336"/>
    <w:rsid w:val="5A2A83BA"/>
    <w:rsid w:val="5A5057D8"/>
    <w:rsid w:val="5A746B9D"/>
    <w:rsid w:val="5AE0CF9E"/>
    <w:rsid w:val="5B1A18C8"/>
    <w:rsid w:val="5B1F3259"/>
    <w:rsid w:val="5B4AC0CC"/>
    <w:rsid w:val="5B8E056F"/>
    <w:rsid w:val="5BAC5FFB"/>
    <w:rsid w:val="5BBB4277"/>
    <w:rsid w:val="5BCA891F"/>
    <w:rsid w:val="5C01A735"/>
    <w:rsid w:val="5C368D60"/>
    <w:rsid w:val="5C51D10F"/>
    <w:rsid w:val="5C859BE9"/>
    <w:rsid w:val="5C8B26FF"/>
    <w:rsid w:val="5CD9B3C0"/>
    <w:rsid w:val="5CEC16FF"/>
    <w:rsid w:val="5CEEB3C4"/>
    <w:rsid w:val="5D19F92F"/>
    <w:rsid w:val="5D22EFC7"/>
    <w:rsid w:val="5D417DB8"/>
    <w:rsid w:val="5D656FC6"/>
    <w:rsid w:val="5D67528E"/>
    <w:rsid w:val="5D94E29F"/>
    <w:rsid w:val="5DA92AFD"/>
    <w:rsid w:val="5DE3FED0"/>
    <w:rsid w:val="5DEF058B"/>
    <w:rsid w:val="5E001676"/>
    <w:rsid w:val="5E21CCD2"/>
    <w:rsid w:val="5E596553"/>
    <w:rsid w:val="5E7A187A"/>
    <w:rsid w:val="5E7AF5F1"/>
    <w:rsid w:val="5ED6ACF4"/>
    <w:rsid w:val="5F5C82C6"/>
    <w:rsid w:val="5F5E7E6B"/>
    <w:rsid w:val="5F7B62AB"/>
    <w:rsid w:val="5FF94CF2"/>
    <w:rsid w:val="603CE01E"/>
    <w:rsid w:val="6045A229"/>
    <w:rsid w:val="609CC70E"/>
    <w:rsid w:val="60EDCA7B"/>
    <w:rsid w:val="60F1BACD"/>
    <w:rsid w:val="60F65B34"/>
    <w:rsid w:val="60FC4D63"/>
    <w:rsid w:val="6120A4F5"/>
    <w:rsid w:val="613405E1"/>
    <w:rsid w:val="613BB4AC"/>
    <w:rsid w:val="61870C90"/>
    <w:rsid w:val="618801A9"/>
    <w:rsid w:val="61BB4BA8"/>
    <w:rsid w:val="62140330"/>
    <w:rsid w:val="62415DE6"/>
    <w:rsid w:val="625829FA"/>
    <w:rsid w:val="6285B286"/>
    <w:rsid w:val="633B9AC4"/>
    <w:rsid w:val="63406CE1"/>
    <w:rsid w:val="637B31C5"/>
    <w:rsid w:val="63851789"/>
    <w:rsid w:val="639D119C"/>
    <w:rsid w:val="63A321A9"/>
    <w:rsid w:val="63A7E02F"/>
    <w:rsid w:val="63C13B5D"/>
    <w:rsid w:val="642554D2"/>
    <w:rsid w:val="64277031"/>
    <w:rsid w:val="6470DEB9"/>
    <w:rsid w:val="648100DC"/>
    <w:rsid w:val="64FBE758"/>
    <w:rsid w:val="651DC6CD"/>
    <w:rsid w:val="6534A18D"/>
    <w:rsid w:val="65776CA8"/>
    <w:rsid w:val="658217F9"/>
    <w:rsid w:val="65A512FD"/>
    <w:rsid w:val="65B9E590"/>
    <w:rsid w:val="65C487CC"/>
    <w:rsid w:val="669B3EBC"/>
    <w:rsid w:val="66C0C52D"/>
    <w:rsid w:val="66C254A7"/>
    <w:rsid w:val="66E3C180"/>
    <w:rsid w:val="671F5CD4"/>
    <w:rsid w:val="673710FE"/>
    <w:rsid w:val="6779269D"/>
    <w:rsid w:val="678DBDE6"/>
    <w:rsid w:val="67B84E6B"/>
    <w:rsid w:val="67C9BE6A"/>
    <w:rsid w:val="67EB3D51"/>
    <w:rsid w:val="68004184"/>
    <w:rsid w:val="680A78F6"/>
    <w:rsid w:val="6818B56F"/>
    <w:rsid w:val="68278AA7"/>
    <w:rsid w:val="682BFE1C"/>
    <w:rsid w:val="6857A36D"/>
    <w:rsid w:val="68AB8E49"/>
    <w:rsid w:val="69146002"/>
    <w:rsid w:val="691F4B9F"/>
    <w:rsid w:val="694A1C97"/>
    <w:rsid w:val="695EF2CF"/>
    <w:rsid w:val="69DA9680"/>
    <w:rsid w:val="69EDC2B0"/>
    <w:rsid w:val="6A0CF48A"/>
    <w:rsid w:val="6A22F5B9"/>
    <w:rsid w:val="6A2B5B1B"/>
    <w:rsid w:val="6A3C2DEE"/>
    <w:rsid w:val="6A63E4E8"/>
    <w:rsid w:val="6A840182"/>
    <w:rsid w:val="6AA9CD3C"/>
    <w:rsid w:val="6B0BBE08"/>
    <w:rsid w:val="6B1E5976"/>
    <w:rsid w:val="6B3AB76B"/>
    <w:rsid w:val="6B8C5494"/>
    <w:rsid w:val="6B8E504B"/>
    <w:rsid w:val="6BAF50B0"/>
    <w:rsid w:val="6BEB7F0D"/>
    <w:rsid w:val="6BFAB8BB"/>
    <w:rsid w:val="6C129A00"/>
    <w:rsid w:val="6CA2B521"/>
    <w:rsid w:val="6CC7874D"/>
    <w:rsid w:val="6CEFE613"/>
    <w:rsid w:val="6D0159FD"/>
    <w:rsid w:val="6D1B710A"/>
    <w:rsid w:val="6D202190"/>
    <w:rsid w:val="6D5D978E"/>
    <w:rsid w:val="6D66E9F7"/>
    <w:rsid w:val="6DA242FD"/>
    <w:rsid w:val="6DF3743E"/>
    <w:rsid w:val="6E53C955"/>
    <w:rsid w:val="6E5AA936"/>
    <w:rsid w:val="6E6067A3"/>
    <w:rsid w:val="6E9BDC46"/>
    <w:rsid w:val="6E9CE57B"/>
    <w:rsid w:val="6EB6E97A"/>
    <w:rsid w:val="6EE97304"/>
    <w:rsid w:val="6F0DF4A1"/>
    <w:rsid w:val="6F2A6276"/>
    <w:rsid w:val="6F302258"/>
    <w:rsid w:val="6F3E5A63"/>
    <w:rsid w:val="6F4E2459"/>
    <w:rsid w:val="6F572A72"/>
    <w:rsid w:val="6F5A62A2"/>
    <w:rsid w:val="6F7319E4"/>
    <w:rsid w:val="6F79FD67"/>
    <w:rsid w:val="6F9060A1"/>
    <w:rsid w:val="6FA7ED0E"/>
    <w:rsid w:val="6FC209B6"/>
    <w:rsid w:val="6FE5AAF2"/>
    <w:rsid w:val="6FF1FE87"/>
    <w:rsid w:val="701A5917"/>
    <w:rsid w:val="7021332E"/>
    <w:rsid w:val="702DABAE"/>
    <w:rsid w:val="70328F51"/>
    <w:rsid w:val="7081D0AB"/>
    <w:rsid w:val="709CDD78"/>
    <w:rsid w:val="70C39CF8"/>
    <w:rsid w:val="70F5303E"/>
    <w:rsid w:val="71C9768F"/>
    <w:rsid w:val="71F6F181"/>
    <w:rsid w:val="72FEC0F8"/>
    <w:rsid w:val="734FF826"/>
    <w:rsid w:val="735C20A1"/>
    <w:rsid w:val="736C6CD1"/>
    <w:rsid w:val="739AB61F"/>
    <w:rsid w:val="739E8066"/>
    <w:rsid w:val="73CAD876"/>
    <w:rsid w:val="73DE0D1D"/>
    <w:rsid w:val="740149E2"/>
    <w:rsid w:val="7401A9A0"/>
    <w:rsid w:val="7448E815"/>
    <w:rsid w:val="7464D3BC"/>
    <w:rsid w:val="74733C8E"/>
    <w:rsid w:val="747E6BC4"/>
    <w:rsid w:val="748C477C"/>
    <w:rsid w:val="754930FB"/>
    <w:rsid w:val="7572F1C0"/>
    <w:rsid w:val="75982057"/>
    <w:rsid w:val="75AD0D07"/>
    <w:rsid w:val="75CAF6A0"/>
    <w:rsid w:val="75E038EB"/>
    <w:rsid w:val="75E28F87"/>
    <w:rsid w:val="76078189"/>
    <w:rsid w:val="764CF6B7"/>
    <w:rsid w:val="764CF88B"/>
    <w:rsid w:val="765DA42F"/>
    <w:rsid w:val="76819C48"/>
    <w:rsid w:val="769FBDB3"/>
    <w:rsid w:val="76AA49E4"/>
    <w:rsid w:val="77016D2E"/>
    <w:rsid w:val="771238C6"/>
    <w:rsid w:val="771EDF8A"/>
    <w:rsid w:val="77229CF2"/>
    <w:rsid w:val="774C76EF"/>
    <w:rsid w:val="775A8616"/>
    <w:rsid w:val="778CF93B"/>
    <w:rsid w:val="779D163B"/>
    <w:rsid w:val="77D5F071"/>
    <w:rsid w:val="77D76726"/>
    <w:rsid w:val="77FF9DF8"/>
    <w:rsid w:val="7840D86B"/>
    <w:rsid w:val="78439A7D"/>
    <w:rsid w:val="78586306"/>
    <w:rsid w:val="78707AF6"/>
    <w:rsid w:val="78B74C76"/>
    <w:rsid w:val="78EE1730"/>
    <w:rsid w:val="7968973D"/>
    <w:rsid w:val="7985B6E2"/>
    <w:rsid w:val="7998CF18"/>
    <w:rsid w:val="79B3694D"/>
    <w:rsid w:val="79B58105"/>
    <w:rsid w:val="79C2F632"/>
    <w:rsid w:val="79C32144"/>
    <w:rsid w:val="79DF081E"/>
    <w:rsid w:val="7A29D917"/>
    <w:rsid w:val="7A2C1FDB"/>
    <w:rsid w:val="7A4744F7"/>
    <w:rsid w:val="7A491EDB"/>
    <w:rsid w:val="7A4A9BBF"/>
    <w:rsid w:val="7A8CA3C0"/>
    <w:rsid w:val="7A9E5B11"/>
    <w:rsid w:val="7AB13417"/>
    <w:rsid w:val="7B1E2079"/>
    <w:rsid w:val="7B2FBA68"/>
    <w:rsid w:val="7B5A489B"/>
    <w:rsid w:val="7B687E33"/>
    <w:rsid w:val="7B78004D"/>
    <w:rsid w:val="7B95E9FA"/>
    <w:rsid w:val="7BAF8EFC"/>
    <w:rsid w:val="7BB4338B"/>
    <w:rsid w:val="7BE17C86"/>
    <w:rsid w:val="7BF4D026"/>
    <w:rsid w:val="7CA88E92"/>
    <w:rsid w:val="7CAB76B9"/>
    <w:rsid w:val="7CD1E529"/>
    <w:rsid w:val="7CDE82A2"/>
    <w:rsid w:val="7CFCEC88"/>
    <w:rsid w:val="7D019E94"/>
    <w:rsid w:val="7D2078E9"/>
    <w:rsid w:val="7D24B5A8"/>
    <w:rsid w:val="7D3DDB3C"/>
    <w:rsid w:val="7D4B6307"/>
    <w:rsid w:val="7DCDE436"/>
    <w:rsid w:val="7DFA7552"/>
    <w:rsid w:val="7E1C65D0"/>
    <w:rsid w:val="7E4AD773"/>
    <w:rsid w:val="7E57A27B"/>
    <w:rsid w:val="7E84A1BC"/>
    <w:rsid w:val="7EA2F41D"/>
    <w:rsid w:val="7EA88DAE"/>
    <w:rsid w:val="7EE96E40"/>
    <w:rsid w:val="7EF85C95"/>
    <w:rsid w:val="7F02118A"/>
    <w:rsid w:val="7F33777C"/>
    <w:rsid w:val="7F487AAE"/>
    <w:rsid w:val="7F60483A"/>
    <w:rsid w:val="7FC5EEE3"/>
    <w:rsid w:val="7FFB99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13F90F"/>
  <w15:docId w15:val="{374BB0DC-0560-4654-ABE2-9F7B92BA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69" w:qFormat="1"/>
    <w:lsdException w:name="heading 1" w:uiPriority="29" w:qFormat="1"/>
    <w:lsdException w:name="heading 2" w:semiHidden="1" w:uiPriority="29" w:unhideWhenUsed="1" w:qFormat="1"/>
    <w:lsdException w:name="heading 3" w:semiHidden="1" w:uiPriority="29" w:unhideWhenUsed="1" w:qFormat="1"/>
    <w:lsdException w:name="heading 4" w:semiHidden="1" w:uiPriority="29" w:unhideWhenUsed="1" w:qFormat="1"/>
    <w:lsdException w:name="heading 5" w:semiHidden="1" w:uiPriority="29" w:unhideWhenUsed="1" w:qFormat="1"/>
    <w:lsdException w:name="heading 6" w:semiHidden="1" w:uiPriority="29" w:unhideWhenUsed="1" w:qFormat="1"/>
    <w:lsdException w:name="heading 7" w:semiHidden="1" w:uiPriority="29" w:unhideWhenUsed="1"/>
    <w:lsdException w:name="heading 8" w:semiHidden="1" w:uiPriority="29" w:unhideWhenUsed="1" w:qFormat="1"/>
    <w:lsdException w:name="heading 9" w:semiHidden="1" w:uiPriority="2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2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0" w:unhideWhenUsed="1" w:qFormat="1"/>
    <w:lsdException w:name="List Number 3" w:semiHidden="1" w:uiPriority="20" w:unhideWhenUsed="1" w:qFormat="1"/>
    <w:lsdException w:name="List Number 4" w:semiHidden="1" w:uiPriority="20" w:unhideWhenUsed="1"/>
    <w:lsdException w:name="List Number 5" w:semiHidden="1" w:uiPriority="20"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lsdException w:name="Intense Quote" w:uiPriority="5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1"/>
    <w:lsdException w:name="Subtle Reference" w:uiPriority="59"/>
    <w:lsdException w:name="Intense Reference" w:uiPriority="59"/>
    <w:lsdException w:name="Book Title" w:uiPriority="5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9"/>
    <w:rsid w:val="00245B2F"/>
    <w:rPr>
      <w:lang w:val="fr-FR"/>
    </w:rPr>
  </w:style>
  <w:style w:type="paragraph" w:styleId="Heading1">
    <w:name w:val="heading 1"/>
    <w:basedOn w:val="BodyText"/>
    <w:next w:val="BodyText"/>
    <w:link w:val="Heading1Char"/>
    <w:uiPriority w:val="29"/>
    <w:qFormat/>
    <w:rsid w:val="00F732F5"/>
    <w:pPr>
      <w:keepNext/>
      <w:keepLines/>
      <w:numPr>
        <w:numId w:val="19"/>
      </w:numPr>
      <w:pBdr>
        <w:bottom w:val="single" w:sz="4" w:space="1" w:color="CF342C" w:themeColor="text2"/>
      </w:pBdr>
      <w:spacing w:before="480" w:after="240"/>
      <w:outlineLvl w:val="0"/>
    </w:pPr>
    <w:rPr>
      <w:rFonts w:asciiTheme="majorHAnsi" w:eastAsiaTheme="majorEastAsia" w:hAnsiTheme="majorHAnsi" w:cstheme="majorBidi"/>
      <w:sz w:val="28"/>
      <w:szCs w:val="32"/>
    </w:rPr>
  </w:style>
  <w:style w:type="paragraph" w:styleId="Heading2">
    <w:name w:val="heading 2"/>
    <w:basedOn w:val="BodyText"/>
    <w:next w:val="BodyText"/>
    <w:link w:val="Heading2Char"/>
    <w:uiPriority w:val="29"/>
    <w:qFormat/>
    <w:rsid w:val="00F732F5"/>
    <w:pPr>
      <w:keepNext/>
      <w:keepLines/>
      <w:numPr>
        <w:ilvl w:val="1"/>
        <w:numId w:val="19"/>
      </w:numPr>
      <w:spacing w:before="240" w:after="80"/>
      <w:outlineLvl w:val="1"/>
    </w:pPr>
    <w:rPr>
      <w:rFonts w:asciiTheme="majorHAnsi" w:eastAsiaTheme="majorEastAsia" w:hAnsiTheme="majorHAnsi" w:cstheme="majorBidi"/>
      <w:color w:val="CF342C" w:themeColor="text2"/>
      <w:sz w:val="22"/>
      <w:szCs w:val="26"/>
    </w:rPr>
  </w:style>
  <w:style w:type="paragraph" w:styleId="Heading3">
    <w:name w:val="heading 3"/>
    <w:basedOn w:val="BodyText"/>
    <w:next w:val="BodyText"/>
    <w:link w:val="Heading3Char"/>
    <w:uiPriority w:val="29"/>
    <w:qFormat/>
    <w:rsid w:val="000611AC"/>
    <w:pPr>
      <w:keepNext/>
      <w:keepLines/>
      <w:numPr>
        <w:ilvl w:val="2"/>
        <w:numId w:val="19"/>
      </w:numPr>
      <w:spacing w:before="240" w:after="60"/>
      <w:outlineLvl w:val="2"/>
    </w:pPr>
    <w:rPr>
      <w:rFonts w:asciiTheme="majorHAnsi" w:eastAsiaTheme="majorEastAsia" w:hAnsiTheme="majorHAnsi" w:cstheme="majorBidi"/>
      <w:i/>
      <w:szCs w:val="24"/>
    </w:rPr>
  </w:style>
  <w:style w:type="paragraph" w:styleId="Heading4">
    <w:name w:val="heading 4"/>
    <w:basedOn w:val="Normal"/>
    <w:next w:val="BodyText"/>
    <w:link w:val="Heading4Char"/>
    <w:uiPriority w:val="29"/>
    <w:qFormat/>
    <w:rsid w:val="00F732F5"/>
    <w:pPr>
      <w:keepNext/>
      <w:keepLines/>
      <w:numPr>
        <w:ilvl w:val="3"/>
        <w:numId w:val="19"/>
      </w:numPr>
      <w:spacing w:before="240" w:after="60"/>
      <w:jc w:val="both"/>
      <w:outlineLvl w:val="3"/>
    </w:pPr>
    <w:rPr>
      <w:rFonts w:asciiTheme="majorHAnsi" w:eastAsiaTheme="majorEastAsia" w:hAnsiTheme="majorHAnsi" w:cstheme="majorBidi"/>
      <w:iCs/>
      <w:color w:val="CF342C" w:themeColor="text2"/>
      <w:sz w:val="20"/>
    </w:rPr>
  </w:style>
  <w:style w:type="paragraph" w:styleId="Heading5">
    <w:name w:val="heading 5"/>
    <w:basedOn w:val="Normal"/>
    <w:next w:val="BodyText"/>
    <w:link w:val="Heading5Char"/>
    <w:uiPriority w:val="29"/>
    <w:qFormat/>
    <w:rsid w:val="00F732F5"/>
    <w:pPr>
      <w:keepNext/>
      <w:keepLines/>
      <w:numPr>
        <w:ilvl w:val="4"/>
        <w:numId w:val="19"/>
      </w:numPr>
      <w:spacing w:before="120" w:after="40"/>
      <w:jc w:val="both"/>
      <w:outlineLvl w:val="4"/>
    </w:pPr>
    <w:rPr>
      <w:rFonts w:asciiTheme="majorHAnsi" w:eastAsiaTheme="majorEastAsia" w:hAnsiTheme="majorHAnsi" w:cstheme="majorBidi"/>
      <w:color w:val="CF342C" w:themeColor="text2"/>
      <w:sz w:val="20"/>
    </w:rPr>
  </w:style>
  <w:style w:type="paragraph" w:styleId="Heading6">
    <w:name w:val="heading 6"/>
    <w:basedOn w:val="Normal"/>
    <w:next w:val="BodyText"/>
    <w:link w:val="Heading6Char"/>
    <w:uiPriority w:val="29"/>
    <w:qFormat/>
    <w:rsid w:val="00F732F5"/>
    <w:pPr>
      <w:keepNext/>
      <w:keepLines/>
      <w:numPr>
        <w:ilvl w:val="5"/>
        <w:numId w:val="19"/>
      </w:numPr>
      <w:spacing w:before="120" w:after="0"/>
      <w:jc w:val="both"/>
      <w:outlineLvl w:val="5"/>
    </w:pPr>
    <w:rPr>
      <w:rFonts w:asciiTheme="majorHAnsi" w:eastAsiaTheme="majorEastAsia" w:hAnsiTheme="majorHAnsi" w:cstheme="majorBidi"/>
      <w:color w:val="631D1C" w:themeColor="accent1" w:themeShade="7F"/>
      <w:sz w:val="20"/>
    </w:rPr>
  </w:style>
  <w:style w:type="paragraph" w:styleId="Heading7">
    <w:name w:val="heading 7"/>
    <w:basedOn w:val="Normal"/>
    <w:next w:val="Normal"/>
    <w:link w:val="Heading7Char"/>
    <w:uiPriority w:val="29"/>
    <w:unhideWhenUsed/>
    <w:rsid w:val="00F732F5"/>
    <w:pPr>
      <w:keepNext/>
      <w:keepLines/>
      <w:numPr>
        <w:ilvl w:val="6"/>
        <w:numId w:val="19"/>
      </w:numPr>
      <w:spacing w:before="40" w:after="0"/>
      <w:jc w:val="both"/>
      <w:outlineLvl w:val="6"/>
    </w:pPr>
    <w:rPr>
      <w:rFonts w:asciiTheme="majorHAnsi" w:eastAsiaTheme="majorEastAsia" w:hAnsiTheme="majorHAnsi" w:cstheme="majorBidi"/>
      <w:i/>
      <w:iCs/>
      <w:color w:val="631D1C" w:themeColor="accent1" w:themeShade="7F"/>
      <w:sz w:val="20"/>
    </w:rPr>
  </w:style>
  <w:style w:type="paragraph" w:styleId="Heading8">
    <w:name w:val="heading 8"/>
    <w:basedOn w:val="Normal"/>
    <w:next w:val="Normal"/>
    <w:link w:val="Heading8Char"/>
    <w:uiPriority w:val="29"/>
    <w:unhideWhenUsed/>
    <w:qFormat/>
    <w:rsid w:val="00F732F5"/>
    <w:pPr>
      <w:keepNext/>
      <w:keepLines/>
      <w:numPr>
        <w:ilvl w:val="7"/>
        <w:numId w:val="19"/>
      </w:numPr>
      <w:spacing w:before="40" w:after="0"/>
      <w:jc w:val="both"/>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29"/>
    <w:semiHidden/>
    <w:unhideWhenUsed/>
    <w:qFormat/>
    <w:rsid w:val="00F732F5"/>
    <w:pPr>
      <w:keepNext/>
      <w:keepLines/>
      <w:numPr>
        <w:ilvl w:val="8"/>
        <w:numId w:val="19"/>
      </w:numPr>
      <w:spacing w:before="40" w:after="0"/>
      <w:jc w:val="both"/>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umbListAppendix">
    <w:name w:val="NumbListAppendix"/>
    <w:uiPriority w:val="99"/>
    <w:rsid w:val="00F732F5"/>
    <w:pPr>
      <w:numPr>
        <w:numId w:val="9"/>
      </w:numPr>
    </w:pPr>
  </w:style>
  <w:style w:type="numbering" w:customStyle="1" w:styleId="NumLstTableBullet">
    <w:name w:val="NumLstTableBullet"/>
    <w:uiPriority w:val="99"/>
    <w:rsid w:val="00EC4D71"/>
    <w:pPr>
      <w:numPr>
        <w:numId w:val="7"/>
      </w:numPr>
    </w:pPr>
  </w:style>
  <w:style w:type="numbering" w:customStyle="1" w:styleId="NumListBullet">
    <w:name w:val="NumListBullet"/>
    <w:uiPriority w:val="99"/>
    <w:rsid w:val="00EA2C22"/>
  </w:style>
  <w:style w:type="numbering" w:customStyle="1" w:styleId="NumbListNumb">
    <w:name w:val="NumbListNumb"/>
    <w:uiPriority w:val="99"/>
    <w:rsid w:val="00F732F5"/>
    <w:pPr>
      <w:numPr>
        <w:numId w:val="10"/>
      </w:numPr>
    </w:pPr>
  </w:style>
  <w:style w:type="numbering" w:customStyle="1" w:styleId="NumbListMain">
    <w:name w:val="NumbListMain"/>
    <w:uiPriority w:val="99"/>
    <w:rsid w:val="00F732F5"/>
    <w:pPr>
      <w:numPr>
        <w:numId w:val="19"/>
      </w:numPr>
    </w:pPr>
  </w:style>
  <w:style w:type="numbering" w:customStyle="1" w:styleId="NumLstTableNum">
    <w:name w:val="NumLstTableNum"/>
    <w:uiPriority w:val="99"/>
    <w:rsid w:val="00F732F5"/>
    <w:pPr>
      <w:numPr>
        <w:numId w:val="8"/>
      </w:numPr>
    </w:pPr>
  </w:style>
  <w:style w:type="paragraph" w:styleId="BalloonText">
    <w:name w:val="Balloon Text"/>
    <w:basedOn w:val="Normal"/>
    <w:link w:val="BalloonTextChar"/>
    <w:uiPriority w:val="99"/>
    <w:semiHidden/>
    <w:unhideWhenUsed/>
    <w:rsid w:val="00F732F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B7471"/>
    <w:rPr>
      <w:rFonts w:ascii="Lucida Grande" w:hAnsi="Lucida Grande"/>
      <w:sz w:val="18"/>
      <w:szCs w:val="18"/>
      <w:lang w:val="fr-FR"/>
    </w:rPr>
  </w:style>
  <w:style w:type="paragraph" w:styleId="TOC1">
    <w:name w:val="toc 1"/>
    <w:basedOn w:val="Normal"/>
    <w:next w:val="Normal"/>
    <w:uiPriority w:val="39"/>
    <w:rsid w:val="00E14844"/>
    <w:pPr>
      <w:tabs>
        <w:tab w:val="right" w:leader="underscore" w:pos="9061"/>
      </w:tabs>
      <w:spacing w:before="120" w:after="120"/>
      <w:ind w:left="284" w:right="284" w:hanging="284"/>
    </w:pPr>
    <w:rPr>
      <w:color w:val="000000" w:themeColor="text1"/>
      <w:sz w:val="20"/>
    </w:rPr>
  </w:style>
  <w:style w:type="character" w:customStyle="1" w:styleId="Heading1Char">
    <w:name w:val="Heading 1 Char"/>
    <w:basedOn w:val="DefaultParagraphFont"/>
    <w:link w:val="Heading1"/>
    <w:uiPriority w:val="29"/>
    <w:rsid w:val="00E14844"/>
    <w:rPr>
      <w:rFonts w:asciiTheme="majorHAnsi" w:eastAsiaTheme="majorEastAsia" w:hAnsiTheme="majorHAnsi" w:cstheme="majorBidi"/>
      <w:sz w:val="28"/>
      <w:szCs w:val="32"/>
      <w:lang w:val="fr-FR"/>
    </w:rPr>
  </w:style>
  <w:style w:type="paragraph" w:styleId="TOCHeading">
    <w:name w:val="TOC Heading"/>
    <w:basedOn w:val="Heading1"/>
    <w:next w:val="Normal"/>
    <w:uiPriority w:val="39"/>
    <w:rsid w:val="00EC4D71"/>
    <w:pPr>
      <w:outlineLvl w:val="9"/>
    </w:pPr>
    <w:rPr>
      <w:sz w:val="48"/>
      <w:szCs w:val="48"/>
    </w:rPr>
  </w:style>
  <w:style w:type="paragraph" w:customStyle="1" w:styleId="Tablenumber3">
    <w:name w:val="Table number 3"/>
    <w:basedOn w:val="Tablenumber2"/>
    <w:link w:val="Tablenumber3Char"/>
    <w:uiPriority w:val="41"/>
    <w:qFormat/>
    <w:rsid w:val="00CB2BFD"/>
    <w:pPr>
      <w:numPr>
        <w:ilvl w:val="2"/>
      </w:numPr>
    </w:pPr>
  </w:style>
  <w:style w:type="character" w:styleId="Hyperlink">
    <w:name w:val="Hyperlink"/>
    <w:basedOn w:val="DefaultParagraphFont"/>
    <w:uiPriority w:val="99"/>
    <w:unhideWhenUsed/>
    <w:rsid w:val="000B7471"/>
    <w:rPr>
      <w:color w:val="C73C3A" w:themeColor="hyperlink"/>
      <w:u w:val="single"/>
    </w:rPr>
  </w:style>
  <w:style w:type="paragraph" w:styleId="TableofFigures">
    <w:name w:val="table of figures"/>
    <w:basedOn w:val="Normal"/>
    <w:next w:val="Normal"/>
    <w:uiPriority w:val="99"/>
    <w:rsid w:val="000B7471"/>
    <w:pPr>
      <w:tabs>
        <w:tab w:val="right" w:leader="underscore" w:pos="9072"/>
      </w:tabs>
      <w:spacing w:before="120" w:after="120"/>
      <w:ind w:left="1247" w:right="284" w:hanging="1247"/>
    </w:pPr>
    <w:rPr>
      <w:sz w:val="18"/>
    </w:rPr>
  </w:style>
  <w:style w:type="character" w:customStyle="1" w:styleId="Heading2Char">
    <w:name w:val="Heading 2 Char"/>
    <w:basedOn w:val="DefaultParagraphFont"/>
    <w:link w:val="Heading2"/>
    <w:uiPriority w:val="29"/>
    <w:rsid w:val="00E14844"/>
    <w:rPr>
      <w:rFonts w:asciiTheme="majorHAnsi" w:eastAsiaTheme="majorEastAsia" w:hAnsiTheme="majorHAnsi" w:cstheme="majorBidi"/>
      <w:color w:val="CF342C" w:themeColor="text2"/>
      <w:sz w:val="22"/>
      <w:szCs w:val="26"/>
      <w:lang w:val="fr-FR"/>
    </w:rPr>
  </w:style>
  <w:style w:type="character" w:customStyle="1" w:styleId="Heading3Char">
    <w:name w:val="Heading 3 Char"/>
    <w:basedOn w:val="DefaultParagraphFont"/>
    <w:link w:val="Heading3"/>
    <w:uiPriority w:val="29"/>
    <w:rsid w:val="00E14844"/>
    <w:rPr>
      <w:rFonts w:asciiTheme="majorHAnsi" w:eastAsiaTheme="majorEastAsia" w:hAnsiTheme="majorHAnsi" w:cstheme="majorBidi"/>
      <w:i/>
      <w:sz w:val="20"/>
      <w:szCs w:val="24"/>
      <w:lang w:val="fr-FR"/>
    </w:rPr>
  </w:style>
  <w:style w:type="character" w:customStyle="1" w:styleId="Heading4Char">
    <w:name w:val="Heading 4 Char"/>
    <w:basedOn w:val="DefaultParagraphFont"/>
    <w:link w:val="Heading4"/>
    <w:uiPriority w:val="29"/>
    <w:rsid w:val="00E14844"/>
    <w:rPr>
      <w:rFonts w:asciiTheme="majorHAnsi" w:eastAsiaTheme="majorEastAsia" w:hAnsiTheme="majorHAnsi" w:cstheme="majorBidi"/>
      <w:iCs/>
      <w:color w:val="CF342C" w:themeColor="text2"/>
      <w:sz w:val="20"/>
      <w:lang w:val="fr-FR"/>
    </w:rPr>
  </w:style>
  <w:style w:type="paragraph" w:styleId="List">
    <w:name w:val="List"/>
    <w:basedOn w:val="Normal"/>
    <w:uiPriority w:val="99"/>
    <w:unhideWhenUsed/>
    <w:rsid w:val="000B7471"/>
    <w:pPr>
      <w:ind w:left="283" w:hanging="283"/>
      <w:contextualSpacing/>
    </w:pPr>
  </w:style>
  <w:style w:type="paragraph" w:styleId="ListNumber">
    <w:name w:val="List Number"/>
    <w:basedOn w:val="Bullet3"/>
    <w:uiPriority w:val="20"/>
    <w:unhideWhenUsed/>
    <w:qFormat/>
    <w:rsid w:val="00F732F5"/>
    <w:pPr>
      <w:numPr>
        <w:ilvl w:val="0"/>
        <w:numId w:val="10"/>
      </w:numPr>
    </w:pPr>
  </w:style>
  <w:style w:type="paragraph" w:styleId="ListNumber2">
    <w:name w:val="List Number 2"/>
    <w:basedOn w:val="Bullet3"/>
    <w:uiPriority w:val="20"/>
    <w:unhideWhenUsed/>
    <w:qFormat/>
    <w:rsid w:val="00F732F5"/>
    <w:pPr>
      <w:numPr>
        <w:ilvl w:val="1"/>
        <w:numId w:val="10"/>
      </w:numPr>
    </w:pPr>
  </w:style>
  <w:style w:type="paragraph" w:styleId="ListNumber3">
    <w:name w:val="List Number 3"/>
    <w:basedOn w:val="Bullet3"/>
    <w:uiPriority w:val="20"/>
    <w:unhideWhenUsed/>
    <w:qFormat/>
    <w:rsid w:val="00F732F5"/>
    <w:pPr>
      <w:numPr>
        <w:numId w:val="10"/>
      </w:numPr>
    </w:pPr>
  </w:style>
  <w:style w:type="paragraph" w:customStyle="1" w:styleId="Bullet1">
    <w:name w:val="Bullet 1"/>
    <w:aliases w:val="Bullet1"/>
    <w:basedOn w:val="Normal"/>
    <w:link w:val="Bullet1Char"/>
    <w:uiPriority w:val="19"/>
    <w:qFormat/>
    <w:rsid w:val="00F732F5"/>
    <w:pPr>
      <w:numPr>
        <w:numId w:val="18"/>
      </w:numPr>
      <w:tabs>
        <w:tab w:val="num" w:pos="643"/>
      </w:tabs>
      <w:spacing w:after="80"/>
      <w:jc w:val="both"/>
    </w:pPr>
    <w:rPr>
      <w:sz w:val="20"/>
      <w:szCs w:val="20"/>
    </w:rPr>
  </w:style>
  <w:style w:type="paragraph" w:customStyle="1" w:styleId="Bullet2">
    <w:name w:val="Bullet 2"/>
    <w:aliases w:val="Bullet2"/>
    <w:basedOn w:val="Normal"/>
    <w:link w:val="Bullet2Char"/>
    <w:uiPriority w:val="19"/>
    <w:qFormat/>
    <w:rsid w:val="00F732F5"/>
    <w:pPr>
      <w:numPr>
        <w:ilvl w:val="1"/>
        <w:numId w:val="18"/>
      </w:numPr>
      <w:spacing w:after="80"/>
      <w:jc w:val="both"/>
    </w:pPr>
    <w:rPr>
      <w:sz w:val="20"/>
      <w:szCs w:val="20"/>
    </w:rPr>
  </w:style>
  <w:style w:type="character" w:customStyle="1" w:styleId="Bullet1Char">
    <w:name w:val="Bullet 1 Char"/>
    <w:basedOn w:val="DefaultParagraphFont"/>
    <w:link w:val="Bullet1"/>
    <w:uiPriority w:val="19"/>
    <w:rsid w:val="000B7471"/>
    <w:rPr>
      <w:sz w:val="20"/>
      <w:szCs w:val="20"/>
      <w:lang w:val="fr-FR"/>
    </w:rPr>
  </w:style>
  <w:style w:type="paragraph" w:customStyle="1" w:styleId="Bullet3">
    <w:name w:val="Bullet 3"/>
    <w:aliases w:val="Bullet3"/>
    <w:basedOn w:val="Normal"/>
    <w:link w:val="Bullet3Char"/>
    <w:uiPriority w:val="19"/>
    <w:qFormat/>
    <w:rsid w:val="00F732F5"/>
    <w:pPr>
      <w:numPr>
        <w:ilvl w:val="2"/>
        <w:numId w:val="18"/>
      </w:numPr>
      <w:tabs>
        <w:tab w:val="num" w:pos="360"/>
      </w:tabs>
      <w:spacing w:after="80"/>
      <w:ind w:left="2273" w:firstLine="0"/>
      <w:jc w:val="both"/>
    </w:pPr>
    <w:rPr>
      <w:sz w:val="20"/>
      <w:szCs w:val="20"/>
    </w:rPr>
  </w:style>
  <w:style w:type="character" w:customStyle="1" w:styleId="Bullet2Char">
    <w:name w:val="Bullet 2 Char"/>
    <w:basedOn w:val="DefaultParagraphFont"/>
    <w:link w:val="Bullet2"/>
    <w:rsid w:val="000B7471"/>
    <w:rPr>
      <w:sz w:val="20"/>
      <w:szCs w:val="20"/>
      <w:lang w:val="fr-FR"/>
    </w:rPr>
  </w:style>
  <w:style w:type="character" w:customStyle="1" w:styleId="Bullet3Char">
    <w:name w:val="Bullet 3 Char"/>
    <w:basedOn w:val="DefaultParagraphFont"/>
    <w:link w:val="Bullet3"/>
    <w:rsid w:val="000B7471"/>
    <w:rPr>
      <w:sz w:val="20"/>
      <w:szCs w:val="20"/>
      <w:lang w:val="fr-FR"/>
    </w:rPr>
  </w:style>
  <w:style w:type="paragraph" w:styleId="BodyText">
    <w:name w:val="Body Text"/>
    <w:aliases w:val="Document,Doc,Body Text2,doc,Standard paragraph,(Norm),Body Text 12,bt,gl,uvlaka 2,heading3,Body Text - Level 2,1body,BodText,body text,Body Txt,Body Text-10,Body Text Char2,Text Char1, Car, (Norm),Τίτλος Μελέτης,Ca,Text "/>
    <w:basedOn w:val="Normal"/>
    <w:link w:val="BodyTextChar3"/>
    <w:qFormat/>
    <w:rsid w:val="00DC2A97"/>
    <w:pPr>
      <w:spacing w:after="120"/>
      <w:jc w:val="both"/>
    </w:pPr>
    <w:rPr>
      <w:sz w:val="20"/>
    </w:rPr>
  </w:style>
  <w:style w:type="character" w:customStyle="1" w:styleId="BodyTextChar3">
    <w:name w:val="Body Text Char3"/>
    <w:aliases w:val="Document Char1,Doc Char1,Body Text2 Char1,doc Char1,Standard paragraph Char1,(Norm) Char1,Body Text 12 Char1,bt Char1,gl Char1,uvlaka 2 Char1,heading3 Char1,Body Text - Level 2 Char1,1body Char1,BodText Char1,body text Char1, Car Char"/>
    <w:basedOn w:val="DefaultParagraphFont"/>
    <w:link w:val="BodyText"/>
    <w:rsid w:val="00DC2A97"/>
    <w:rPr>
      <w:sz w:val="20"/>
      <w:lang w:val="fr-FR"/>
    </w:rPr>
  </w:style>
  <w:style w:type="paragraph" w:customStyle="1" w:styleId="AppendixHeading1">
    <w:name w:val="Appendix Heading 1"/>
    <w:basedOn w:val="Heading1"/>
    <w:next w:val="BodyText"/>
    <w:link w:val="AppendixHeading1Char"/>
    <w:uiPriority w:val="39"/>
    <w:qFormat/>
    <w:rsid w:val="00F732F5"/>
    <w:pPr>
      <w:keepNext w:val="0"/>
      <w:keepLines w:val="0"/>
      <w:pageBreakBefore/>
      <w:numPr>
        <w:numId w:val="9"/>
      </w:numPr>
      <w:spacing w:before="0"/>
    </w:pPr>
  </w:style>
  <w:style w:type="character" w:customStyle="1" w:styleId="AppendixHeading1Char">
    <w:name w:val="Appendix Heading 1 Char"/>
    <w:basedOn w:val="DefaultParagraphFont"/>
    <w:link w:val="AppendixHeading1"/>
    <w:uiPriority w:val="39"/>
    <w:rsid w:val="000B7471"/>
    <w:rPr>
      <w:rFonts w:asciiTheme="majorHAnsi" w:eastAsiaTheme="majorEastAsia" w:hAnsiTheme="majorHAnsi" w:cstheme="majorBidi"/>
      <w:sz w:val="28"/>
      <w:szCs w:val="32"/>
      <w:lang w:val="fr-FR"/>
    </w:rPr>
  </w:style>
  <w:style w:type="paragraph" w:customStyle="1" w:styleId="AppendixHeading2">
    <w:name w:val="Appendix Heading 2"/>
    <w:basedOn w:val="Heading2"/>
    <w:next w:val="BodyText"/>
    <w:link w:val="AppendixHeading2Char"/>
    <w:uiPriority w:val="39"/>
    <w:qFormat/>
    <w:rsid w:val="00F732F5"/>
    <w:pPr>
      <w:keepLines w:val="0"/>
      <w:numPr>
        <w:numId w:val="9"/>
      </w:numPr>
      <w:jc w:val="left"/>
    </w:pPr>
  </w:style>
  <w:style w:type="character" w:customStyle="1" w:styleId="AppendixHeading2Char">
    <w:name w:val="Appendix Heading 2 Char"/>
    <w:basedOn w:val="AppendixHeading1Char"/>
    <w:link w:val="AppendixHeading2"/>
    <w:uiPriority w:val="39"/>
    <w:rsid w:val="000B7471"/>
    <w:rPr>
      <w:rFonts w:asciiTheme="majorHAnsi" w:eastAsiaTheme="majorEastAsia" w:hAnsiTheme="majorHAnsi" w:cstheme="majorBidi"/>
      <w:color w:val="CF342C" w:themeColor="text2"/>
      <w:sz w:val="22"/>
      <w:szCs w:val="26"/>
      <w:lang w:val="fr-FR"/>
    </w:rPr>
  </w:style>
  <w:style w:type="paragraph" w:customStyle="1" w:styleId="AppendixHeading3">
    <w:name w:val="Appendix Heading 3"/>
    <w:basedOn w:val="BodyText"/>
    <w:next w:val="BodyText"/>
    <w:uiPriority w:val="39"/>
    <w:qFormat/>
    <w:rsid w:val="00F732F5"/>
    <w:pPr>
      <w:keepNext/>
      <w:numPr>
        <w:ilvl w:val="2"/>
        <w:numId w:val="9"/>
      </w:numPr>
      <w:spacing w:before="240" w:after="60"/>
      <w:outlineLvl w:val="2"/>
    </w:pPr>
    <w:rPr>
      <w:rFonts w:asciiTheme="majorHAnsi" w:eastAsia="Times New Roman" w:hAnsiTheme="majorHAnsi" w:cstheme="majorHAnsi"/>
      <w:i/>
      <w:color w:val="000000"/>
      <w:szCs w:val="24"/>
    </w:rPr>
  </w:style>
  <w:style w:type="paragraph" w:customStyle="1" w:styleId="AppendixHeading4">
    <w:name w:val="Appendix Heading 4"/>
    <w:basedOn w:val="Heading4"/>
    <w:next w:val="BodyText"/>
    <w:uiPriority w:val="39"/>
    <w:qFormat/>
    <w:rsid w:val="00F732F5"/>
    <w:pPr>
      <w:numPr>
        <w:numId w:val="9"/>
      </w:numPr>
    </w:pPr>
    <w:rPr>
      <w:color w:val="9D9D9D" w:themeColor="background2"/>
    </w:rPr>
  </w:style>
  <w:style w:type="paragraph" w:styleId="BodyText2">
    <w:name w:val="Body Text 2"/>
    <w:basedOn w:val="Normal"/>
    <w:link w:val="BodyText2Char"/>
    <w:uiPriority w:val="99"/>
    <w:semiHidden/>
    <w:unhideWhenUsed/>
    <w:rsid w:val="000B7471"/>
    <w:pPr>
      <w:spacing w:after="120" w:line="480" w:lineRule="auto"/>
    </w:pPr>
    <w:rPr>
      <w:sz w:val="20"/>
    </w:rPr>
  </w:style>
  <w:style w:type="character" w:customStyle="1" w:styleId="BodyText2Char">
    <w:name w:val="Body Text 2 Char"/>
    <w:basedOn w:val="DefaultParagraphFont"/>
    <w:link w:val="BodyText2"/>
    <w:uiPriority w:val="99"/>
    <w:semiHidden/>
    <w:rsid w:val="000B7471"/>
    <w:rPr>
      <w:sz w:val="20"/>
      <w:lang w:val="fr-FR"/>
    </w:rPr>
  </w:style>
  <w:style w:type="paragraph" w:styleId="BodyText3">
    <w:name w:val="Body Text 3"/>
    <w:basedOn w:val="Normal"/>
    <w:link w:val="BodyText3Char"/>
    <w:uiPriority w:val="99"/>
    <w:semiHidden/>
    <w:unhideWhenUsed/>
    <w:rsid w:val="000B7471"/>
    <w:pPr>
      <w:spacing w:after="120"/>
    </w:pPr>
    <w:rPr>
      <w:sz w:val="20"/>
    </w:rPr>
  </w:style>
  <w:style w:type="character" w:customStyle="1" w:styleId="BodyText3Char">
    <w:name w:val="Body Text 3 Char"/>
    <w:basedOn w:val="DefaultParagraphFont"/>
    <w:link w:val="BodyText3"/>
    <w:uiPriority w:val="99"/>
    <w:semiHidden/>
    <w:rsid w:val="000B7471"/>
    <w:rPr>
      <w:sz w:val="20"/>
      <w:lang w:val="fr-FR"/>
    </w:rPr>
  </w:style>
  <w:style w:type="paragraph" w:styleId="BodyTextFirstIndent">
    <w:name w:val="Body Text First Indent"/>
    <w:basedOn w:val="BodyText"/>
    <w:link w:val="BodyTextFirstIndentChar"/>
    <w:uiPriority w:val="99"/>
    <w:semiHidden/>
    <w:unhideWhenUsed/>
    <w:rsid w:val="000B7471"/>
    <w:pPr>
      <w:spacing w:after="160"/>
      <w:ind w:firstLine="360"/>
    </w:pPr>
  </w:style>
  <w:style w:type="character" w:customStyle="1" w:styleId="BodyTextFirstIndentChar">
    <w:name w:val="Body Text First Indent Char"/>
    <w:basedOn w:val="DefaultParagraphFont"/>
    <w:link w:val="BodyTextFirstIndent"/>
    <w:uiPriority w:val="99"/>
    <w:semiHidden/>
    <w:rsid w:val="000B7471"/>
    <w:rPr>
      <w:sz w:val="20"/>
      <w:lang w:val="fr-FR"/>
    </w:rPr>
  </w:style>
  <w:style w:type="paragraph" w:styleId="BodyTextIndent">
    <w:name w:val="Body Text Indent"/>
    <w:basedOn w:val="Normal"/>
    <w:link w:val="BodyTextIndentChar"/>
    <w:uiPriority w:val="99"/>
    <w:semiHidden/>
    <w:unhideWhenUsed/>
    <w:rsid w:val="000B7471"/>
    <w:pPr>
      <w:spacing w:after="120"/>
      <w:ind w:left="283"/>
    </w:pPr>
    <w:rPr>
      <w:sz w:val="20"/>
    </w:rPr>
  </w:style>
  <w:style w:type="character" w:customStyle="1" w:styleId="BodyTextIndentChar">
    <w:name w:val="Body Text Indent Char"/>
    <w:basedOn w:val="DefaultParagraphFont"/>
    <w:link w:val="BodyTextIndent"/>
    <w:uiPriority w:val="99"/>
    <w:semiHidden/>
    <w:rsid w:val="000B7471"/>
    <w:rPr>
      <w:sz w:val="20"/>
      <w:lang w:val="fr-FR"/>
    </w:rPr>
  </w:style>
  <w:style w:type="paragraph" w:styleId="BodyTextFirstIndent2">
    <w:name w:val="Body Text First Indent 2"/>
    <w:basedOn w:val="BodyTextIndent"/>
    <w:link w:val="BodyTextFirstIndent2Char"/>
    <w:uiPriority w:val="99"/>
    <w:semiHidden/>
    <w:unhideWhenUsed/>
    <w:rsid w:val="000B7471"/>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B7471"/>
    <w:rPr>
      <w:sz w:val="20"/>
      <w:lang w:val="fr-FR"/>
    </w:rPr>
  </w:style>
  <w:style w:type="paragraph" w:styleId="BodyTextIndent2">
    <w:name w:val="Body Text Indent 2"/>
    <w:basedOn w:val="Normal"/>
    <w:link w:val="BodyTextIndent2Char"/>
    <w:uiPriority w:val="99"/>
    <w:semiHidden/>
    <w:unhideWhenUsed/>
    <w:rsid w:val="000B7471"/>
    <w:pPr>
      <w:spacing w:after="120" w:line="480" w:lineRule="auto"/>
      <w:ind w:left="283"/>
    </w:pPr>
    <w:rPr>
      <w:sz w:val="20"/>
    </w:rPr>
  </w:style>
  <w:style w:type="character" w:customStyle="1" w:styleId="BodyTextIndent2Char">
    <w:name w:val="Body Text Indent 2 Char"/>
    <w:basedOn w:val="DefaultParagraphFont"/>
    <w:link w:val="BodyTextIndent2"/>
    <w:uiPriority w:val="99"/>
    <w:semiHidden/>
    <w:rsid w:val="000B7471"/>
    <w:rPr>
      <w:sz w:val="20"/>
      <w:lang w:val="fr-FR"/>
    </w:rPr>
  </w:style>
  <w:style w:type="paragraph" w:styleId="BodyTextIndent3">
    <w:name w:val="Body Text Indent 3"/>
    <w:basedOn w:val="Normal"/>
    <w:link w:val="BodyTextIndent3Char"/>
    <w:uiPriority w:val="99"/>
    <w:semiHidden/>
    <w:unhideWhenUsed/>
    <w:rsid w:val="000B7471"/>
    <w:pPr>
      <w:spacing w:after="120"/>
      <w:ind w:left="283"/>
    </w:pPr>
    <w:rPr>
      <w:sz w:val="20"/>
    </w:rPr>
  </w:style>
  <w:style w:type="character" w:customStyle="1" w:styleId="BodyTextIndent3Char">
    <w:name w:val="Body Text Indent 3 Char"/>
    <w:basedOn w:val="DefaultParagraphFont"/>
    <w:link w:val="BodyTextIndent3"/>
    <w:uiPriority w:val="99"/>
    <w:semiHidden/>
    <w:rsid w:val="000B7471"/>
    <w:rPr>
      <w:sz w:val="20"/>
      <w:lang w:val="fr-FR"/>
    </w:rPr>
  </w:style>
  <w:style w:type="paragraph" w:styleId="NoSpacing">
    <w:name w:val="No Spacing"/>
    <w:basedOn w:val="BodyText"/>
    <w:next w:val="BodyText"/>
    <w:link w:val="NoSpacingChar"/>
    <w:uiPriority w:val="9"/>
    <w:qFormat/>
    <w:rsid w:val="000B7471"/>
    <w:pPr>
      <w:spacing w:after="0" w:line="240" w:lineRule="auto"/>
    </w:pPr>
    <w:rPr>
      <w:noProof/>
      <w:lang w:val="nl-NL"/>
    </w:rPr>
  </w:style>
  <w:style w:type="paragraph" w:customStyle="1" w:styleId="BodytextNospace">
    <w:name w:val="Body text No space"/>
    <w:basedOn w:val="NoSpacing"/>
    <w:rsid w:val="000B7471"/>
  </w:style>
  <w:style w:type="character" w:styleId="BookTitle">
    <w:name w:val="Book Title"/>
    <w:basedOn w:val="DefaultParagraphFont"/>
    <w:uiPriority w:val="59"/>
    <w:rsid w:val="00E14844"/>
    <w:rPr>
      <w:b/>
      <w:bCs/>
      <w:i/>
      <w:iCs/>
      <w:spacing w:val="5"/>
    </w:rPr>
  </w:style>
  <w:style w:type="paragraph" w:styleId="Caption">
    <w:name w:val="caption"/>
    <w:aliases w:val="Studientitel,Legende,Car16,Car Car Car Car Car Car Car,Car Car Car Car Car,Car Car Car Car Car Car Car Car Car Car Car Car,Car3,legendes,légende,Car5,Caption Char Char,MyCaption Char,Caption Char Char Char Char Char Char Char,PodpisRysTab,Ch,Car"/>
    <w:basedOn w:val="Normal"/>
    <w:next w:val="Normal"/>
    <w:link w:val="CaptionChar"/>
    <w:uiPriority w:val="43"/>
    <w:qFormat/>
    <w:rsid w:val="000B7471"/>
    <w:pPr>
      <w:keepNext/>
      <w:spacing w:before="360" w:after="0" w:line="240" w:lineRule="auto"/>
      <w:ind w:left="851" w:hanging="851"/>
    </w:pPr>
    <w:rPr>
      <w:i/>
      <w:iCs/>
      <w:color w:val="CF342C" w:themeColor="text2"/>
      <w:sz w:val="18"/>
      <w:szCs w:val="18"/>
    </w:rPr>
  </w:style>
  <w:style w:type="character" w:customStyle="1" w:styleId="CaptionChar">
    <w:name w:val="Caption Char"/>
    <w:aliases w:val="Studientitel Char,Legende Char,Car16 Char,Car Car Car Car Car Car Car Char,Car Car Car Car Car Char,Car Car Car Car Car Car Car Car Car Car Car Car Char,Car3 Char,legendes Char,légende Char,Car5 Char,Caption Char Char Char,PodpisRysTab Char"/>
    <w:basedOn w:val="DefaultParagraphFont"/>
    <w:link w:val="Caption"/>
    <w:uiPriority w:val="43"/>
    <w:rsid w:val="000B7471"/>
    <w:rPr>
      <w:i/>
      <w:iCs/>
      <w:color w:val="CF342C" w:themeColor="text2"/>
      <w:sz w:val="18"/>
      <w:szCs w:val="18"/>
      <w:lang w:val="fr-FR"/>
    </w:rPr>
  </w:style>
  <w:style w:type="character" w:styleId="CommentReference">
    <w:name w:val="annotation reference"/>
    <w:basedOn w:val="DefaultParagraphFont"/>
    <w:uiPriority w:val="99"/>
    <w:unhideWhenUsed/>
    <w:rsid w:val="000B7471"/>
    <w:rPr>
      <w:sz w:val="16"/>
      <w:szCs w:val="16"/>
    </w:rPr>
  </w:style>
  <w:style w:type="paragraph" w:styleId="CommentText">
    <w:name w:val="annotation text"/>
    <w:basedOn w:val="Normal"/>
    <w:link w:val="CommentTextChar"/>
    <w:uiPriority w:val="99"/>
    <w:unhideWhenUsed/>
    <w:rsid w:val="000B7471"/>
    <w:pPr>
      <w:spacing w:line="240" w:lineRule="auto"/>
    </w:pPr>
    <w:rPr>
      <w:sz w:val="20"/>
      <w:szCs w:val="20"/>
    </w:rPr>
  </w:style>
  <w:style w:type="character" w:customStyle="1" w:styleId="CommentTextChar">
    <w:name w:val="Comment Text Char"/>
    <w:basedOn w:val="DefaultParagraphFont"/>
    <w:link w:val="CommentText"/>
    <w:uiPriority w:val="99"/>
    <w:rsid w:val="000B7471"/>
    <w:rPr>
      <w:sz w:val="20"/>
      <w:szCs w:val="20"/>
      <w:lang w:val="fr-FR"/>
    </w:rPr>
  </w:style>
  <w:style w:type="character" w:styleId="Emphasis">
    <w:name w:val="Emphasis"/>
    <w:basedOn w:val="DefaultParagraphFont"/>
    <w:uiPriority w:val="22"/>
    <w:rsid w:val="000B7471"/>
    <w:rPr>
      <w:i/>
      <w:iCs/>
    </w:rPr>
  </w:style>
  <w:style w:type="paragraph" w:styleId="Footer">
    <w:name w:val="footer"/>
    <w:basedOn w:val="Normal"/>
    <w:link w:val="FooterChar"/>
    <w:uiPriority w:val="99"/>
    <w:unhideWhenUsed/>
    <w:rsid w:val="000B7471"/>
    <w:pPr>
      <w:tabs>
        <w:tab w:val="center" w:pos="4680"/>
        <w:tab w:val="right" w:pos="9360"/>
      </w:tabs>
      <w:spacing w:after="0" w:line="240" w:lineRule="auto"/>
    </w:pPr>
    <w:rPr>
      <w:color w:val="000000" w:themeColor="text1"/>
    </w:rPr>
  </w:style>
  <w:style w:type="character" w:customStyle="1" w:styleId="FooterChar">
    <w:name w:val="Footer Char"/>
    <w:basedOn w:val="DefaultParagraphFont"/>
    <w:link w:val="Footer"/>
    <w:uiPriority w:val="99"/>
    <w:rsid w:val="000B7471"/>
    <w:rPr>
      <w:color w:val="000000" w:themeColor="text1"/>
      <w:lang w:val="fr-FR"/>
    </w:rPr>
  </w:style>
  <w:style w:type="character" w:styleId="FootnoteReference">
    <w:name w:val="footnote reference"/>
    <w:aliases w:val="Appel note,Appel note de bas de page,number,Footnote symbol,Footnote,Footnote s,Times 10 Point,Exposant 3 Point,Exposant 3,Expos,Texte Appel note de bas de p.,Appel note de bas de p,SUPER, Exposant 3 Point,Exposant 3 ,Ref"/>
    <w:basedOn w:val="DefaultParagraphFont"/>
    <w:uiPriority w:val="99"/>
    <w:unhideWhenUsed/>
    <w:qFormat/>
    <w:rsid w:val="00F732F5"/>
    <w:rPr>
      <w:vertAlign w:val="superscript"/>
    </w:rPr>
  </w:style>
  <w:style w:type="paragraph" w:styleId="FootnoteText">
    <w:name w:val="footnote text"/>
    <w:aliases w:val="Schriftart: 9 pt,Schriftart: 10 pt,Schriftart: 8 pt,Podrozdział,o,Schriftart: 8 p,Footnote text,stile 1,Footnote1,Footnote2,Footnote3,Footnote4,Footnote5,Footnote6,Footnote7,Footnote8,Footnote9,Footnote10,Footnote11,Sch,Foot,Footn,C"/>
    <w:basedOn w:val="Normal"/>
    <w:link w:val="FootnoteTextChar"/>
    <w:uiPriority w:val="99"/>
    <w:unhideWhenUsed/>
    <w:qFormat/>
    <w:rsid w:val="00F732F5"/>
    <w:pPr>
      <w:tabs>
        <w:tab w:val="left" w:pos="142"/>
      </w:tabs>
      <w:spacing w:after="80" w:line="240" w:lineRule="auto"/>
      <w:ind w:left="85" w:hanging="85"/>
    </w:pPr>
    <w:rPr>
      <w:szCs w:val="20"/>
    </w:rPr>
  </w:style>
  <w:style w:type="character" w:customStyle="1" w:styleId="FootnoteTextChar">
    <w:name w:val="Footnote Text Char"/>
    <w:aliases w:val="Schriftart: 9 pt Char,Schriftart: 10 pt Char,Schriftart: 8 pt Char,Podrozdział Char,o Char,Schriftart: 8 p Char,Footnote text Char,stile 1 Char,Footnote1 Char,Footnote2 Char,Footnote3 Char,Footnote4 Char,Footnote5 Char,Footnote6 Char"/>
    <w:basedOn w:val="DefaultParagraphFont"/>
    <w:link w:val="FootnoteText"/>
    <w:uiPriority w:val="99"/>
    <w:rsid w:val="000B7471"/>
    <w:rPr>
      <w:szCs w:val="20"/>
      <w:lang w:val="fr-FR"/>
    </w:rPr>
  </w:style>
  <w:style w:type="paragraph" w:styleId="Header">
    <w:name w:val="header"/>
    <w:basedOn w:val="Normal"/>
    <w:link w:val="HeaderChar"/>
    <w:uiPriority w:val="99"/>
    <w:unhideWhenUsed/>
    <w:rsid w:val="000B7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471"/>
    <w:rPr>
      <w:lang w:val="fr-FR"/>
    </w:rPr>
  </w:style>
  <w:style w:type="character" w:customStyle="1" w:styleId="Heading5Char">
    <w:name w:val="Heading 5 Char"/>
    <w:basedOn w:val="DefaultParagraphFont"/>
    <w:link w:val="Heading5"/>
    <w:uiPriority w:val="29"/>
    <w:rsid w:val="00E14844"/>
    <w:rPr>
      <w:rFonts w:asciiTheme="majorHAnsi" w:eastAsiaTheme="majorEastAsia" w:hAnsiTheme="majorHAnsi" w:cstheme="majorBidi"/>
      <w:color w:val="CF342C" w:themeColor="text2"/>
      <w:sz w:val="20"/>
      <w:lang w:val="fr-FR"/>
    </w:rPr>
  </w:style>
  <w:style w:type="character" w:customStyle="1" w:styleId="Heading6Char">
    <w:name w:val="Heading 6 Char"/>
    <w:basedOn w:val="DefaultParagraphFont"/>
    <w:link w:val="Heading6"/>
    <w:uiPriority w:val="29"/>
    <w:rsid w:val="00E14844"/>
    <w:rPr>
      <w:rFonts w:asciiTheme="majorHAnsi" w:eastAsiaTheme="majorEastAsia" w:hAnsiTheme="majorHAnsi" w:cstheme="majorBidi"/>
      <w:color w:val="631D1C" w:themeColor="accent1" w:themeShade="7F"/>
      <w:sz w:val="20"/>
      <w:lang w:val="fr-FR"/>
    </w:rPr>
  </w:style>
  <w:style w:type="character" w:customStyle="1" w:styleId="Heading7Char">
    <w:name w:val="Heading 7 Char"/>
    <w:basedOn w:val="DefaultParagraphFont"/>
    <w:link w:val="Heading7"/>
    <w:uiPriority w:val="29"/>
    <w:rsid w:val="00E14844"/>
    <w:rPr>
      <w:rFonts w:asciiTheme="majorHAnsi" w:eastAsiaTheme="majorEastAsia" w:hAnsiTheme="majorHAnsi" w:cstheme="majorBidi"/>
      <w:i/>
      <w:iCs/>
      <w:color w:val="631D1C" w:themeColor="accent1" w:themeShade="7F"/>
      <w:sz w:val="20"/>
      <w:lang w:val="fr-FR"/>
    </w:rPr>
  </w:style>
  <w:style w:type="character" w:customStyle="1" w:styleId="Heading8Char">
    <w:name w:val="Heading 8 Char"/>
    <w:basedOn w:val="DefaultParagraphFont"/>
    <w:link w:val="Heading8"/>
    <w:uiPriority w:val="29"/>
    <w:rsid w:val="00E14844"/>
    <w:rPr>
      <w:rFonts w:asciiTheme="majorHAnsi" w:eastAsiaTheme="majorEastAsia" w:hAnsiTheme="majorHAnsi" w:cstheme="majorBidi"/>
      <w:color w:val="272727" w:themeColor="text1" w:themeTint="D8"/>
      <w:sz w:val="20"/>
      <w:szCs w:val="21"/>
      <w:lang w:val="fr-FR"/>
    </w:rPr>
  </w:style>
  <w:style w:type="character" w:customStyle="1" w:styleId="Heading9Char">
    <w:name w:val="Heading 9 Char"/>
    <w:basedOn w:val="DefaultParagraphFont"/>
    <w:link w:val="Heading9"/>
    <w:uiPriority w:val="29"/>
    <w:semiHidden/>
    <w:rsid w:val="00E14844"/>
    <w:rPr>
      <w:rFonts w:asciiTheme="majorHAnsi" w:eastAsiaTheme="majorEastAsia" w:hAnsiTheme="majorHAnsi" w:cstheme="majorBidi"/>
      <w:i/>
      <w:iCs/>
      <w:color w:val="272727" w:themeColor="text1" w:themeTint="D8"/>
      <w:sz w:val="20"/>
      <w:szCs w:val="21"/>
      <w:lang w:val="fr-FR"/>
    </w:rPr>
  </w:style>
  <w:style w:type="paragraph" w:customStyle="1" w:styleId="Headline">
    <w:name w:val="Headline"/>
    <w:basedOn w:val="Normal"/>
    <w:next w:val="BodyText"/>
    <w:link w:val="HeadlineChar"/>
    <w:uiPriority w:val="29"/>
    <w:qFormat/>
    <w:rsid w:val="000B7471"/>
    <w:pPr>
      <w:spacing w:before="200"/>
    </w:pPr>
    <w:rPr>
      <w:b/>
      <w:sz w:val="24"/>
    </w:rPr>
  </w:style>
  <w:style w:type="character" w:customStyle="1" w:styleId="HeadlineChar">
    <w:name w:val="Headline Char"/>
    <w:basedOn w:val="DefaultParagraphFont"/>
    <w:link w:val="Headline"/>
    <w:uiPriority w:val="29"/>
    <w:rsid w:val="000B7471"/>
    <w:rPr>
      <w:b/>
      <w:sz w:val="24"/>
      <w:lang w:val="fr-FR"/>
    </w:rPr>
  </w:style>
  <w:style w:type="character" w:styleId="IntenseEmphasis">
    <w:name w:val="Intense Emphasis"/>
    <w:basedOn w:val="DefaultParagraphFont"/>
    <w:uiPriority w:val="21"/>
    <w:rsid w:val="000B7471"/>
    <w:rPr>
      <w:i/>
      <w:iCs/>
      <w:color w:val="C73C3A" w:themeColor="accent1"/>
    </w:rPr>
  </w:style>
  <w:style w:type="paragraph" w:styleId="IntenseQuote">
    <w:name w:val="Intense Quote"/>
    <w:basedOn w:val="Normal"/>
    <w:next w:val="Normal"/>
    <w:link w:val="IntenseQuoteChar"/>
    <w:uiPriority w:val="59"/>
    <w:rsid w:val="000B7471"/>
    <w:pPr>
      <w:pBdr>
        <w:top w:val="single" w:sz="4" w:space="10" w:color="C73C3A" w:themeColor="accent1"/>
        <w:bottom w:val="single" w:sz="4" w:space="10" w:color="C73C3A" w:themeColor="accent1"/>
      </w:pBdr>
      <w:spacing w:before="360" w:after="360"/>
      <w:ind w:left="851" w:right="851"/>
      <w:jc w:val="both"/>
    </w:pPr>
    <w:rPr>
      <w:i/>
      <w:iCs/>
      <w:color w:val="C73C3A" w:themeColor="accent1"/>
      <w:sz w:val="20"/>
    </w:rPr>
  </w:style>
  <w:style w:type="character" w:customStyle="1" w:styleId="IntenseQuoteChar">
    <w:name w:val="Intense Quote Char"/>
    <w:basedOn w:val="DefaultParagraphFont"/>
    <w:link w:val="IntenseQuote"/>
    <w:uiPriority w:val="59"/>
    <w:rsid w:val="000B7471"/>
    <w:rPr>
      <w:i/>
      <w:iCs/>
      <w:color w:val="C73C3A" w:themeColor="accent1"/>
      <w:sz w:val="20"/>
      <w:lang w:val="fr-FR"/>
    </w:rPr>
  </w:style>
  <w:style w:type="character" w:styleId="IntenseReference">
    <w:name w:val="Intense Reference"/>
    <w:basedOn w:val="DefaultParagraphFont"/>
    <w:uiPriority w:val="59"/>
    <w:rsid w:val="000B7471"/>
    <w:rPr>
      <w:b/>
      <w:bCs/>
      <w:caps/>
      <w:smallCaps w:val="0"/>
      <w:color w:val="C73C3A" w:themeColor="accent1"/>
      <w:spacing w:val="5"/>
    </w:rPr>
  </w:style>
  <w:style w:type="paragraph" w:styleId="ListBullet">
    <w:name w:val="List Bullet"/>
    <w:basedOn w:val="Normal"/>
    <w:uiPriority w:val="99"/>
    <w:unhideWhenUsed/>
    <w:rsid w:val="00F732F5"/>
    <w:pPr>
      <w:numPr>
        <w:numId w:val="13"/>
      </w:numPr>
      <w:contextualSpacing/>
    </w:pPr>
  </w:style>
  <w:style w:type="paragraph" w:styleId="ListBullet2">
    <w:name w:val="List Bullet 2"/>
    <w:basedOn w:val="Normal"/>
    <w:uiPriority w:val="99"/>
    <w:unhideWhenUsed/>
    <w:rsid w:val="00EC4D71"/>
    <w:pPr>
      <w:numPr>
        <w:numId w:val="11"/>
      </w:numPr>
      <w:contextualSpacing/>
    </w:pPr>
  </w:style>
  <w:style w:type="paragraph" w:styleId="ListBullet3">
    <w:name w:val="List Bullet 3"/>
    <w:basedOn w:val="Normal"/>
    <w:uiPriority w:val="99"/>
    <w:semiHidden/>
    <w:unhideWhenUsed/>
    <w:rsid w:val="00EC4D71"/>
    <w:pPr>
      <w:numPr>
        <w:numId w:val="12"/>
      </w:numPr>
      <w:contextualSpacing/>
    </w:pPr>
  </w:style>
  <w:style w:type="character" w:styleId="PageNumber">
    <w:name w:val="page number"/>
    <w:basedOn w:val="DefaultParagraphFont"/>
    <w:uiPriority w:val="99"/>
    <w:semiHidden/>
    <w:unhideWhenUsed/>
    <w:rsid w:val="000B7471"/>
  </w:style>
  <w:style w:type="character" w:styleId="PlaceholderText">
    <w:name w:val="Placeholder Text"/>
    <w:basedOn w:val="DefaultParagraphFont"/>
    <w:uiPriority w:val="99"/>
    <w:semiHidden/>
    <w:rsid w:val="000B7471"/>
    <w:rPr>
      <w:color w:val="808080"/>
    </w:rPr>
  </w:style>
  <w:style w:type="table" w:customStyle="1" w:styleId="PlainTable21">
    <w:name w:val="Plain Table 21"/>
    <w:basedOn w:val="TableNormal"/>
    <w:uiPriority w:val="99"/>
    <w:rsid w:val="000B74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rsid w:val="000B7471"/>
    <w:pPr>
      <w:spacing w:before="200"/>
      <w:ind w:left="864" w:right="864"/>
      <w:jc w:val="both"/>
    </w:pPr>
    <w:rPr>
      <w:i/>
      <w:iCs/>
      <w:color w:val="404040" w:themeColor="text1" w:themeTint="BF"/>
      <w:sz w:val="20"/>
    </w:rPr>
  </w:style>
  <w:style w:type="character" w:customStyle="1" w:styleId="QuoteChar">
    <w:name w:val="Quote Char"/>
    <w:basedOn w:val="DefaultParagraphFont"/>
    <w:link w:val="Quote"/>
    <w:uiPriority w:val="59"/>
    <w:rsid w:val="000B7471"/>
    <w:rPr>
      <w:i/>
      <w:iCs/>
      <w:color w:val="404040" w:themeColor="text1" w:themeTint="BF"/>
      <w:sz w:val="20"/>
      <w:lang w:val="fr-FR"/>
    </w:rPr>
  </w:style>
  <w:style w:type="paragraph" w:customStyle="1" w:styleId="Source">
    <w:name w:val="Source"/>
    <w:basedOn w:val="BodyText"/>
    <w:next w:val="BodyText"/>
    <w:link w:val="SourceChar"/>
    <w:uiPriority w:val="42"/>
    <w:qFormat/>
    <w:rsid w:val="000B7471"/>
    <w:pPr>
      <w:spacing w:after="360" w:line="240" w:lineRule="auto"/>
    </w:pPr>
    <w:rPr>
      <w:color w:val="CF342C" w:themeColor="text2"/>
      <w:sz w:val="18"/>
    </w:rPr>
  </w:style>
  <w:style w:type="character" w:customStyle="1" w:styleId="SourceChar">
    <w:name w:val="Source Char"/>
    <w:basedOn w:val="DefaultParagraphFont"/>
    <w:link w:val="Source"/>
    <w:uiPriority w:val="42"/>
    <w:rsid w:val="000B7471"/>
    <w:rPr>
      <w:color w:val="CF342C" w:themeColor="text2"/>
      <w:sz w:val="18"/>
      <w:lang w:val="fr-FR"/>
    </w:rPr>
  </w:style>
  <w:style w:type="character" w:styleId="Strong">
    <w:name w:val="Strong"/>
    <w:basedOn w:val="DefaultParagraphFont"/>
    <w:uiPriority w:val="22"/>
    <w:rsid w:val="00EA2C22"/>
    <w:rPr>
      <w:b/>
      <w:bCs/>
    </w:rPr>
  </w:style>
  <w:style w:type="table" w:customStyle="1" w:styleId="Style2">
    <w:name w:val="Style2"/>
    <w:basedOn w:val="TableNormal"/>
    <w:uiPriority w:val="99"/>
    <w:rsid w:val="000B7471"/>
    <w:pPr>
      <w:spacing w:after="0" w:line="240" w:lineRule="auto"/>
    </w:pPr>
    <w:rPr>
      <w:lang w:val="en-GB"/>
    </w:rPr>
    <w:tblPr/>
  </w:style>
  <w:style w:type="paragraph" w:styleId="Subtitle">
    <w:name w:val="Subtitle"/>
    <w:basedOn w:val="Normal"/>
    <w:next w:val="BodyText"/>
    <w:link w:val="SubtitleChar"/>
    <w:uiPriority w:val="44"/>
    <w:qFormat/>
    <w:rsid w:val="000B7471"/>
    <w:pPr>
      <w:numPr>
        <w:ilvl w:val="1"/>
      </w:numPr>
      <w:spacing w:before="720" w:after="360" w:line="240" w:lineRule="auto"/>
    </w:pPr>
    <w:rPr>
      <w:rFonts w:asciiTheme="majorHAnsi" w:eastAsiaTheme="majorEastAsia" w:hAnsiTheme="majorHAnsi" w:cstheme="majorBidi"/>
      <w:b/>
      <w:spacing w:val="-10"/>
      <w:kern w:val="28"/>
      <w:sz w:val="30"/>
      <w:szCs w:val="36"/>
    </w:rPr>
  </w:style>
  <w:style w:type="character" w:customStyle="1" w:styleId="SubtitleChar">
    <w:name w:val="Subtitle Char"/>
    <w:basedOn w:val="DefaultParagraphFont"/>
    <w:link w:val="Subtitle"/>
    <w:uiPriority w:val="44"/>
    <w:rsid w:val="000B7471"/>
    <w:rPr>
      <w:rFonts w:asciiTheme="majorHAnsi" w:eastAsiaTheme="majorEastAsia" w:hAnsiTheme="majorHAnsi" w:cstheme="majorBidi"/>
      <w:b/>
      <w:spacing w:val="-10"/>
      <w:kern w:val="28"/>
      <w:sz w:val="30"/>
      <w:szCs w:val="36"/>
      <w:lang w:val="fr-FR"/>
    </w:rPr>
  </w:style>
  <w:style w:type="character" w:styleId="SubtleEmphasis">
    <w:name w:val="Subtle Emphasis"/>
    <w:basedOn w:val="DefaultParagraphFont"/>
    <w:uiPriority w:val="21"/>
    <w:rsid w:val="000B7471"/>
    <w:rPr>
      <w:i/>
      <w:iCs/>
      <w:color w:val="404040" w:themeColor="text1" w:themeTint="BF"/>
    </w:rPr>
  </w:style>
  <w:style w:type="character" w:styleId="SubtleReference">
    <w:name w:val="Subtle Reference"/>
    <w:basedOn w:val="DefaultParagraphFont"/>
    <w:uiPriority w:val="59"/>
    <w:rsid w:val="000B7471"/>
    <w:rPr>
      <w:caps/>
      <w:smallCaps w:val="0"/>
      <w:color w:val="5A5A5A" w:themeColor="text1" w:themeTint="A5"/>
    </w:rPr>
  </w:style>
  <w:style w:type="paragraph" w:customStyle="1" w:styleId="Tablebullet1">
    <w:name w:val="Table bullet 1"/>
    <w:basedOn w:val="Bullet1"/>
    <w:link w:val="Tablebullet1Char"/>
    <w:uiPriority w:val="99"/>
    <w:qFormat/>
    <w:rsid w:val="00D94B30"/>
    <w:pPr>
      <w:numPr>
        <w:numId w:val="23"/>
      </w:numPr>
      <w:spacing w:before="60" w:line="240" w:lineRule="auto"/>
    </w:pPr>
    <w:rPr>
      <w:kern w:val="16"/>
      <w:sz w:val="16"/>
      <w:szCs w:val="16"/>
    </w:rPr>
  </w:style>
  <w:style w:type="character" w:customStyle="1" w:styleId="Tablebullet1Char">
    <w:name w:val="Table bullet 1 Char"/>
    <w:basedOn w:val="Bullet1Char"/>
    <w:link w:val="Tablebullet1"/>
    <w:uiPriority w:val="99"/>
    <w:rsid w:val="0054208A"/>
    <w:rPr>
      <w:kern w:val="16"/>
      <w:sz w:val="20"/>
      <w:szCs w:val="20"/>
      <w:lang w:val="fr-FR"/>
    </w:rPr>
  </w:style>
  <w:style w:type="paragraph" w:customStyle="1" w:styleId="Tablebullet2">
    <w:name w:val="Table bullet 2"/>
    <w:basedOn w:val="Bullet2"/>
    <w:link w:val="Tablebullet2Char"/>
    <w:uiPriority w:val="41"/>
    <w:qFormat/>
    <w:rsid w:val="00B13A2D"/>
    <w:pPr>
      <w:numPr>
        <w:ilvl w:val="0"/>
        <w:numId w:val="16"/>
      </w:numPr>
      <w:spacing w:before="60" w:line="240" w:lineRule="auto"/>
    </w:pPr>
    <w:rPr>
      <w:kern w:val="16"/>
      <w:sz w:val="16"/>
    </w:rPr>
  </w:style>
  <w:style w:type="character" w:customStyle="1" w:styleId="Tablebullet2Char">
    <w:name w:val="Table bullet 2 Char"/>
    <w:basedOn w:val="Bullet2Char"/>
    <w:link w:val="Tablebullet2"/>
    <w:uiPriority w:val="41"/>
    <w:rsid w:val="006C4EF1"/>
    <w:rPr>
      <w:kern w:val="16"/>
      <w:sz w:val="20"/>
      <w:szCs w:val="20"/>
      <w:lang w:val="fr-FR"/>
    </w:rPr>
  </w:style>
  <w:style w:type="paragraph" w:customStyle="1" w:styleId="Tablebullet3">
    <w:name w:val="Table bullet 3"/>
    <w:basedOn w:val="Bullet3"/>
    <w:link w:val="Tablebullet3Char"/>
    <w:uiPriority w:val="41"/>
    <w:qFormat/>
    <w:rsid w:val="00EC4D71"/>
    <w:pPr>
      <w:numPr>
        <w:numId w:val="23"/>
      </w:numPr>
      <w:tabs>
        <w:tab w:val="clear" w:pos="454"/>
        <w:tab w:val="num" w:pos="360"/>
      </w:tabs>
      <w:spacing w:before="60" w:line="240" w:lineRule="auto"/>
      <w:ind w:left="2273" w:firstLine="0"/>
      <w:jc w:val="left"/>
    </w:pPr>
    <w:rPr>
      <w:kern w:val="16"/>
    </w:rPr>
  </w:style>
  <w:style w:type="character" w:customStyle="1" w:styleId="Tablebullet3Char">
    <w:name w:val="Table bullet 3 Char"/>
    <w:basedOn w:val="Bullet3Char"/>
    <w:link w:val="Tablebullet3"/>
    <w:uiPriority w:val="41"/>
    <w:rsid w:val="000B7471"/>
    <w:rPr>
      <w:kern w:val="16"/>
      <w:sz w:val="20"/>
      <w:szCs w:val="20"/>
      <w:lang w:val="fr-FR"/>
    </w:rPr>
  </w:style>
  <w:style w:type="paragraph" w:customStyle="1" w:styleId="Tablecolumnheader">
    <w:name w:val="Table column header"/>
    <w:basedOn w:val="BodyText"/>
    <w:uiPriority w:val="40"/>
    <w:rsid w:val="000B7471"/>
    <w:pPr>
      <w:spacing w:before="60" w:after="0" w:line="240" w:lineRule="auto"/>
    </w:pPr>
    <w:rPr>
      <w:rFonts w:asciiTheme="majorHAnsi" w:eastAsia="Times New Roman" w:hAnsiTheme="majorHAnsi" w:cs="Times New Roman"/>
      <w:sz w:val="16"/>
      <w:szCs w:val="24"/>
    </w:rPr>
  </w:style>
  <w:style w:type="table" w:styleId="TableGrid">
    <w:name w:val="Table Grid"/>
    <w:basedOn w:val="TableNormal"/>
    <w:rsid w:val="000B7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B7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1">
    <w:name w:val="Table number 1"/>
    <w:basedOn w:val="Normal"/>
    <w:link w:val="Tablenumber1Char"/>
    <w:autoRedefine/>
    <w:uiPriority w:val="41"/>
    <w:qFormat/>
    <w:rsid w:val="00CB2BFD"/>
    <w:pPr>
      <w:numPr>
        <w:numId w:val="8"/>
      </w:numPr>
      <w:spacing w:before="60" w:after="0" w:line="240" w:lineRule="auto"/>
    </w:pPr>
    <w:rPr>
      <w:kern w:val="16"/>
    </w:rPr>
  </w:style>
  <w:style w:type="character" w:customStyle="1" w:styleId="Tablenumber1Char">
    <w:name w:val="Table number 1 Char"/>
    <w:basedOn w:val="DefaultParagraphFont"/>
    <w:link w:val="Tablenumber1"/>
    <w:uiPriority w:val="41"/>
    <w:rsid w:val="000B7471"/>
    <w:rPr>
      <w:kern w:val="16"/>
      <w:lang w:val="fr-FR"/>
    </w:rPr>
  </w:style>
  <w:style w:type="paragraph" w:customStyle="1" w:styleId="Tablenumber2">
    <w:name w:val="Table number 2"/>
    <w:basedOn w:val="Tablenumber1"/>
    <w:link w:val="Tablenumber2Char"/>
    <w:uiPriority w:val="41"/>
    <w:qFormat/>
    <w:rsid w:val="00CB2BFD"/>
    <w:pPr>
      <w:numPr>
        <w:ilvl w:val="1"/>
      </w:numPr>
    </w:pPr>
  </w:style>
  <w:style w:type="character" w:customStyle="1" w:styleId="Tablenumber2Char">
    <w:name w:val="Table number 2 Char"/>
    <w:basedOn w:val="Tablenumber1Char"/>
    <w:link w:val="Tablenumber2"/>
    <w:uiPriority w:val="41"/>
    <w:rsid w:val="000B7471"/>
    <w:rPr>
      <w:kern w:val="16"/>
      <w:lang w:val="fr-FR"/>
    </w:rPr>
  </w:style>
  <w:style w:type="character" w:customStyle="1" w:styleId="Tablenumber3Char">
    <w:name w:val="Table number 3 Char"/>
    <w:basedOn w:val="Tablenumber2Char"/>
    <w:link w:val="Tablenumber3"/>
    <w:uiPriority w:val="41"/>
    <w:rsid w:val="000B7471"/>
    <w:rPr>
      <w:kern w:val="16"/>
      <w:lang w:val="fr-FR"/>
    </w:rPr>
  </w:style>
  <w:style w:type="paragraph" w:customStyle="1" w:styleId="Tablerowheader">
    <w:name w:val="Table row header"/>
    <w:basedOn w:val="Tablecolumnheader"/>
    <w:uiPriority w:val="40"/>
    <w:rsid w:val="000B7471"/>
    <w:rPr>
      <w:color w:val="000000"/>
    </w:rPr>
  </w:style>
  <w:style w:type="paragraph" w:customStyle="1" w:styleId="Tabletext">
    <w:name w:val="Table text"/>
    <w:aliases w:val="ttx,F12 Table and Box Text"/>
    <w:basedOn w:val="BodyText"/>
    <w:uiPriority w:val="39"/>
    <w:qFormat/>
    <w:rsid w:val="00EA2C22"/>
    <w:pPr>
      <w:spacing w:after="0" w:line="240" w:lineRule="auto"/>
      <w:jc w:val="left"/>
    </w:pPr>
    <w:rPr>
      <w:rFonts w:eastAsia="Times New Roman" w:cs="Times New Roman"/>
      <w:sz w:val="16"/>
      <w:szCs w:val="24"/>
    </w:rPr>
  </w:style>
  <w:style w:type="table" w:customStyle="1" w:styleId="TechnopolisLight">
    <w:name w:val="Technopolis Light"/>
    <w:basedOn w:val="TableNormal"/>
    <w:uiPriority w:val="99"/>
    <w:rsid w:val="000B7471"/>
    <w:pPr>
      <w:spacing w:before="60" w:after="0" w:line="240" w:lineRule="auto"/>
    </w:pPr>
    <w:rPr>
      <w:rFonts w:asciiTheme="majorHAnsi" w:hAnsiTheme="majorHAnsi"/>
    </w:rPr>
    <w:tblPr>
      <w:tblBorders>
        <w:insideH w:val="single" w:sz="4" w:space="0" w:color="A69EC1" w:themeColor="accent4"/>
        <w:insideV w:val="single" w:sz="4" w:space="0" w:color="A69EC1" w:themeColor="accent4"/>
      </w:tblBorders>
      <w:tblCellMar>
        <w:top w:w="57" w:type="dxa"/>
        <w:bottom w:w="57" w:type="dxa"/>
      </w:tblCellMar>
    </w:tblPr>
    <w:tblStylePr w:type="firstRow">
      <w:pPr>
        <w:wordWrap/>
        <w:jc w:val="left"/>
      </w:pPr>
      <w:rPr>
        <w:b/>
        <w:i w:val="0"/>
      </w:rPr>
      <w:tblPr/>
      <w:tcPr>
        <w:tcBorders>
          <w:bottom w:val="single" w:sz="4" w:space="0" w:color="C73C3A" w:themeColor="accent1"/>
        </w:tcBorders>
      </w:tcPr>
    </w:tblStylePr>
  </w:style>
  <w:style w:type="table" w:customStyle="1" w:styleId="TechnopolisLight1">
    <w:name w:val="Technopolis Light1"/>
    <w:basedOn w:val="TableNormal"/>
    <w:uiPriority w:val="99"/>
    <w:rsid w:val="000B7471"/>
    <w:pPr>
      <w:spacing w:before="60" w:after="0" w:line="240" w:lineRule="auto"/>
    </w:pPr>
    <w:rPr>
      <w:rFonts w:asciiTheme="majorHAnsi" w:hAnsiTheme="majorHAnsi"/>
    </w:rPr>
    <w:tblPr>
      <w:tblBorders>
        <w:insideH w:val="single" w:sz="4" w:space="0" w:color="A69EC1" w:themeColor="accent4"/>
        <w:insideV w:val="single" w:sz="4" w:space="0" w:color="A69EC1" w:themeColor="accent4"/>
      </w:tblBorders>
      <w:tblCellMar>
        <w:top w:w="57" w:type="dxa"/>
        <w:bottom w:w="57" w:type="dxa"/>
      </w:tblCellMar>
    </w:tblPr>
    <w:tblStylePr w:type="firstRow">
      <w:pPr>
        <w:wordWrap/>
        <w:jc w:val="left"/>
      </w:pPr>
      <w:rPr>
        <w:i/>
      </w:rPr>
      <w:tblPr/>
      <w:tcPr>
        <w:tcBorders>
          <w:bottom w:val="single" w:sz="4" w:space="0" w:color="C73C3A" w:themeColor="accent1"/>
        </w:tcBorders>
      </w:tcPr>
    </w:tblStylePr>
  </w:style>
  <w:style w:type="table" w:customStyle="1" w:styleId="TechnopolisTable">
    <w:name w:val="Technopolis Table"/>
    <w:basedOn w:val="TechnopolisLight"/>
    <w:uiPriority w:val="99"/>
    <w:rsid w:val="00EC4D71"/>
    <w:tblPr>
      <w:tblStyleRowBandSize w:val="1"/>
      <w:tblBorders>
        <w:top w:val="single" w:sz="4" w:space="0" w:color="A69EC1" w:themeColor="accent4"/>
        <w:left w:val="single" w:sz="4" w:space="0" w:color="A69EC1" w:themeColor="accent4"/>
        <w:bottom w:val="single" w:sz="4" w:space="0" w:color="A69EC1" w:themeColor="accent4"/>
        <w:right w:val="single" w:sz="4" w:space="0" w:color="A69EC1" w:themeColor="accent4"/>
        <w:insideH w:val="none" w:sz="0" w:space="0" w:color="auto"/>
        <w:insideV w:val="none" w:sz="0" w:space="0" w:color="auto"/>
      </w:tblBorders>
    </w:tblPr>
    <w:tblStylePr w:type="firstRow">
      <w:pPr>
        <w:wordWrap/>
        <w:jc w:val="left"/>
      </w:pPr>
      <w:rPr>
        <w:b/>
        <w:i w:val="0"/>
      </w:rPr>
      <w:tblPr/>
      <w:tcPr>
        <w:tcBorders>
          <w:top w:val="single" w:sz="4" w:space="0" w:color="A69EC1" w:themeColor="accent4"/>
          <w:left w:val="single" w:sz="4" w:space="0" w:color="A69EC1" w:themeColor="accent4"/>
          <w:bottom w:val="single" w:sz="4" w:space="0" w:color="C73C3A" w:themeColor="accent1"/>
          <w:right w:val="single" w:sz="4" w:space="0" w:color="A69EC1" w:themeColor="accent4"/>
          <w:insideH w:val="single" w:sz="4" w:space="0" w:color="A69EC1" w:themeColor="accent4"/>
          <w:insideV w:val="single" w:sz="4" w:space="0" w:color="A69EC1" w:themeColor="accent4"/>
        </w:tcBorders>
      </w:tcPr>
    </w:tblStylePr>
    <w:tblStylePr w:type="band1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tblStylePr w:type="band2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style>
  <w:style w:type="table" w:customStyle="1" w:styleId="Technopolistable2">
    <w:name w:val="Technopolis table 2"/>
    <w:basedOn w:val="TableNormal"/>
    <w:uiPriority w:val="99"/>
    <w:rsid w:val="000B7471"/>
    <w:pPr>
      <w:spacing w:after="0" w:line="240" w:lineRule="auto"/>
    </w:pPr>
    <w:rPr>
      <w:rFonts w:ascii="Georgia" w:hAnsi="Georgia"/>
      <w:color w:val="00B050"/>
    </w:rPr>
    <w:tblPr/>
    <w:tblStylePr w:type="firstRow">
      <w:rPr>
        <w:sz w:val="16"/>
      </w:rPr>
    </w:tblStylePr>
  </w:style>
  <w:style w:type="table" w:customStyle="1" w:styleId="TechnopolisTable1">
    <w:name w:val="Technopolis Table1"/>
    <w:basedOn w:val="TechnopolisLight"/>
    <w:uiPriority w:val="99"/>
    <w:rsid w:val="00EC4D71"/>
    <w:tblPr>
      <w:tblStyleRowBandSize w:val="1"/>
      <w:tblBorders>
        <w:top w:val="single" w:sz="4" w:space="0" w:color="A69EC1" w:themeColor="accent4"/>
        <w:left w:val="single" w:sz="4" w:space="0" w:color="A69EC1" w:themeColor="accent4"/>
        <w:bottom w:val="single" w:sz="4" w:space="0" w:color="A69EC1" w:themeColor="accent4"/>
        <w:right w:val="single" w:sz="4" w:space="0" w:color="A69EC1" w:themeColor="accent4"/>
        <w:insideH w:val="none" w:sz="0" w:space="0" w:color="auto"/>
        <w:insideV w:val="none" w:sz="0" w:space="0" w:color="auto"/>
      </w:tblBorders>
    </w:tblPr>
    <w:tblStylePr w:type="firstRow">
      <w:pPr>
        <w:wordWrap/>
        <w:jc w:val="left"/>
      </w:pPr>
      <w:rPr>
        <w:b/>
        <w:i w:val="0"/>
      </w:rPr>
      <w:tblPr/>
      <w:tcPr>
        <w:tcBorders>
          <w:top w:val="single" w:sz="4" w:space="0" w:color="A69EC1" w:themeColor="accent4"/>
          <w:left w:val="single" w:sz="4" w:space="0" w:color="A69EC1" w:themeColor="accent4"/>
          <w:bottom w:val="single" w:sz="4" w:space="0" w:color="C73C3A" w:themeColor="accent1"/>
          <w:right w:val="single" w:sz="4" w:space="0" w:color="A69EC1" w:themeColor="accent4"/>
          <w:insideH w:val="single" w:sz="4" w:space="0" w:color="A69EC1" w:themeColor="accent4"/>
          <w:insideV w:val="single" w:sz="4" w:space="0" w:color="A69EC1" w:themeColor="accent4"/>
        </w:tcBorders>
      </w:tcPr>
    </w:tblStylePr>
    <w:tblStylePr w:type="band1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tblStylePr w:type="band2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style>
  <w:style w:type="table" w:customStyle="1" w:styleId="TechnopolisTEST2">
    <w:name w:val="Technopolis TEST 2"/>
    <w:basedOn w:val="TableNormal"/>
    <w:uiPriority w:val="99"/>
    <w:rsid w:val="000B7471"/>
    <w:pPr>
      <w:spacing w:after="0" w:line="240" w:lineRule="auto"/>
    </w:p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styleId="Title">
    <w:name w:val="Title"/>
    <w:basedOn w:val="Normal"/>
    <w:next w:val="BodyText"/>
    <w:link w:val="TitleChar8"/>
    <w:uiPriority w:val="44"/>
    <w:qFormat/>
    <w:rsid w:val="00F732F5"/>
    <w:pPr>
      <w:pBdr>
        <w:bottom w:val="dotted" w:sz="48" w:space="1" w:color="FFFFFF" w:themeColor="background1"/>
      </w:pBdr>
      <w:spacing w:before="720" w:after="0"/>
      <w:contextualSpacing/>
    </w:pPr>
    <w:rPr>
      <w:rFonts w:asciiTheme="majorHAnsi" w:eastAsiaTheme="majorEastAsia" w:hAnsiTheme="majorHAnsi" w:cstheme="majorBidi"/>
      <w:b/>
      <w:spacing w:val="-10"/>
      <w:kern w:val="28"/>
      <w:sz w:val="70"/>
      <w:szCs w:val="56"/>
    </w:rPr>
  </w:style>
  <w:style w:type="character" w:customStyle="1" w:styleId="TitleChar8">
    <w:name w:val="Title Char8"/>
    <w:basedOn w:val="DefaultParagraphFont"/>
    <w:link w:val="Title"/>
    <w:uiPriority w:val="44"/>
    <w:rsid w:val="00E14844"/>
    <w:rPr>
      <w:rFonts w:asciiTheme="majorHAnsi" w:eastAsiaTheme="majorEastAsia" w:hAnsiTheme="majorHAnsi" w:cstheme="majorBidi"/>
      <w:b/>
      <w:spacing w:val="-10"/>
      <w:kern w:val="28"/>
      <w:sz w:val="70"/>
      <w:szCs w:val="56"/>
      <w:lang w:val="fr-FR"/>
    </w:rPr>
  </w:style>
  <w:style w:type="paragraph" w:styleId="TOC2">
    <w:name w:val="toc 2"/>
    <w:basedOn w:val="Normal"/>
    <w:next w:val="Normal"/>
    <w:uiPriority w:val="39"/>
    <w:rsid w:val="00E14844"/>
    <w:pPr>
      <w:tabs>
        <w:tab w:val="left" w:pos="680"/>
        <w:tab w:val="right" w:leader="underscore" w:pos="9061"/>
      </w:tabs>
      <w:spacing w:after="120"/>
      <w:ind w:left="681" w:right="284" w:hanging="397"/>
      <w:jc w:val="both"/>
    </w:pPr>
    <w:rPr>
      <w:noProof/>
      <w:color w:val="000000" w:themeColor="text1"/>
      <w:sz w:val="18"/>
    </w:rPr>
  </w:style>
  <w:style w:type="paragraph" w:styleId="TOC3">
    <w:name w:val="toc 3"/>
    <w:basedOn w:val="Normal"/>
    <w:next w:val="Normal"/>
    <w:uiPriority w:val="39"/>
    <w:rsid w:val="00E14844"/>
    <w:pPr>
      <w:tabs>
        <w:tab w:val="left" w:pos="1247"/>
        <w:tab w:val="right" w:leader="underscore" w:pos="9061"/>
      </w:tabs>
      <w:spacing w:after="120"/>
      <w:ind w:left="1247" w:right="284" w:hanging="567"/>
      <w:jc w:val="both"/>
    </w:pPr>
    <w:rPr>
      <w:noProof/>
      <w:color w:val="000000" w:themeColor="text1"/>
      <w:sz w:val="18"/>
    </w:rPr>
  </w:style>
  <w:style w:type="paragraph" w:styleId="TOC4">
    <w:name w:val="toc 4"/>
    <w:basedOn w:val="TOC1"/>
    <w:next w:val="Normal"/>
    <w:autoRedefine/>
    <w:uiPriority w:val="39"/>
    <w:rsid w:val="00E14844"/>
    <w:pPr>
      <w:ind w:left="1247" w:hanging="1247"/>
    </w:pPr>
    <w:rPr>
      <w:noProof/>
    </w:rPr>
  </w:style>
  <w:style w:type="paragraph" w:styleId="TOC5">
    <w:name w:val="toc 5"/>
    <w:basedOn w:val="TOC4"/>
    <w:next w:val="Normal"/>
    <w:autoRedefine/>
    <w:uiPriority w:val="39"/>
    <w:rsid w:val="00E14844"/>
    <w:pPr>
      <w:ind w:left="851" w:hanging="851"/>
    </w:pPr>
  </w:style>
  <w:style w:type="paragraph" w:styleId="TOC6">
    <w:name w:val="toc 6"/>
    <w:basedOn w:val="Normal"/>
    <w:next w:val="Normal"/>
    <w:autoRedefine/>
    <w:uiPriority w:val="39"/>
    <w:rsid w:val="00E14844"/>
    <w:pPr>
      <w:spacing w:after="0"/>
      <w:ind w:left="1000"/>
    </w:pPr>
    <w:rPr>
      <w:szCs w:val="20"/>
    </w:rPr>
  </w:style>
  <w:style w:type="paragraph" w:styleId="TOC7">
    <w:name w:val="toc 7"/>
    <w:basedOn w:val="Normal"/>
    <w:next w:val="Normal"/>
    <w:autoRedefine/>
    <w:uiPriority w:val="39"/>
    <w:rsid w:val="00E14844"/>
    <w:pPr>
      <w:spacing w:after="0"/>
      <w:ind w:left="1200"/>
    </w:pPr>
    <w:rPr>
      <w:szCs w:val="20"/>
    </w:rPr>
  </w:style>
  <w:style w:type="paragraph" w:styleId="TOC8">
    <w:name w:val="toc 8"/>
    <w:basedOn w:val="Normal"/>
    <w:next w:val="Normal"/>
    <w:autoRedefine/>
    <w:uiPriority w:val="39"/>
    <w:rsid w:val="00E14844"/>
    <w:pPr>
      <w:spacing w:after="0"/>
      <w:ind w:left="1400"/>
    </w:pPr>
    <w:rPr>
      <w:szCs w:val="20"/>
    </w:rPr>
  </w:style>
  <w:style w:type="paragraph" w:styleId="TOC9">
    <w:name w:val="toc 9"/>
    <w:basedOn w:val="Normal"/>
    <w:next w:val="Normal"/>
    <w:autoRedefine/>
    <w:uiPriority w:val="39"/>
    <w:rsid w:val="00E14844"/>
    <w:pPr>
      <w:spacing w:after="0"/>
      <w:ind w:left="1600"/>
    </w:pPr>
    <w:rPr>
      <w:szCs w:val="20"/>
    </w:rPr>
  </w:style>
  <w:style w:type="paragraph" w:customStyle="1" w:styleId="Version">
    <w:name w:val="Version"/>
    <w:basedOn w:val="Title"/>
    <w:next w:val="BodyText"/>
    <w:uiPriority w:val="44"/>
    <w:rsid w:val="000B7471"/>
    <w:pPr>
      <w:spacing w:before="0"/>
    </w:pPr>
    <w:rPr>
      <w:b w:val="0"/>
      <w:bCs/>
      <w:iCs/>
      <w:color w:val="000000" w:themeColor="text1"/>
      <w:sz w:val="28"/>
    </w:rPr>
  </w:style>
  <w:style w:type="paragraph" w:styleId="Date">
    <w:name w:val="Date"/>
    <w:basedOn w:val="Normal"/>
    <w:next w:val="Normal"/>
    <w:link w:val="DateChar"/>
    <w:uiPriority w:val="99"/>
    <w:unhideWhenUsed/>
    <w:rsid w:val="000B7471"/>
    <w:pPr>
      <w:spacing w:line="240" w:lineRule="auto"/>
    </w:pPr>
    <w:rPr>
      <w:i/>
      <w:color w:val="FFFFFF" w:themeColor="background1"/>
      <w:sz w:val="26"/>
    </w:rPr>
  </w:style>
  <w:style w:type="character" w:customStyle="1" w:styleId="DateChar">
    <w:name w:val="Date Char"/>
    <w:basedOn w:val="DefaultParagraphFont"/>
    <w:link w:val="Date"/>
    <w:uiPriority w:val="99"/>
    <w:rsid w:val="000B7471"/>
    <w:rPr>
      <w:i/>
      <w:color w:val="FFFFFF" w:themeColor="background1"/>
      <w:sz w:val="26"/>
      <w:lang w:val="fr-FR"/>
    </w:rPr>
  </w:style>
  <w:style w:type="paragraph" w:customStyle="1" w:styleId="Teammembers">
    <w:name w:val="Team members"/>
    <w:basedOn w:val="BodyText"/>
    <w:uiPriority w:val="69"/>
    <w:rsid w:val="000B7471"/>
    <w:rPr>
      <w:sz w:val="24"/>
    </w:rPr>
  </w:style>
  <w:style w:type="paragraph" w:customStyle="1" w:styleId="Titlerepeat">
    <w:name w:val="Title repeat"/>
    <w:basedOn w:val="Normal"/>
    <w:next w:val="Subtitle"/>
    <w:uiPriority w:val="69"/>
    <w:rsid w:val="00E14844"/>
    <w:pPr>
      <w:spacing w:after="200"/>
    </w:pPr>
    <w:rPr>
      <w:b/>
      <w:color w:val="CF342C" w:themeColor="text2"/>
      <w:sz w:val="32"/>
      <w:szCs w:val="32"/>
    </w:rPr>
  </w:style>
  <w:style w:type="paragraph" w:customStyle="1" w:styleId="Subtitlerepeat">
    <w:name w:val="Subtitle repeat"/>
    <w:basedOn w:val="Subtitle"/>
    <w:next w:val="Normal"/>
    <w:uiPriority w:val="69"/>
    <w:rsid w:val="000B7471"/>
    <w:pPr>
      <w:pBdr>
        <w:bottom w:val="single" w:sz="4" w:space="24" w:color="CF342C" w:themeColor="text2"/>
      </w:pBdr>
      <w:spacing w:before="0" w:after="120"/>
    </w:pPr>
    <w:rPr>
      <w:color w:val="000000" w:themeColor="text1"/>
      <w:sz w:val="32"/>
    </w:rPr>
  </w:style>
  <w:style w:type="paragraph" w:styleId="CommentSubject">
    <w:name w:val="annotation subject"/>
    <w:basedOn w:val="CommentText"/>
    <w:next w:val="CommentText"/>
    <w:link w:val="CommentSubjectChar"/>
    <w:uiPriority w:val="99"/>
    <w:semiHidden/>
    <w:unhideWhenUsed/>
    <w:rsid w:val="000B7471"/>
    <w:rPr>
      <w:b/>
      <w:bCs/>
    </w:rPr>
  </w:style>
  <w:style w:type="character" w:customStyle="1" w:styleId="CommentSubjectChar">
    <w:name w:val="Comment Subject Char"/>
    <w:basedOn w:val="CommentTextChar"/>
    <w:link w:val="CommentSubject"/>
    <w:uiPriority w:val="99"/>
    <w:semiHidden/>
    <w:rsid w:val="000B7471"/>
    <w:rPr>
      <w:b/>
      <w:bCs/>
      <w:sz w:val="20"/>
      <w:szCs w:val="20"/>
      <w:lang w:val="fr-FR"/>
    </w:rPr>
  </w:style>
  <w:style w:type="character" w:customStyle="1" w:styleId="NoSpacingChar">
    <w:name w:val="No Spacing Char"/>
    <w:basedOn w:val="DefaultParagraphFont"/>
    <w:link w:val="NoSpacing"/>
    <w:uiPriority w:val="9"/>
    <w:rsid w:val="000B7471"/>
    <w:rPr>
      <w:noProof/>
      <w:sz w:val="20"/>
      <w:lang w:val="nl-NL"/>
    </w:rPr>
  </w:style>
  <w:style w:type="paragraph" w:customStyle="1" w:styleId="BodyText0">
    <w:name w:val="BodyText"/>
    <w:aliases w:val="??t??? ?e??t??,-,Základní text,- TF,Te"/>
    <w:basedOn w:val="Normal"/>
    <w:link w:val="BodyTextChar"/>
    <w:qFormat/>
    <w:rsid w:val="000B7471"/>
    <w:pPr>
      <w:jc w:val="both"/>
    </w:pPr>
    <w:rPr>
      <w:sz w:val="20"/>
      <w:szCs w:val="22"/>
    </w:rPr>
  </w:style>
  <w:style w:type="character" w:customStyle="1" w:styleId="BodyTextChar">
    <w:name w:val="BodyText Char"/>
    <w:aliases w:val="Car Char,Document Char,Doc Char,Body Text2 Char,doc Char,Standard paragraph Char,(Norm) Char,Body Text 12 Char,bt Char,gl Char,uvlaka 2 Char,heading3 Char,Body Text - Level 2 Char,1body Char,BodText Char,body text Char,Body Text Char"/>
    <w:basedOn w:val="DefaultParagraphFont"/>
    <w:link w:val="BodyText0"/>
    <w:rsid w:val="000B7471"/>
    <w:rPr>
      <w:sz w:val="20"/>
      <w:szCs w:val="22"/>
      <w:lang w:val="fr-FR"/>
    </w:rPr>
  </w:style>
  <w:style w:type="paragraph" w:styleId="ListParagraph">
    <w:name w:val="List Paragraph"/>
    <w:aliases w:val="normal,texte de base,Bullet point_CMN,PADE_liste,Resume Title,Citation List,heading 4,Indent Paragraph,Heading 41,Paragraphe de liste serré,Sémaphores Puces,Lettre d'introduction,List Paragraph1,Numbered paragraph 1,Listes,lp1,List L"/>
    <w:basedOn w:val="Normal"/>
    <w:link w:val="ListParagraphChar"/>
    <w:uiPriority w:val="59"/>
    <w:rsid w:val="000B7471"/>
    <w:pPr>
      <w:ind w:left="2160" w:hanging="360"/>
      <w:contextualSpacing/>
    </w:pPr>
    <w:rPr>
      <w:sz w:val="20"/>
      <w:szCs w:val="22"/>
    </w:rPr>
  </w:style>
  <w:style w:type="character" w:customStyle="1" w:styleId="ListParagraphChar">
    <w:name w:val="List Paragraph Char"/>
    <w:aliases w:val="normal Char,texte de base Char,Bullet point_CMN Char,PADE_liste Char,Resume Title Char,Citation List Char,heading 4 Char,Indent Paragraph Char,Heading 41 Char,Paragraphe de liste serré Char,Sémaphores Puces Char,List Paragraph1 Char"/>
    <w:basedOn w:val="DefaultParagraphFont"/>
    <w:link w:val="ListParagraph"/>
    <w:uiPriority w:val="59"/>
    <w:qFormat/>
    <w:rsid w:val="000B7471"/>
    <w:rPr>
      <w:sz w:val="20"/>
      <w:szCs w:val="22"/>
      <w:lang w:val="fr-FR"/>
    </w:rPr>
  </w:style>
  <w:style w:type="paragraph" w:customStyle="1" w:styleId="Table">
    <w:name w:val="Table"/>
    <w:basedOn w:val="BodyText0"/>
    <w:link w:val="TableChar"/>
    <w:rsid w:val="000B7471"/>
    <w:pPr>
      <w:spacing w:before="60" w:after="0" w:line="240" w:lineRule="auto"/>
      <w:jc w:val="left"/>
    </w:pPr>
    <w:rPr>
      <w:rFonts w:asciiTheme="majorHAnsi" w:hAnsiTheme="majorHAnsi"/>
      <w:bCs/>
      <w:kern w:val="16"/>
      <w:sz w:val="16"/>
    </w:rPr>
  </w:style>
  <w:style w:type="character" w:customStyle="1" w:styleId="TableChar">
    <w:name w:val="Table Char"/>
    <w:basedOn w:val="DefaultParagraphFont"/>
    <w:link w:val="Table"/>
    <w:rsid w:val="000B7471"/>
    <w:rPr>
      <w:rFonts w:asciiTheme="majorHAnsi" w:hAnsiTheme="majorHAnsi"/>
      <w:bCs/>
      <w:kern w:val="16"/>
      <w:szCs w:val="22"/>
      <w:lang w:val="fr-FR"/>
    </w:rPr>
  </w:style>
  <w:style w:type="paragraph" w:customStyle="1" w:styleId="TableListBullet">
    <w:name w:val="Table List Bullet"/>
    <w:basedOn w:val="BodyText"/>
    <w:rsid w:val="00EC4D71"/>
    <w:pPr>
      <w:numPr>
        <w:numId w:val="17"/>
      </w:numPr>
      <w:spacing w:after="60" w:line="240" w:lineRule="auto"/>
      <w:jc w:val="left"/>
    </w:pPr>
    <w:rPr>
      <w:rFonts w:ascii="Georgia" w:eastAsia="Times New Roman" w:hAnsi="Georgia" w:cs="Times New Roman"/>
      <w:sz w:val="16"/>
      <w:szCs w:val="24"/>
    </w:rPr>
  </w:style>
  <w:style w:type="paragraph" w:styleId="NormalWeb">
    <w:name w:val="Normal (Web)"/>
    <w:basedOn w:val="Normal"/>
    <w:uiPriority w:val="99"/>
    <w:unhideWhenUsed/>
    <w:rsid w:val="000B747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nresolvedMention1">
    <w:name w:val="Unresolved Mention1"/>
    <w:basedOn w:val="DefaultParagraphFont"/>
    <w:uiPriority w:val="99"/>
    <w:unhideWhenUsed/>
    <w:rsid w:val="000B7471"/>
    <w:rPr>
      <w:color w:val="605E5C"/>
      <w:shd w:val="clear" w:color="auto" w:fill="E1DFDD"/>
    </w:rPr>
  </w:style>
  <w:style w:type="character" w:customStyle="1" w:styleId="Mention1">
    <w:name w:val="Mention1"/>
    <w:basedOn w:val="DefaultParagraphFont"/>
    <w:uiPriority w:val="99"/>
    <w:unhideWhenUsed/>
    <w:rsid w:val="000B7471"/>
    <w:rPr>
      <w:color w:val="2B579A"/>
      <w:shd w:val="clear" w:color="auto" w:fill="E1DFDD"/>
    </w:rPr>
  </w:style>
  <w:style w:type="table" w:customStyle="1" w:styleId="TechnopolisTable20">
    <w:name w:val="Technopolis Table2"/>
    <w:basedOn w:val="TableNormal"/>
    <w:uiPriority w:val="99"/>
    <w:rsid w:val="000B7471"/>
    <w:pPr>
      <w:spacing w:before="60" w:after="0" w:line="240" w:lineRule="auto"/>
    </w:pPr>
    <w:rPr>
      <w:rFonts w:asciiTheme="majorHAnsi" w:hAnsiTheme="majorHAnsi"/>
      <w:szCs w:val="22"/>
    </w:rPr>
    <w:tblPr>
      <w:tblStyleRowBandSize w:val="1"/>
      <w:tblBorders>
        <w:top w:val="single" w:sz="4" w:space="0" w:color="9D9D9D"/>
        <w:left w:val="single" w:sz="4" w:space="0" w:color="9D9D9D"/>
        <w:bottom w:val="single" w:sz="4" w:space="0" w:color="9D9D9D"/>
        <w:right w:val="single" w:sz="4" w:space="0" w:color="9D9D9D"/>
      </w:tblBorders>
      <w:tblCellMar>
        <w:top w:w="57" w:type="dxa"/>
        <w:bottom w:w="57"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paragraph" w:styleId="Revision">
    <w:name w:val="Revision"/>
    <w:hidden/>
    <w:uiPriority w:val="99"/>
    <w:semiHidden/>
    <w:rsid w:val="00206AD4"/>
    <w:pPr>
      <w:spacing w:after="0" w:line="240" w:lineRule="auto"/>
    </w:pPr>
    <w:rPr>
      <w:lang w:val="fr-FR"/>
    </w:rPr>
  </w:style>
  <w:style w:type="paragraph" w:customStyle="1" w:styleId="paragraph">
    <w:name w:val="paragraph"/>
    <w:basedOn w:val="Normal"/>
    <w:rsid w:val="000B747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DefaultParagraphFont"/>
    <w:rsid w:val="000B7471"/>
  </w:style>
  <w:style w:type="character" w:customStyle="1" w:styleId="eop">
    <w:name w:val="eop"/>
    <w:basedOn w:val="DefaultParagraphFont"/>
    <w:rsid w:val="000B7471"/>
  </w:style>
  <w:style w:type="character" w:customStyle="1" w:styleId="Mentionnonrsolue1">
    <w:name w:val="Mention non résolue1"/>
    <w:basedOn w:val="DefaultParagraphFont"/>
    <w:uiPriority w:val="99"/>
    <w:unhideWhenUsed/>
    <w:rsid w:val="000B7471"/>
    <w:rPr>
      <w:color w:val="605E5C"/>
      <w:shd w:val="clear" w:color="auto" w:fill="E1DFDD"/>
    </w:rPr>
  </w:style>
  <w:style w:type="paragraph" w:customStyle="1" w:styleId="TableBullet1CV">
    <w:name w:val="Table Bullet 1 CV"/>
    <w:basedOn w:val="Normal"/>
    <w:rsid w:val="00EC4D71"/>
    <w:pPr>
      <w:numPr>
        <w:numId w:val="15"/>
      </w:numPr>
      <w:tabs>
        <w:tab w:val="num" w:pos="181"/>
      </w:tabs>
      <w:spacing w:before="40" w:after="40"/>
      <w:ind w:left="181" w:hanging="181"/>
    </w:pPr>
    <w:rPr>
      <w:rFonts w:ascii="Calibri" w:eastAsia="Times New Roman" w:hAnsi="Calibri" w:cs="Times New Roman"/>
      <w:sz w:val="18"/>
      <w:szCs w:val="20"/>
    </w:rPr>
  </w:style>
  <w:style w:type="character" w:customStyle="1" w:styleId="StyleTableTexteCV6Bullet1">
    <w:name w:val="Style Table Texte CV 6 Bullet 1"/>
    <w:basedOn w:val="DefaultParagraphFont"/>
    <w:rsid w:val="000B7471"/>
    <w:rPr>
      <w:rFonts w:asciiTheme="minorHAnsi" w:hAnsiTheme="minorHAnsi"/>
      <w:sz w:val="18"/>
    </w:rPr>
  </w:style>
  <w:style w:type="character" w:customStyle="1" w:styleId="StyleTableTexteCV2Fonction">
    <w:name w:val="Style Table Texte CV 2 Fonction"/>
    <w:basedOn w:val="DefaultParagraphFont"/>
    <w:rsid w:val="000B7471"/>
    <w:rPr>
      <w:b/>
      <w:bCs/>
      <w:spacing w:val="-4"/>
      <w:sz w:val="24"/>
    </w:rPr>
  </w:style>
  <w:style w:type="paragraph" w:customStyle="1" w:styleId="Grilleclaire-Accent31">
    <w:name w:val="Grille claire - Accent 31"/>
    <w:basedOn w:val="Normal"/>
    <w:rsid w:val="000B7471"/>
    <w:pPr>
      <w:spacing w:after="200" w:line="240" w:lineRule="auto"/>
      <w:ind w:left="720"/>
      <w:contextualSpacing/>
    </w:pPr>
    <w:rPr>
      <w:rFonts w:ascii="Cambria" w:eastAsia="Cambria" w:hAnsi="Cambria" w:cs="Times New Roman"/>
      <w:sz w:val="24"/>
      <w:szCs w:val="24"/>
      <w:lang w:val="en-GB"/>
    </w:rPr>
  </w:style>
  <w:style w:type="character" w:customStyle="1" w:styleId="apple-converted-space">
    <w:name w:val="apple-converted-space"/>
    <w:basedOn w:val="DefaultParagraphFont"/>
    <w:rsid w:val="000B7471"/>
  </w:style>
  <w:style w:type="table" w:styleId="GridTable1Light-Accent6">
    <w:name w:val="Grid Table 1 Light Accent 6"/>
    <w:basedOn w:val="TableNormal"/>
    <w:uiPriority w:val="46"/>
    <w:rsid w:val="000B7471"/>
    <w:pPr>
      <w:spacing w:after="0" w:line="240" w:lineRule="auto"/>
    </w:pPr>
    <w:tblPr>
      <w:tblStyleRowBandSize w:val="1"/>
      <w:tblStyleColBandSize w:val="1"/>
      <w:tblBorders>
        <w:top w:val="single" w:sz="4" w:space="0" w:color="B5DBCD" w:themeColor="accent6" w:themeTint="66"/>
        <w:left w:val="single" w:sz="4" w:space="0" w:color="B5DBCD" w:themeColor="accent6" w:themeTint="66"/>
        <w:bottom w:val="single" w:sz="4" w:space="0" w:color="B5DBCD" w:themeColor="accent6" w:themeTint="66"/>
        <w:right w:val="single" w:sz="4" w:space="0" w:color="B5DBCD" w:themeColor="accent6" w:themeTint="66"/>
        <w:insideH w:val="single" w:sz="4" w:space="0" w:color="B5DBCD" w:themeColor="accent6" w:themeTint="66"/>
        <w:insideV w:val="single" w:sz="4" w:space="0" w:color="B5DBCD" w:themeColor="accent6" w:themeTint="66"/>
      </w:tblBorders>
    </w:tblPr>
    <w:tblStylePr w:type="firstRow">
      <w:rPr>
        <w:b/>
        <w:bCs/>
      </w:rPr>
      <w:tblPr/>
      <w:tcPr>
        <w:tcBorders>
          <w:bottom w:val="single" w:sz="12" w:space="0" w:color="91C9B4" w:themeColor="accent6" w:themeTint="99"/>
        </w:tcBorders>
      </w:tcPr>
    </w:tblStylePr>
    <w:tblStylePr w:type="lastRow">
      <w:rPr>
        <w:b/>
        <w:bCs/>
      </w:rPr>
      <w:tblPr/>
      <w:tcPr>
        <w:tcBorders>
          <w:top w:val="double" w:sz="2" w:space="0" w:color="91C9B4" w:themeColor="accent6" w:themeTint="99"/>
        </w:tcBorders>
      </w:tcPr>
    </w:tblStylePr>
    <w:tblStylePr w:type="firstCol">
      <w:rPr>
        <w:b/>
        <w:bCs/>
      </w:rPr>
    </w:tblStylePr>
    <w:tblStylePr w:type="lastCol">
      <w:rPr>
        <w:b/>
        <w:bCs/>
      </w:rPr>
    </w:tblStylePr>
  </w:style>
  <w:style w:type="paragraph" w:customStyle="1" w:styleId="Style3Numrotation">
    <w:name w:val="Style3_Numérotation"/>
    <w:basedOn w:val="Heading3"/>
    <w:rsid w:val="00EC4D71"/>
    <w:pPr>
      <w:numPr>
        <w:numId w:val="14"/>
      </w:numPr>
      <w:spacing w:before="200" w:after="0" w:line="276" w:lineRule="auto"/>
    </w:pPr>
    <w:rPr>
      <w:rFonts w:ascii="PT Serif" w:hAnsi="PT Serif"/>
      <w:b/>
      <w:bCs/>
      <w:i w:val="0"/>
      <w:color w:val="35738B"/>
      <w:sz w:val="22"/>
      <w:szCs w:val="22"/>
    </w:rPr>
  </w:style>
  <w:style w:type="character" w:styleId="FollowedHyperlink">
    <w:name w:val="FollowedHyperlink"/>
    <w:basedOn w:val="DefaultParagraphFont"/>
    <w:uiPriority w:val="99"/>
    <w:semiHidden/>
    <w:unhideWhenUsed/>
    <w:rsid w:val="001F74DA"/>
    <w:rPr>
      <w:color w:val="A3342F" w:themeColor="followedHyperlink"/>
      <w:u w:val="single"/>
    </w:rPr>
  </w:style>
  <w:style w:type="paragraph" w:customStyle="1" w:styleId="msonormal0">
    <w:name w:val="msonormal"/>
    <w:basedOn w:val="Normal"/>
    <w:uiPriority w:val="99"/>
    <w:rsid w:val="001F74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1">
    <w:name w:val="Note de bas de page Car1"/>
    <w:aliases w:val="Schriftart: 9 pt Car1,Schriftart: 10 pt Car1,Schriftart: 8 pt Car1,Podrozdział Car1,o Car1,Schriftart: 8 p Car1,Footnote text Car1,stile 1 Car1,Footnote1 Car1,Footnote2 Car1,Footnote3 Car1,Footnote4 Car1,Footnote5 Car1,Sch Car1"/>
    <w:basedOn w:val="DefaultParagraphFont"/>
    <w:uiPriority w:val="99"/>
    <w:semiHidden/>
    <w:rsid w:val="001F74DA"/>
    <w:rPr>
      <w:sz w:val="20"/>
      <w:szCs w:val="20"/>
      <w:lang w:val="fr-FR"/>
    </w:rPr>
  </w:style>
  <w:style w:type="paragraph" w:customStyle="1" w:styleId="Bullet1-">
    <w:name w:val="Bullet 1-"/>
    <w:basedOn w:val="ListParagraph"/>
    <w:uiPriority w:val="99"/>
    <w:rsid w:val="001F74DA"/>
    <w:pPr>
      <w:numPr>
        <w:numId w:val="1"/>
      </w:numPr>
      <w:spacing w:line="256" w:lineRule="auto"/>
      <w:jc w:val="both"/>
    </w:pPr>
    <w:rPr>
      <w:lang w:val="en-US"/>
    </w:rPr>
  </w:style>
  <w:style w:type="paragraph" w:customStyle="1" w:styleId="Default">
    <w:name w:val="Default"/>
    <w:uiPriority w:val="99"/>
    <w:rsid w:val="001F74DA"/>
    <w:pPr>
      <w:autoSpaceDE w:val="0"/>
      <w:autoSpaceDN w:val="0"/>
      <w:adjustRightInd w:val="0"/>
      <w:spacing w:after="0" w:line="240" w:lineRule="auto"/>
    </w:pPr>
    <w:rPr>
      <w:rFonts w:ascii="Calibri" w:hAnsi="Calibri" w:cs="Calibri"/>
      <w:color w:val="000000"/>
      <w:sz w:val="24"/>
      <w:szCs w:val="24"/>
      <w:lang w:val="fr-FR"/>
    </w:rPr>
  </w:style>
  <w:style w:type="character" w:customStyle="1" w:styleId="Heading4Char1">
    <w:name w:val="Heading 4 Char1"/>
    <w:basedOn w:val="DefaultParagraphFont"/>
    <w:uiPriority w:val="29"/>
    <w:rsid w:val="001F74DA"/>
    <w:rPr>
      <w:rFonts w:asciiTheme="majorHAnsi" w:eastAsiaTheme="majorEastAsia" w:hAnsiTheme="majorHAnsi" w:cstheme="majorBidi" w:hint="default"/>
      <w:iCs/>
      <w:color w:val="CF342C" w:themeColor="text2"/>
      <w:sz w:val="20"/>
      <w:lang w:val="fr-FR"/>
    </w:rPr>
  </w:style>
  <w:style w:type="character" w:customStyle="1" w:styleId="Heading5Char1">
    <w:name w:val="Heading 5 Char1"/>
    <w:basedOn w:val="DefaultParagraphFont"/>
    <w:uiPriority w:val="29"/>
    <w:rsid w:val="001F74DA"/>
    <w:rPr>
      <w:rFonts w:asciiTheme="majorHAnsi" w:eastAsiaTheme="majorEastAsia" w:hAnsiTheme="majorHAnsi" w:cstheme="majorBidi" w:hint="default"/>
      <w:color w:val="CF342C" w:themeColor="text2"/>
      <w:sz w:val="20"/>
      <w:lang w:val="fr-FR"/>
    </w:rPr>
  </w:style>
  <w:style w:type="character" w:customStyle="1" w:styleId="Heading7Char1">
    <w:name w:val="Heading 7 Char1"/>
    <w:basedOn w:val="DefaultParagraphFont"/>
    <w:uiPriority w:val="29"/>
    <w:semiHidden/>
    <w:rsid w:val="001F74DA"/>
    <w:rPr>
      <w:rFonts w:asciiTheme="majorHAnsi" w:eastAsiaTheme="majorEastAsia" w:hAnsiTheme="majorHAnsi" w:cstheme="majorBidi" w:hint="default"/>
      <w:i/>
      <w:iCs/>
      <w:color w:val="631D1C" w:themeColor="accent1" w:themeShade="7F"/>
      <w:sz w:val="20"/>
      <w:lang w:val="fr-FR"/>
    </w:rPr>
  </w:style>
  <w:style w:type="character" w:customStyle="1" w:styleId="Heading8Char1">
    <w:name w:val="Heading 8 Char1"/>
    <w:basedOn w:val="DefaultParagraphFont"/>
    <w:uiPriority w:val="29"/>
    <w:rsid w:val="001F74DA"/>
    <w:rPr>
      <w:rFonts w:asciiTheme="majorHAnsi" w:eastAsiaTheme="majorEastAsia" w:hAnsiTheme="majorHAnsi" w:cstheme="majorBidi" w:hint="default"/>
      <w:color w:val="272727" w:themeColor="text1" w:themeTint="D8"/>
      <w:sz w:val="20"/>
      <w:szCs w:val="21"/>
      <w:lang w:val="fr-FR"/>
    </w:rPr>
  </w:style>
  <w:style w:type="character" w:customStyle="1" w:styleId="Heading9Char1">
    <w:name w:val="Heading 9 Char1"/>
    <w:basedOn w:val="DefaultParagraphFont"/>
    <w:uiPriority w:val="29"/>
    <w:semiHidden/>
    <w:rsid w:val="001F74DA"/>
    <w:rPr>
      <w:rFonts w:asciiTheme="majorHAnsi" w:eastAsiaTheme="majorEastAsia" w:hAnsiTheme="majorHAnsi" w:cstheme="majorBidi" w:hint="default"/>
      <w:i/>
      <w:iCs/>
      <w:color w:val="272727" w:themeColor="text1" w:themeTint="D8"/>
      <w:sz w:val="20"/>
      <w:szCs w:val="21"/>
      <w:lang w:val="fr-FR"/>
    </w:rPr>
  </w:style>
  <w:style w:type="character" w:customStyle="1" w:styleId="BalloonTextChar1">
    <w:name w:val="Balloon Text Char1"/>
    <w:basedOn w:val="DefaultParagraphFont"/>
    <w:uiPriority w:val="99"/>
    <w:semiHidden/>
    <w:rsid w:val="001F74DA"/>
    <w:rPr>
      <w:rFonts w:ascii="Lucida Grande" w:hAnsi="Lucida Grande" w:cs="Lucida Grande" w:hint="default"/>
      <w:sz w:val="18"/>
      <w:szCs w:val="18"/>
      <w:lang w:val="fr-FR"/>
    </w:rPr>
  </w:style>
  <w:style w:type="character" w:customStyle="1" w:styleId="BodyTextChar1">
    <w:name w:val="Body Text Char1"/>
    <w:aliases w:val="Car Char2,Document Char2,Doc Char2,Body Text2 Char2,doc Char2,Standard paragraph Char2,(Norm) Char2,Body Text 12 Char2,bt Char2,gl Char2,uvlaka 2 Char2,heading3 Char2,Body Text - Level 2 Char2,1body Char2,BodText Char2,body text Char2"/>
    <w:basedOn w:val="DefaultParagraphFont"/>
    <w:rsid w:val="001F74DA"/>
    <w:rPr>
      <w:sz w:val="20"/>
      <w:lang w:val="fr-FR"/>
    </w:rPr>
  </w:style>
  <w:style w:type="character" w:customStyle="1" w:styleId="BodyText2Char1">
    <w:name w:val="Body Text 2 Char1"/>
    <w:basedOn w:val="DefaultParagraphFont"/>
    <w:uiPriority w:val="99"/>
    <w:semiHidden/>
    <w:rsid w:val="001F74DA"/>
    <w:rPr>
      <w:sz w:val="20"/>
      <w:lang w:val="fr-FR"/>
    </w:rPr>
  </w:style>
  <w:style w:type="character" w:customStyle="1" w:styleId="BodyText3Char1">
    <w:name w:val="Body Text 3 Char1"/>
    <w:basedOn w:val="DefaultParagraphFont"/>
    <w:uiPriority w:val="99"/>
    <w:semiHidden/>
    <w:rsid w:val="001F74DA"/>
    <w:rPr>
      <w:sz w:val="20"/>
      <w:lang w:val="fr-FR"/>
    </w:rPr>
  </w:style>
  <w:style w:type="character" w:customStyle="1" w:styleId="BodyTextFirstIndentChar1">
    <w:name w:val="Body Text First Indent Char1"/>
    <w:basedOn w:val="BodyTextChar1"/>
    <w:uiPriority w:val="99"/>
    <w:semiHidden/>
    <w:rsid w:val="001F74DA"/>
    <w:rPr>
      <w:sz w:val="20"/>
      <w:lang w:val="fr-FR"/>
    </w:rPr>
  </w:style>
  <w:style w:type="character" w:customStyle="1" w:styleId="BodyTextIndentChar1">
    <w:name w:val="Body Text Indent Char1"/>
    <w:basedOn w:val="DefaultParagraphFont"/>
    <w:uiPriority w:val="99"/>
    <w:semiHidden/>
    <w:rsid w:val="001F74DA"/>
    <w:rPr>
      <w:sz w:val="20"/>
      <w:lang w:val="fr-FR"/>
    </w:rPr>
  </w:style>
  <w:style w:type="character" w:customStyle="1" w:styleId="BodyTextFirstIndent2Char1">
    <w:name w:val="Body Text First Indent 2 Char1"/>
    <w:basedOn w:val="BodyTextIndentChar1"/>
    <w:uiPriority w:val="99"/>
    <w:semiHidden/>
    <w:rsid w:val="001F74DA"/>
    <w:rPr>
      <w:sz w:val="20"/>
      <w:lang w:val="fr-FR"/>
    </w:rPr>
  </w:style>
  <w:style w:type="character" w:customStyle="1" w:styleId="BodyTextIndent2Char1">
    <w:name w:val="Body Text Indent 2 Char1"/>
    <w:basedOn w:val="DefaultParagraphFont"/>
    <w:uiPriority w:val="99"/>
    <w:semiHidden/>
    <w:rsid w:val="001F74DA"/>
    <w:rPr>
      <w:sz w:val="20"/>
      <w:lang w:val="fr-FR"/>
    </w:rPr>
  </w:style>
  <w:style w:type="character" w:customStyle="1" w:styleId="BodyTextIndent3Char1">
    <w:name w:val="Body Text Indent 3 Char1"/>
    <w:basedOn w:val="DefaultParagraphFont"/>
    <w:uiPriority w:val="99"/>
    <w:semiHidden/>
    <w:rsid w:val="001F74DA"/>
    <w:rPr>
      <w:sz w:val="20"/>
      <w:lang w:val="fr-FR"/>
    </w:rPr>
  </w:style>
  <w:style w:type="character" w:customStyle="1" w:styleId="CaptionChar1">
    <w:name w:val="Caption Char1"/>
    <w:aliases w:val="Studientitel Char1,Legende Char1,Car16 Char1,Car Car Car Car Car Car Car Char1,Car Car Car Car Car Char1,Car Car Car Car Car Car Car Car Car Car Car Car Char1,Car3 Char1,legendes Char1,légende Char1,Car5 Char1,Caption Char Char Char1"/>
    <w:basedOn w:val="DefaultParagraphFont"/>
    <w:uiPriority w:val="43"/>
    <w:rsid w:val="001F74DA"/>
    <w:rPr>
      <w:i/>
      <w:iCs/>
      <w:color w:val="CF342C" w:themeColor="text2"/>
      <w:sz w:val="18"/>
      <w:szCs w:val="18"/>
      <w:lang w:val="fr-FR"/>
    </w:rPr>
  </w:style>
  <w:style w:type="character" w:customStyle="1" w:styleId="CommentTextChar1">
    <w:name w:val="Comment Text Char1"/>
    <w:basedOn w:val="DefaultParagraphFont"/>
    <w:uiPriority w:val="99"/>
    <w:semiHidden/>
    <w:rsid w:val="001F74DA"/>
    <w:rPr>
      <w:sz w:val="20"/>
      <w:szCs w:val="20"/>
      <w:lang w:val="fr-FR"/>
    </w:rPr>
  </w:style>
  <w:style w:type="character" w:customStyle="1" w:styleId="FooterChar1">
    <w:name w:val="Footer Char1"/>
    <w:basedOn w:val="DefaultParagraphFont"/>
    <w:uiPriority w:val="99"/>
    <w:rsid w:val="001F74DA"/>
    <w:rPr>
      <w:color w:val="000000" w:themeColor="text1"/>
      <w:lang w:val="fr-FR"/>
    </w:rPr>
  </w:style>
  <w:style w:type="character" w:customStyle="1" w:styleId="FootnoteTextChar1">
    <w:name w:val="Footnote Text Char1"/>
    <w:basedOn w:val="DefaultParagraphFont"/>
    <w:uiPriority w:val="99"/>
    <w:rsid w:val="001F74DA"/>
    <w:rPr>
      <w:szCs w:val="20"/>
      <w:lang w:val="fr-FR"/>
    </w:rPr>
  </w:style>
  <w:style w:type="character" w:customStyle="1" w:styleId="HeaderChar1">
    <w:name w:val="Header Char1"/>
    <w:basedOn w:val="DefaultParagraphFont"/>
    <w:uiPriority w:val="99"/>
    <w:rsid w:val="001F74DA"/>
    <w:rPr>
      <w:lang w:val="fr-FR"/>
    </w:rPr>
  </w:style>
  <w:style w:type="character" w:customStyle="1" w:styleId="IntenseQuoteChar1">
    <w:name w:val="Intense Quote Char1"/>
    <w:basedOn w:val="DefaultParagraphFont"/>
    <w:uiPriority w:val="59"/>
    <w:rsid w:val="001F74DA"/>
    <w:rPr>
      <w:i/>
      <w:iCs/>
      <w:color w:val="C73C3A" w:themeColor="accent1"/>
      <w:sz w:val="20"/>
      <w:lang w:val="fr-FR"/>
    </w:rPr>
  </w:style>
  <w:style w:type="character" w:customStyle="1" w:styleId="QuoteChar1">
    <w:name w:val="Quote Char1"/>
    <w:basedOn w:val="DefaultParagraphFont"/>
    <w:uiPriority w:val="59"/>
    <w:rsid w:val="001F74DA"/>
    <w:rPr>
      <w:i/>
      <w:iCs/>
      <w:color w:val="404040" w:themeColor="text1" w:themeTint="BF"/>
      <w:sz w:val="20"/>
      <w:lang w:val="fr-FR"/>
    </w:rPr>
  </w:style>
  <w:style w:type="character" w:customStyle="1" w:styleId="SubtitleChar1">
    <w:name w:val="Subtitle Char1"/>
    <w:basedOn w:val="DefaultParagraphFont"/>
    <w:uiPriority w:val="44"/>
    <w:rsid w:val="001F74DA"/>
    <w:rPr>
      <w:rFonts w:asciiTheme="majorHAnsi" w:eastAsiaTheme="majorEastAsia" w:hAnsiTheme="majorHAnsi" w:cstheme="majorBidi" w:hint="default"/>
      <w:b/>
      <w:bCs w:val="0"/>
      <w:spacing w:val="-10"/>
      <w:kern w:val="28"/>
      <w:sz w:val="30"/>
      <w:szCs w:val="36"/>
      <w:lang w:val="fr-FR"/>
    </w:rPr>
  </w:style>
  <w:style w:type="character" w:customStyle="1" w:styleId="TitleChar1">
    <w:name w:val="Title Char1"/>
    <w:basedOn w:val="DefaultParagraphFont"/>
    <w:uiPriority w:val="44"/>
    <w:rsid w:val="00E14844"/>
    <w:rPr>
      <w:rFonts w:asciiTheme="majorHAnsi" w:eastAsiaTheme="majorEastAsia" w:hAnsiTheme="majorHAnsi" w:cstheme="majorBidi"/>
      <w:b/>
      <w:spacing w:val="-10"/>
      <w:kern w:val="28"/>
      <w:sz w:val="70"/>
      <w:szCs w:val="56"/>
      <w:lang w:val="fr-FR"/>
    </w:rPr>
  </w:style>
  <w:style w:type="character" w:customStyle="1" w:styleId="DateChar1">
    <w:name w:val="Date Char1"/>
    <w:basedOn w:val="DefaultParagraphFont"/>
    <w:uiPriority w:val="99"/>
    <w:rsid w:val="001F74DA"/>
    <w:rPr>
      <w:i/>
      <w:iCs w:val="0"/>
      <w:color w:val="FFFFFF" w:themeColor="background1"/>
      <w:sz w:val="26"/>
      <w:lang w:val="fr-FR"/>
    </w:rPr>
  </w:style>
  <w:style w:type="character" w:customStyle="1" w:styleId="CommentSubjectChar1">
    <w:name w:val="Comment Subject Char1"/>
    <w:basedOn w:val="CommentTextChar1"/>
    <w:uiPriority w:val="99"/>
    <w:semiHidden/>
    <w:rsid w:val="001F74DA"/>
    <w:rPr>
      <w:b/>
      <w:bCs/>
      <w:sz w:val="20"/>
      <w:szCs w:val="20"/>
      <w:lang w:val="fr-FR"/>
    </w:rPr>
  </w:style>
  <w:style w:type="character" w:customStyle="1" w:styleId="NoSpacingChar1">
    <w:name w:val="No Spacing Char1"/>
    <w:basedOn w:val="DefaultParagraphFont"/>
    <w:uiPriority w:val="9"/>
    <w:rsid w:val="001F74DA"/>
    <w:rPr>
      <w:noProof/>
      <w:sz w:val="20"/>
      <w:lang w:val="nl-NL"/>
    </w:rPr>
  </w:style>
  <w:style w:type="character" w:customStyle="1" w:styleId="BodyTextChar5">
    <w:name w:val="Body Text Char5"/>
    <w:aliases w:val="Car Char5,Document Char5,Doc Char5,Body Text2 Char5,doc Char5,Standard paragraph Char5,(Norm) Char5,Body Text 12 Char5,bt Char5,gl Char5,uvlaka 2 Char5,heading3 Char5,Body Text - Level 2 Char5,1body Char5,BodText Char5,body text Char5"/>
    <w:basedOn w:val="DefaultParagraphFont"/>
    <w:rsid w:val="001F74DA"/>
    <w:rPr>
      <w:sz w:val="20"/>
      <w:lang w:val="fr-FR"/>
    </w:rPr>
  </w:style>
  <w:style w:type="character" w:customStyle="1" w:styleId="CaptionChar4">
    <w:name w:val="Caption Char4"/>
    <w:aliases w:val="Studientitel Char4,Legende Char4,Car16 Char4,Car Car Car Car Car Car Car Char4,Car Car Car Car Car Char4,Car Car Car Car Car Car Car Car Car Car Car Car Char4,Car3 Char4,legendes Char4,légende Char4,Car5 Char4,Caption Char Char Char4"/>
    <w:basedOn w:val="DefaultParagraphFont"/>
    <w:uiPriority w:val="43"/>
    <w:rsid w:val="001F74DA"/>
    <w:rPr>
      <w:i/>
      <w:iCs/>
      <w:color w:val="CF342C" w:themeColor="text2"/>
      <w:sz w:val="18"/>
      <w:szCs w:val="18"/>
      <w:lang w:val="fr-FR"/>
    </w:rPr>
  </w:style>
  <w:style w:type="character" w:customStyle="1" w:styleId="FootnoteTextChar4">
    <w:name w:val="Footnote Text Char4"/>
    <w:aliases w:val="Schriftart: 9 pt Char3,Schriftart: 10 pt Char3,Schriftart: 8 pt Char3,Podrozdział Char3,o Char3,Schriftart: 8 p Char3,Footnote text Char3,stile 1 Char3,Footnote1 Char3,Footnote2 Char3,Footnote3 Char3,Footnote4 Char3,Footnote5 Char3"/>
    <w:basedOn w:val="DefaultParagraphFont"/>
    <w:uiPriority w:val="99"/>
    <w:rsid w:val="001F74DA"/>
    <w:rPr>
      <w:szCs w:val="20"/>
      <w:lang w:val="fr-FR"/>
    </w:rPr>
  </w:style>
  <w:style w:type="character" w:customStyle="1" w:styleId="st">
    <w:name w:val="st"/>
    <w:basedOn w:val="DefaultParagraphFont"/>
    <w:rsid w:val="001F74DA"/>
  </w:style>
  <w:style w:type="table" w:styleId="TableGridLight">
    <w:name w:val="Grid Table Light"/>
    <w:basedOn w:val="TableNormal"/>
    <w:uiPriority w:val="40"/>
    <w:rsid w:val="001F74DA"/>
    <w:pPr>
      <w:spacing w:after="0" w:line="240" w:lineRule="auto"/>
    </w:pPr>
    <w:rPr>
      <w:sz w:val="22"/>
      <w:szCs w:val="22"/>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lledetableauclaire1">
    <w:name w:val="Grille de tableau claire1"/>
    <w:basedOn w:val="TableNormal"/>
    <w:uiPriority w:val="40"/>
    <w:rsid w:val="001F74DA"/>
    <w:pPr>
      <w:spacing w:after="0" w:line="240" w:lineRule="auto"/>
    </w:pPr>
    <w:rPr>
      <w:sz w:val="22"/>
      <w:szCs w:val="22"/>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2">
    <w:name w:val="Mention2"/>
    <w:basedOn w:val="DefaultParagraphFont"/>
    <w:uiPriority w:val="99"/>
    <w:unhideWhenUsed/>
    <w:rsid w:val="001F74DA"/>
    <w:rPr>
      <w:color w:val="2B579A"/>
      <w:shd w:val="clear" w:color="auto" w:fill="E1DFDD"/>
    </w:rPr>
  </w:style>
  <w:style w:type="numbering" w:customStyle="1" w:styleId="WW8Num7">
    <w:name w:val="WW8Num7"/>
    <w:rsid w:val="001F74DA"/>
    <w:pPr>
      <w:numPr>
        <w:numId w:val="4"/>
      </w:numPr>
    </w:pPr>
  </w:style>
  <w:style w:type="numbering" w:customStyle="1" w:styleId="Style1">
    <w:name w:val="Style1"/>
    <w:uiPriority w:val="99"/>
    <w:rsid w:val="001F74DA"/>
    <w:pPr>
      <w:numPr>
        <w:numId w:val="5"/>
      </w:numPr>
    </w:pPr>
  </w:style>
  <w:style w:type="numbering" w:customStyle="1" w:styleId="WW8Num8">
    <w:name w:val="WW8Num8"/>
    <w:rsid w:val="001F74DA"/>
    <w:pPr>
      <w:numPr>
        <w:numId w:val="3"/>
      </w:numPr>
    </w:pPr>
  </w:style>
  <w:style w:type="paragraph" w:customStyle="1" w:styleId="Niveau2">
    <w:name w:val="Niveau 2"/>
    <w:basedOn w:val="ListParagraph"/>
    <w:link w:val="Niveau2Car"/>
    <w:rsid w:val="001F74DA"/>
    <w:pPr>
      <w:tabs>
        <w:tab w:val="num" w:pos="227"/>
        <w:tab w:val="num" w:pos="360"/>
      </w:tabs>
      <w:spacing w:after="60" w:line="240" w:lineRule="auto"/>
      <w:ind w:left="227" w:hanging="227"/>
      <w:jc w:val="both"/>
    </w:pPr>
    <w:rPr>
      <w:sz w:val="22"/>
    </w:rPr>
  </w:style>
  <w:style w:type="character" w:customStyle="1" w:styleId="Niveau2Car">
    <w:name w:val="Niveau 2 Car"/>
    <w:basedOn w:val="DefaultParagraphFont"/>
    <w:link w:val="Niveau2"/>
    <w:rsid w:val="001F74DA"/>
    <w:rPr>
      <w:sz w:val="22"/>
      <w:szCs w:val="22"/>
      <w:lang w:val="fr-FR"/>
    </w:rPr>
  </w:style>
  <w:style w:type="character" w:customStyle="1" w:styleId="superscript">
    <w:name w:val="superscript"/>
    <w:basedOn w:val="DefaultParagraphFont"/>
    <w:rsid w:val="001F74DA"/>
  </w:style>
  <w:style w:type="table" w:styleId="PlainTable1">
    <w:name w:val="Plain Table 1"/>
    <w:basedOn w:val="TableNormal"/>
    <w:uiPriority w:val="41"/>
    <w:rsid w:val="00831C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echnopolisTable21">
    <w:name w:val="Technopolis Table21"/>
    <w:basedOn w:val="TableNormal"/>
    <w:uiPriority w:val="99"/>
    <w:rsid w:val="000E22E4"/>
    <w:pPr>
      <w:spacing w:before="60" w:after="0" w:line="240" w:lineRule="auto"/>
    </w:pPr>
    <w:rPr>
      <w:rFonts w:asciiTheme="majorHAnsi" w:hAnsiTheme="majorHAnsi"/>
      <w:szCs w:val="22"/>
    </w:rPr>
    <w:tblPr>
      <w:tblStyleRowBandSize w:val="1"/>
      <w:tblBorders>
        <w:top w:val="single" w:sz="4" w:space="0" w:color="9D9D9D"/>
        <w:left w:val="single" w:sz="4" w:space="0" w:color="9D9D9D"/>
        <w:bottom w:val="single" w:sz="4" w:space="0" w:color="9D9D9D"/>
        <w:right w:val="single" w:sz="4" w:space="0" w:color="9D9D9D"/>
      </w:tblBorders>
      <w:tblCellMar>
        <w:top w:w="57" w:type="dxa"/>
        <w:bottom w:w="57"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paragraph" w:styleId="List2">
    <w:name w:val="List 2"/>
    <w:basedOn w:val="Normal"/>
    <w:uiPriority w:val="99"/>
    <w:unhideWhenUsed/>
    <w:rsid w:val="00642B52"/>
    <w:pPr>
      <w:ind w:left="566" w:hanging="283"/>
      <w:contextualSpacing/>
    </w:pPr>
  </w:style>
  <w:style w:type="paragraph" w:styleId="List3">
    <w:name w:val="List 3"/>
    <w:basedOn w:val="Normal"/>
    <w:uiPriority w:val="99"/>
    <w:unhideWhenUsed/>
    <w:rsid w:val="00642B52"/>
    <w:pPr>
      <w:ind w:left="849" w:hanging="283"/>
      <w:contextualSpacing/>
    </w:pPr>
  </w:style>
  <w:style w:type="paragraph" w:styleId="Salutation">
    <w:name w:val="Salutation"/>
    <w:basedOn w:val="Normal"/>
    <w:next w:val="Normal"/>
    <w:link w:val="SalutationChar"/>
    <w:uiPriority w:val="99"/>
    <w:unhideWhenUsed/>
    <w:rsid w:val="00642B52"/>
  </w:style>
  <w:style w:type="character" w:customStyle="1" w:styleId="SalutationChar">
    <w:name w:val="Salutation Char"/>
    <w:basedOn w:val="DefaultParagraphFont"/>
    <w:link w:val="Salutation"/>
    <w:uiPriority w:val="99"/>
    <w:rsid w:val="00642B52"/>
    <w:rPr>
      <w:lang w:val="fr-FR"/>
    </w:rPr>
  </w:style>
  <w:style w:type="paragraph" w:styleId="ListContinue">
    <w:name w:val="List Continue"/>
    <w:basedOn w:val="Normal"/>
    <w:uiPriority w:val="99"/>
    <w:unhideWhenUsed/>
    <w:rsid w:val="00642B52"/>
    <w:pPr>
      <w:spacing w:after="120"/>
      <w:ind w:left="283"/>
      <w:contextualSpacing/>
    </w:pPr>
  </w:style>
  <w:style w:type="paragraph" w:styleId="ListContinue2">
    <w:name w:val="List Continue 2"/>
    <w:basedOn w:val="Normal"/>
    <w:uiPriority w:val="99"/>
    <w:unhideWhenUsed/>
    <w:rsid w:val="00642B52"/>
    <w:pPr>
      <w:spacing w:after="120"/>
      <w:ind w:left="566"/>
      <w:contextualSpacing/>
    </w:pPr>
  </w:style>
  <w:style w:type="paragraph" w:customStyle="1" w:styleId="xmsonormal">
    <w:name w:val="x_msonormal"/>
    <w:basedOn w:val="Normal"/>
    <w:rsid w:val="000B7354"/>
    <w:pPr>
      <w:spacing w:after="0" w:line="240" w:lineRule="auto"/>
    </w:pPr>
    <w:rPr>
      <w:rFonts w:ascii="Calibri" w:hAnsi="Calibri" w:cs="Calibri"/>
      <w:sz w:val="22"/>
      <w:szCs w:val="22"/>
      <w:lang w:eastAsia="fr-FR"/>
    </w:rPr>
  </w:style>
  <w:style w:type="paragraph" w:customStyle="1" w:styleId="xmsobodytext">
    <w:name w:val="x_msobodytext"/>
    <w:basedOn w:val="Normal"/>
    <w:rsid w:val="000B7354"/>
    <w:pPr>
      <w:spacing w:after="120" w:line="252" w:lineRule="auto"/>
      <w:jc w:val="both"/>
    </w:pPr>
    <w:rPr>
      <w:rFonts w:ascii="Calibri" w:hAnsi="Calibri" w:cs="Calibri"/>
      <w:sz w:val="20"/>
      <w:szCs w:val="20"/>
      <w:lang w:eastAsia="fr-FR"/>
    </w:rPr>
  </w:style>
  <w:style w:type="paragraph" w:customStyle="1" w:styleId="xmsolistparagraph">
    <w:name w:val="x_msolistparagraph"/>
    <w:basedOn w:val="Normal"/>
    <w:rsid w:val="000B7354"/>
    <w:pPr>
      <w:spacing w:line="252" w:lineRule="auto"/>
      <w:ind w:left="720"/>
    </w:pPr>
    <w:rPr>
      <w:rFonts w:ascii="Calibri" w:hAnsi="Calibri" w:cs="Calibri"/>
      <w:lang w:eastAsia="fr-FR"/>
    </w:rPr>
  </w:style>
  <w:style w:type="paragraph" w:customStyle="1" w:styleId="rtejustify">
    <w:name w:val="rtejustify"/>
    <w:basedOn w:val="Normal"/>
    <w:rsid w:val="00FB2DC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YNormal">
    <w:name w:val="EY Normal"/>
    <w:link w:val="EYNormalChar"/>
    <w:rsid w:val="00F10124"/>
    <w:pPr>
      <w:spacing w:after="120" w:line="240" w:lineRule="auto"/>
      <w:jc w:val="both"/>
    </w:pPr>
    <w:rPr>
      <w:rFonts w:eastAsia="Times New Roman" w:cs="Times New Roman"/>
      <w:kern w:val="12"/>
      <w:sz w:val="20"/>
      <w:szCs w:val="24"/>
    </w:rPr>
  </w:style>
  <w:style w:type="paragraph" w:customStyle="1" w:styleId="EYBulletedList1">
    <w:name w:val="EY Bulleted List 1"/>
    <w:autoRedefine/>
    <w:uiPriority w:val="99"/>
    <w:rsid w:val="007B4692"/>
    <w:pPr>
      <w:numPr>
        <w:numId w:val="20"/>
      </w:numPr>
      <w:spacing w:after="120" w:line="240" w:lineRule="auto"/>
      <w:ind w:left="851" w:hanging="851"/>
      <w:jc w:val="both"/>
    </w:pPr>
    <w:rPr>
      <w:rFonts w:eastAsia="Times New Roman" w:cs="Times New Roman"/>
      <w:bCs/>
      <w:kern w:val="12"/>
      <w:sz w:val="20"/>
      <w:szCs w:val="24"/>
      <w:lang w:val="cs-CZ" w:eastAsia="fr-FR"/>
    </w:rPr>
  </w:style>
  <w:style w:type="paragraph" w:customStyle="1" w:styleId="EYHeading1">
    <w:name w:val="EY Heading 1"/>
    <w:basedOn w:val="EYNormal"/>
    <w:next w:val="EYNormal"/>
    <w:rsid w:val="007B4692"/>
    <w:pPr>
      <w:pageBreakBefore/>
      <w:numPr>
        <w:numId w:val="21"/>
      </w:numPr>
      <w:tabs>
        <w:tab w:val="num" w:pos="926"/>
      </w:tabs>
      <w:spacing w:after="360"/>
      <w:outlineLvl w:val="0"/>
    </w:pPr>
    <w:rPr>
      <w:sz w:val="32"/>
    </w:rPr>
  </w:style>
  <w:style w:type="paragraph" w:customStyle="1" w:styleId="EYHeading2">
    <w:name w:val="EY Heading 2"/>
    <w:basedOn w:val="EYHeading1"/>
    <w:next w:val="EYNormal"/>
    <w:autoRedefine/>
    <w:uiPriority w:val="1"/>
    <w:rsid w:val="007B4692"/>
    <w:pPr>
      <w:keepNext/>
      <w:pageBreakBefore w:val="0"/>
      <w:numPr>
        <w:ilvl w:val="1"/>
      </w:numPr>
      <w:pBdr>
        <w:bottom w:val="double" w:sz="4" w:space="1" w:color="CF342C" w:themeColor="text2"/>
      </w:pBdr>
      <w:tabs>
        <w:tab w:val="num" w:pos="926"/>
      </w:tabs>
      <w:spacing w:before="120" w:after="120"/>
      <w:outlineLvl w:val="1"/>
    </w:pPr>
    <w:rPr>
      <w:noProof/>
      <w:sz w:val="28"/>
      <w:lang w:val="cs-CZ"/>
    </w:rPr>
  </w:style>
  <w:style w:type="paragraph" w:customStyle="1" w:styleId="EYHeading3">
    <w:name w:val="EY Heading 3"/>
    <w:basedOn w:val="EYHeading1"/>
    <w:next w:val="EYNormal"/>
    <w:uiPriority w:val="2"/>
    <w:rsid w:val="007B4692"/>
    <w:pPr>
      <w:keepNext/>
      <w:pageBreakBefore w:val="0"/>
      <w:numPr>
        <w:ilvl w:val="2"/>
      </w:numPr>
      <w:pBdr>
        <w:bottom w:val="single" w:sz="8" w:space="1" w:color="666666" w:themeColor="text1" w:themeTint="99"/>
      </w:pBdr>
      <w:tabs>
        <w:tab w:val="num" w:pos="926"/>
      </w:tabs>
      <w:spacing w:before="120" w:after="120"/>
      <w:outlineLvl w:val="2"/>
    </w:pPr>
    <w:rPr>
      <w:sz w:val="26"/>
    </w:rPr>
  </w:style>
  <w:style w:type="paragraph" w:customStyle="1" w:styleId="EYHeading4">
    <w:name w:val="EY Heading 4"/>
    <w:basedOn w:val="EYHeading3"/>
    <w:next w:val="EYNormal"/>
    <w:autoRedefine/>
    <w:uiPriority w:val="3"/>
    <w:rsid w:val="007B4692"/>
    <w:pPr>
      <w:numPr>
        <w:ilvl w:val="3"/>
      </w:numPr>
      <w:pBdr>
        <w:bottom w:val="none" w:sz="0" w:space="0" w:color="auto"/>
      </w:pBdr>
      <w:tabs>
        <w:tab w:val="clear" w:pos="926"/>
      </w:tabs>
      <w:outlineLvl w:val="3"/>
    </w:pPr>
    <w:rPr>
      <w:b/>
      <w:sz w:val="22"/>
      <w:lang w:val="cs-CZ"/>
    </w:rPr>
  </w:style>
  <w:style w:type="character" w:customStyle="1" w:styleId="EYNormalChar">
    <w:name w:val="EY Normal Char"/>
    <w:basedOn w:val="DefaultParagraphFont"/>
    <w:link w:val="EYNormal"/>
    <w:rsid w:val="00F10124"/>
    <w:rPr>
      <w:rFonts w:eastAsia="Times New Roman" w:cs="Times New Roman"/>
      <w:kern w:val="12"/>
      <w:sz w:val="20"/>
      <w:szCs w:val="24"/>
    </w:rPr>
  </w:style>
  <w:style w:type="paragraph" w:customStyle="1" w:styleId="EYNormalBold">
    <w:name w:val="EY Normal + Bold"/>
    <w:basedOn w:val="EYNormal"/>
    <w:uiPriority w:val="5"/>
    <w:rsid w:val="00F10124"/>
    <w:rPr>
      <w:b/>
      <w:bCs/>
    </w:rPr>
  </w:style>
  <w:style w:type="character" w:customStyle="1" w:styleId="TitleChar">
    <w:name w:val="Title Char"/>
    <w:basedOn w:val="DefaultParagraphFon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2">
    <w:name w:val="Title Char2"/>
    <w:basedOn w:val="DefaultParagraphFon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3">
    <w:name w:val="Title Char3"/>
    <w:basedOn w:val="DefaultParagraphFon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4">
    <w:name w:val="Title Char4"/>
    <w:basedOn w:val="DefaultParagraphFon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5">
    <w:name w:val="Title Char5"/>
    <w:basedOn w:val="DefaultParagraphFon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6">
    <w:name w:val="Title Char6"/>
    <w:basedOn w:val="DefaultParagraphFon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7">
    <w:name w:val="Title Char7"/>
    <w:basedOn w:val="DefaultParagraphFont"/>
    <w:uiPriority w:val="44"/>
    <w:rsid w:val="00E14844"/>
    <w:rPr>
      <w:rFonts w:asciiTheme="majorHAnsi" w:eastAsiaTheme="majorEastAsia" w:hAnsiTheme="majorHAnsi" w:cstheme="majorBidi"/>
      <w:b/>
      <w:color w:val="FFFFFF" w:themeColor="background1"/>
      <w:spacing w:val="-10"/>
      <w:kern w:val="28"/>
      <w:sz w:val="70"/>
      <w:szCs w:val="56"/>
      <w:lang w:val="fr-FR"/>
    </w:rPr>
  </w:style>
  <w:style w:type="paragraph" w:customStyle="1" w:styleId="TitreAppendixHeading1">
    <w:name w:val="Titre Appendix Heading 1"/>
    <w:basedOn w:val="Heading1"/>
    <w:next w:val="BodyText"/>
    <w:link w:val="TitreAppendixHeading1Car"/>
    <w:uiPriority w:val="39"/>
    <w:qFormat/>
    <w:rsid w:val="00E14844"/>
    <w:pPr>
      <w:tabs>
        <w:tab w:val="num" w:pos="926"/>
        <w:tab w:val="num" w:pos="1985"/>
      </w:tabs>
      <w:ind w:left="1985" w:hanging="1985"/>
    </w:pPr>
  </w:style>
  <w:style w:type="character" w:customStyle="1" w:styleId="TitreAppendixHeading1Car">
    <w:name w:val="Titre Appendix Heading 1 Car"/>
    <w:basedOn w:val="DefaultParagraphFont"/>
    <w:link w:val="TitreAppendixHeading1"/>
    <w:uiPriority w:val="39"/>
    <w:rsid w:val="00E14844"/>
    <w:rPr>
      <w:rFonts w:asciiTheme="majorHAnsi" w:eastAsiaTheme="majorEastAsia" w:hAnsiTheme="majorHAnsi" w:cstheme="majorBidi"/>
      <w:sz w:val="28"/>
      <w:szCs w:val="32"/>
      <w:lang w:val="fr-FR"/>
    </w:rPr>
  </w:style>
  <w:style w:type="paragraph" w:customStyle="1" w:styleId="Titretableaureferencescls">
    <w:name w:val="Titre tableau references clés"/>
    <w:basedOn w:val="Normal"/>
    <w:link w:val="TitretableaureferencesclsCar"/>
    <w:rsid w:val="00E14844"/>
    <w:pPr>
      <w:spacing w:before="40" w:after="40" w:line="240" w:lineRule="auto"/>
      <w:jc w:val="center"/>
    </w:pPr>
    <w:rPr>
      <w:rFonts w:asciiTheme="majorHAnsi" w:eastAsia="Times New Roman" w:hAnsiTheme="majorHAnsi" w:cs="Times New Roman"/>
      <w:b/>
      <w:noProof/>
      <w:color w:val="000000"/>
      <w:szCs w:val="24"/>
      <w:lang w:eastAsia="fr-FR"/>
    </w:rPr>
  </w:style>
  <w:style w:type="character" w:customStyle="1" w:styleId="TitretableaureferencesclsCar">
    <w:name w:val="Titre tableau references clés Car"/>
    <w:basedOn w:val="DefaultParagraphFont"/>
    <w:link w:val="Titretableaureferencescls"/>
    <w:rsid w:val="00E14844"/>
    <w:rPr>
      <w:rFonts w:asciiTheme="majorHAnsi" w:eastAsia="Times New Roman" w:hAnsiTheme="majorHAnsi" w:cs="Times New Roman"/>
      <w:b/>
      <w:noProof/>
      <w:color w:val="000000"/>
      <w:szCs w:val="24"/>
      <w:lang w:val="fr-FR" w:eastAsia="fr-FR"/>
    </w:rPr>
  </w:style>
  <w:style w:type="character" w:customStyle="1" w:styleId="scxw15062621">
    <w:name w:val="scxw15062621"/>
    <w:basedOn w:val="DefaultParagraphFont"/>
    <w:rsid w:val="002B59BB"/>
  </w:style>
  <w:style w:type="character" w:customStyle="1" w:styleId="scxw51030493">
    <w:name w:val="scxw51030493"/>
    <w:basedOn w:val="DefaultParagraphFont"/>
    <w:rsid w:val="00E7362D"/>
  </w:style>
  <w:style w:type="character" w:customStyle="1" w:styleId="bcx4">
    <w:name w:val="bcx4"/>
    <w:basedOn w:val="DefaultParagraphFont"/>
    <w:rsid w:val="00497AA0"/>
  </w:style>
  <w:style w:type="table" w:customStyle="1" w:styleId="TechnopolisTable4">
    <w:name w:val="Technopolis Table4"/>
    <w:basedOn w:val="TableNormal"/>
    <w:uiPriority w:val="99"/>
    <w:rsid w:val="00915D7C"/>
    <w:pPr>
      <w:spacing w:before="60" w:after="0" w:line="240" w:lineRule="auto"/>
    </w:pPr>
    <w:rPr>
      <w:rFonts w:asciiTheme="majorHAnsi" w:hAnsiTheme="majorHAnsi"/>
    </w:rPr>
    <w:tblPr>
      <w:tblStyleRowBandSize w:val="1"/>
      <w:tblBorders>
        <w:top w:val="single" w:sz="4" w:space="0" w:color="A69EC1" w:themeColor="accent4"/>
        <w:left w:val="single" w:sz="4" w:space="0" w:color="A69EC1" w:themeColor="accent4"/>
        <w:bottom w:val="single" w:sz="4" w:space="0" w:color="A69EC1" w:themeColor="accent4"/>
        <w:right w:val="single" w:sz="4" w:space="0" w:color="A69EC1" w:themeColor="accent4"/>
      </w:tblBorders>
      <w:tblCellMar>
        <w:top w:w="57" w:type="dxa"/>
        <w:bottom w:w="57" w:type="dxa"/>
      </w:tblCellMar>
    </w:tblPr>
    <w:tblStylePr w:type="firstRow">
      <w:pPr>
        <w:wordWrap/>
        <w:jc w:val="left"/>
      </w:pPr>
      <w:rPr>
        <w:b/>
        <w:i w:val="0"/>
      </w:rPr>
      <w:tblPr/>
      <w:tcPr>
        <w:tcBorders>
          <w:top w:val="single" w:sz="4" w:space="0" w:color="A69EC1" w:themeColor="accent4"/>
          <w:left w:val="single" w:sz="4" w:space="0" w:color="A69EC1" w:themeColor="accent4"/>
          <w:bottom w:val="single" w:sz="4" w:space="0" w:color="C73C3A" w:themeColor="accent1"/>
          <w:right w:val="single" w:sz="4" w:space="0" w:color="A69EC1" w:themeColor="accent4"/>
          <w:insideH w:val="single" w:sz="4" w:space="0" w:color="A69EC1" w:themeColor="accent4"/>
          <w:insideV w:val="single" w:sz="4" w:space="0" w:color="A69EC1" w:themeColor="accent4"/>
        </w:tcBorders>
      </w:tcPr>
    </w:tblStylePr>
    <w:tblStylePr w:type="band1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tblStylePr w:type="band2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style>
  <w:style w:type="character" w:customStyle="1" w:styleId="findhit">
    <w:name w:val="findhit"/>
    <w:basedOn w:val="DefaultParagraphFont"/>
    <w:rsid w:val="00AF7BCD"/>
  </w:style>
  <w:style w:type="character" w:styleId="Mention">
    <w:name w:val="Mention"/>
    <w:basedOn w:val="DefaultParagraphFont"/>
    <w:uiPriority w:val="99"/>
    <w:unhideWhenUsed/>
    <w:rsid w:val="0001633A"/>
    <w:rPr>
      <w:color w:val="2B579A"/>
      <w:shd w:val="clear" w:color="auto" w:fill="E1DFDD"/>
    </w:rPr>
  </w:style>
  <w:style w:type="character" w:styleId="UnresolvedMention">
    <w:name w:val="Unresolved Mention"/>
    <w:basedOn w:val="DefaultParagraphFont"/>
    <w:uiPriority w:val="99"/>
    <w:unhideWhenUsed/>
    <w:rsid w:val="00546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951">
      <w:bodyDiv w:val="1"/>
      <w:marLeft w:val="0"/>
      <w:marRight w:val="0"/>
      <w:marTop w:val="0"/>
      <w:marBottom w:val="0"/>
      <w:divBdr>
        <w:top w:val="none" w:sz="0" w:space="0" w:color="auto"/>
        <w:left w:val="none" w:sz="0" w:space="0" w:color="auto"/>
        <w:bottom w:val="none" w:sz="0" w:space="0" w:color="auto"/>
        <w:right w:val="none" w:sz="0" w:space="0" w:color="auto"/>
      </w:divBdr>
    </w:div>
    <w:div w:id="20009140">
      <w:bodyDiv w:val="1"/>
      <w:marLeft w:val="0"/>
      <w:marRight w:val="0"/>
      <w:marTop w:val="0"/>
      <w:marBottom w:val="0"/>
      <w:divBdr>
        <w:top w:val="none" w:sz="0" w:space="0" w:color="auto"/>
        <w:left w:val="none" w:sz="0" w:space="0" w:color="auto"/>
        <w:bottom w:val="none" w:sz="0" w:space="0" w:color="auto"/>
        <w:right w:val="none" w:sz="0" w:space="0" w:color="auto"/>
      </w:divBdr>
    </w:div>
    <w:div w:id="23754159">
      <w:bodyDiv w:val="1"/>
      <w:marLeft w:val="0"/>
      <w:marRight w:val="0"/>
      <w:marTop w:val="0"/>
      <w:marBottom w:val="0"/>
      <w:divBdr>
        <w:top w:val="none" w:sz="0" w:space="0" w:color="auto"/>
        <w:left w:val="none" w:sz="0" w:space="0" w:color="auto"/>
        <w:bottom w:val="none" w:sz="0" w:space="0" w:color="auto"/>
        <w:right w:val="none" w:sz="0" w:space="0" w:color="auto"/>
      </w:divBdr>
    </w:div>
    <w:div w:id="28772101">
      <w:bodyDiv w:val="1"/>
      <w:marLeft w:val="0"/>
      <w:marRight w:val="0"/>
      <w:marTop w:val="0"/>
      <w:marBottom w:val="0"/>
      <w:divBdr>
        <w:top w:val="none" w:sz="0" w:space="0" w:color="auto"/>
        <w:left w:val="none" w:sz="0" w:space="0" w:color="auto"/>
        <w:bottom w:val="none" w:sz="0" w:space="0" w:color="auto"/>
        <w:right w:val="none" w:sz="0" w:space="0" w:color="auto"/>
      </w:divBdr>
    </w:div>
    <w:div w:id="42868356">
      <w:bodyDiv w:val="1"/>
      <w:marLeft w:val="0"/>
      <w:marRight w:val="0"/>
      <w:marTop w:val="0"/>
      <w:marBottom w:val="0"/>
      <w:divBdr>
        <w:top w:val="none" w:sz="0" w:space="0" w:color="auto"/>
        <w:left w:val="none" w:sz="0" w:space="0" w:color="auto"/>
        <w:bottom w:val="none" w:sz="0" w:space="0" w:color="auto"/>
        <w:right w:val="none" w:sz="0" w:space="0" w:color="auto"/>
      </w:divBdr>
    </w:div>
    <w:div w:id="43216238">
      <w:bodyDiv w:val="1"/>
      <w:marLeft w:val="0"/>
      <w:marRight w:val="0"/>
      <w:marTop w:val="0"/>
      <w:marBottom w:val="0"/>
      <w:divBdr>
        <w:top w:val="none" w:sz="0" w:space="0" w:color="auto"/>
        <w:left w:val="none" w:sz="0" w:space="0" w:color="auto"/>
        <w:bottom w:val="none" w:sz="0" w:space="0" w:color="auto"/>
        <w:right w:val="none" w:sz="0" w:space="0" w:color="auto"/>
      </w:divBdr>
    </w:div>
    <w:div w:id="45688948">
      <w:bodyDiv w:val="1"/>
      <w:marLeft w:val="0"/>
      <w:marRight w:val="0"/>
      <w:marTop w:val="0"/>
      <w:marBottom w:val="0"/>
      <w:divBdr>
        <w:top w:val="none" w:sz="0" w:space="0" w:color="auto"/>
        <w:left w:val="none" w:sz="0" w:space="0" w:color="auto"/>
        <w:bottom w:val="none" w:sz="0" w:space="0" w:color="auto"/>
        <w:right w:val="none" w:sz="0" w:space="0" w:color="auto"/>
      </w:divBdr>
    </w:div>
    <w:div w:id="52386769">
      <w:bodyDiv w:val="1"/>
      <w:marLeft w:val="0"/>
      <w:marRight w:val="0"/>
      <w:marTop w:val="0"/>
      <w:marBottom w:val="0"/>
      <w:divBdr>
        <w:top w:val="none" w:sz="0" w:space="0" w:color="auto"/>
        <w:left w:val="none" w:sz="0" w:space="0" w:color="auto"/>
        <w:bottom w:val="none" w:sz="0" w:space="0" w:color="auto"/>
        <w:right w:val="none" w:sz="0" w:space="0" w:color="auto"/>
      </w:divBdr>
      <w:divsChild>
        <w:div w:id="821234432">
          <w:marLeft w:val="0"/>
          <w:marRight w:val="0"/>
          <w:marTop w:val="0"/>
          <w:marBottom w:val="0"/>
          <w:divBdr>
            <w:top w:val="none" w:sz="0" w:space="0" w:color="auto"/>
            <w:left w:val="none" w:sz="0" w:space="0" w:color="auto"/>
            <w:bottom w:val="none" w:sz="0" w:space="0" w:color="auto"/>
            <w:right w:val="none" w:sz="0" w:space="0" w:color="auto"/>
          </w:divBdr>
          <w:divsChild>
            <w:div w:id="1243873518">
              <w:marLeft w:val="0"/>
              <w:marRight w:val="0"/>
              <w:marTop w:val="0"/>
              <w:marBottom w:val="0"/>
              <w:divBdr>
                <w:top w:val="none" w:sz="0" w:space="0" w:color="auto"/>
                <w:left w:val="none" w:sz="0" w:space="0" w:color="auto"/>
                <w:bottom w:val="none" w:sz="0" w:space="0" w:color="auto"/>
                <w:right w:val="none" w:sz="0" w:space="0" w:color="auto"/>
              </w:divBdr>
              <w:divsChild>
                <w:div w:id="1140729697">
                  <w:marLeft w:val="0"/>
                  <w:marRight w:val="0"/>
                  <w:marTop w:val="0"/>
                  <w:marBottom w:val="0"/>
                  <w:divBdr>
                    <w:top w:val="none" w:sz="0" w:space="0" w:color="auto"/>
                    <w:left w:val="none" w:sz="0" w:space="0" w:color="auto"/>
                    <w:bottom w:val="none" w:sz="0" w:space="0" w:color="auto"/>
                    <w:right w:val="none" w:sz="0" w:space="0" w:color="auto"/>
                  </w:divBdr>
                  <w:divsChild>
                    <w:div w:id="2581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27178">
      <w:bodyDiv w:val="1"/>
      <w:marLeft w:val="0"/>
      <w:marRight w:val="0"/>
      <w:marTop w:val="0"/>
      <w:marBottom w:val="0"/>
      <w:divBdr>
        <w:top w:val="none" w:sz="0" w:space="0" w:color="auto"/>
        <w:left w:val="none" w:sz="0" w:space="0" w:color="auto"/>
        <w:bottom w:val="none" w:sz="0" w:space="0" w:color="auto"/>
        <w:right w:val="none" w:sz="0" w:space="0" w:color="auto"/>
      </w:divBdr>
      <w:divsChild>
        <w:div w:id="334259894">
          <w:marLeft w:val="0"/>
          <w:marRight w:val="0"/>
          <w:marTop w:val="0"/>
          <w:marBottom w:val="0"/>
          <w:divBdr>
            <w:top w:val="none" w:sz="0" w:space="0" w:color="auto"/>
            <w:left w:val="none" w:sz="0" w:space="0" w:color="auto"/>
            <w:bottom w:val="none" w:sz="0" w:space="0" w:color="auto"/>
            <w:right w:val="none" w:sz="0" w:space="0" w:color="auto"/>
          </w:divBdr>
        </w:div>
        <w:div w:id="1492939985">
          <w:marLeft w:val="0"/>
          <w:marRight w:val="0"/>
          <w:marTop w:val="0"/>
          <w:marBottom w:val="0"/>
          <w:divBdr>
            <w:top w:val="none" w:sz="0" w:space="0" w:color="auto"/>
            <w:left w:val="none" w:sz="0" w:space="0" w:color="auto"/>
            <w:bottom w:val="none" w:sz="0" w:space="0" w:color="auto"/>
            <w:right w:val="none" w:sz="0" w:space="0" w:color="auto"/>
          </w:divBdr>
        </w:div>
      </w:divsChild>
    </w:div>
    <w:div w:id="62485867">
      <w:bodyDiv w:val="1"/>
      <w:marLeft w:val="0"/>
      <w:marRight w:val="0"/>
      <w:marTop w:val="0"/>
      <w:marBottom w:val="0"/>
      <w:divBdr>
        <w:top w:val="none" w:sz="0" w:space="0" w:color="auto"/>
        <w:left w:val="none" w:sz="0" w:space="0" w:color="auto"/>
        <w:bottom w:val="none" w:sz="0" w:space="0" w:color="auto"/>
        <w:right w:val="none" w:sz="0" w:space="0" w:color="auto"/>
      </w:divBdr>
    </w:div>
    <w:div w:id="65684752">
      <w:bodyDiv w:val="1"/>
      <w:marLeft w:val="0"/>
      <w:marRight w:val="0"/>
      <w:marTop w:val="0"/>
      <w:marBottom w:val="0"/>
      <w:divBdr>
        <w:top w:val="none" w:sz="0" w:space="0" w:color="auto"/>
        <w:left w:val="none" w:sz="0" w:space="0" w:color="auto"/>
        <w:bottom w:val="none" w:sz="0" w:space="0" w:color="auto"/>
        <w:right w:val="none" w:sz="0" w:space="0" w:color="auto"/>
      </w:divBdr>
    </w:div>
    <w:div w:id="73597665">
      <w:bodyDiv w:val="1"/>
      <w:marLeft w:val="0"/>
      <w:marRight w:val="0"/>
      <w:marTop w:val="0"/>
      <w:marBottom w:val="0"/>
      <w:divBdr>
        <w:top w:val="none" w:sz="0" w:space="0" w:color="auto"/>
        <w:left w:val="none" w:sz="0" w:space="0" w:color="auto"/>
        <w:bottom w:val="none" w:sz="0" w:space="0" w:color="auto"/>
        <w:right w:val="none" w:sz="0" w:space="0" w:color="auto"/>
      </w:divBdr>
      <w:divsChild>
        <w:div w:id="84615938">
          <w:marLeft w:val="0"/>
          <w:marRight w:val="0"/>
          <w:marTop w:val="0"/>
          <w:marBottom w:val="0"/>
          <w:divBdr>
            <w:top w:val="none" w:sz="0" w:space="0" w:color="auto"/>
            <w:left w:val="none" w:sz="0" w:space="0" w:color="auto"/>
            <w:bottom w:val="none" w:sz="0" w:space="0" w:color="auto"/>
            <w:right w:val="none" w:sz="0" w:space="0" w:color="auto"/>
          </w:divBdr>
          <w:divsChild>
            <w:div w:id="1341539917">
              <w:marLeft w:val="0"/>
              <w:marRight w:val="0"/>
              <w:marTop w:val="0"/>
              <w:marBottom w:val="0"/>
              <w:divBdr>
                <w:top w:val="none" w:sz="0" w:space="0" w:color="auto"/>
                <w:left w:val="none" w:sz="0" w:space="0" w:color="auto"/>
                <w:bottom w:val="none" w:sz="0" w:space="0" w:color="auto"/>
                <w:right w:val="none" w:sz="0" w:space="0" w:color="auto"/>
              </w:divBdr>
              <w:divsChild>
                <w:div w:id="805389722">
                  <w:marLeft w:val="0"/>
                  <w:marRight w:val="0"/>
                  <w:marTop w:val="0"/>
                  <w:marBottom w:val="0"/>
                  <w:divBdr>
                    <w:top w:val="none" w:sz="0" w:space="0" w:color="auto"/>
                    <w:left w:val="none" w:sz="0" w:space="0" w:color="auto"/>
                    <w:bottom w:val="none" w:sz="0" w:space="0" w:color="auto"/>
                    <w:right w:val="none" w:sz="0" w:space="0" w:color="auto"/>
                  </w:divBdr>
                  <w:divsChild>
                    <w:div w:id="19592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6044">
      <w:bodyDiv w:val="1"/>
      <w:marLeft w:val="0"/>
      <w:marRight w:val="0"/>
      <w:marTop w:val="0"/>
      <w:marBottom w:val="0"/>
      <w:divBdr>
        <w:top w:val="none" w:sz="0" w:space="0" w:color="auto"/>
        <w:left w:val="none" w:sz="0" w:space="0" w:color="auto"/>
        <w:bottom w:val="none" w:sz="0" w:space="0" w:color="auto"/>
        <w:right w:val="none" w:sz="0" w:space="0" w:color="auto"/>
      </w:divBdr>
    </w:div>
    <w:div w:id="87121960">
      <w:bodyDiv w:val="1"/>
      <w:marLeft w:val="0"/>
      <w:marRight w:val="0"/>
      <w:marTop w:val="0"/>
      <w:marBottom w:val="0"/>
      <w:divBdr>
        <w:top w:val="none" w:sz="0" w:space="0" w:color="auto"/>
        <w:left w:val="none" w:sz="0" w:space="0" w:color="auto"/>
        <w:bottom w:val="none" w:sz="0" w:space="0" w:color="auto"/>
        <w:right w:val="none" w:sz="0" w:space="0" w:color="auto"/>
      </w:divBdr>
    </w:div>
    <w:div w:id="91168660">
      <w:bodyDiv w:val="1"/>
      <w:marLeft w:val="0"/>
      <w:marRight w:val="0"/>
      <w:marTop w:val="0"/>
      <w:marBottom w:val="0"/>
      <w:divBdr>
        <w:top w:val="none" w:sz="0" w:space="0" w:color="auto"/>
        <w:left w:val="none" w:sz="0" w:space="0" w:color="auto"/>
        <w:bottom w:val="none" w:sz="0" w:space="0" w:color="auto"/>
        <w:right w:val="none" w:sz="0" w:space="0" w:color="auto"/>
      </w:divBdr>
    </w:div>
    <w:div w:id="98067994">
      <w:bodyDiv w:val="1"/>
      <w:marLeft w:val="0"/>
      <w:marRight w:val="0"/>
      <w:marTop w:val="0"/>
      <w:marBottom w:val="0"/>
      <w:divBdr>
        <w:top w:val="none" w:sz="0" w:space="0" w:color="auto"/>
        <w:left w:val="none" w:sz="0" w:space="0" w:color="auto"/>
        <w:bottom w:val="none" w:sz="0" w:space="0" w:color="auto"/>
        <w:right w:val="none" w:sz="0" w:space="0" w:color="auto"/>
      </w:divBdr>
      <w:divsChild>
        <w:div w:id="913275619">
          <w:marLeft w:val="0"/>
          <w:marRight w:val="0"/>
          <w:marTop w:val="0"/>
          <w:marBottom w:val="0"/>
          <w:divBdr>
            <w:top w:val="none" w:sz="0" w:space="0" w:color="auto"/>
            <w:left w:val="none" w:sz="0" w:space="0" w:color="auto"/>
            <w:bottom w:val="none" w:sz="0" w:space="0" w:color="auto"/>
            <w:right w:val="none" w:sz="0" w:space="0" w:color="auto"/>
          </w:divBdr>
        </w:div>
        <w:div w:id="1108426895">
          <w:marLeft w:val="0"/>
          <w:marRight w:val="0"/>
          <w:marTop w:val="0"/>
          <w:marBottom w:val="0"/>
          <w:divBdr>
            <w:top w:val="none" w:sz="0" w:space="0" w:color="auto"/>
            <w:left w:val="none" w:sz="0" w:space="0" w:color="auto"/>
            <w:bottom w:val="none" w:sz="0" w:space="0" w:color="auto"/>
            <w:right w:val="none" w:sz="0" w:space="0" w:color="auto"/>
          </w:divBdr>
        </w:div>
        <w:div w:id="1540052579">
          <w:marLeft w:val="0"/>
          <w:marRight w:val="0"/>
          <w:marTop w:val="0"/>
          <w:marBottom w:val="0"/>
          <w:divBdr>
            <w:top w:val="none" w:sz="0" w:space="0" w:color="auto"/>
            <w:left w:val="none" w:sz="0" w:space="0" w:color="auto"/>
            <w:bottom w:val="none" w:sz="0" w:space="0" w:color="auto"/>
            <w:right w:val="none" w:sz="0" w:space="0" w:color="auto"/>
          </w:divBdr>
        </w:div>
        <w:div w:id="1558013571">
          <w:marLeft w:val="0"/>
          <w:marRight w:val="0"/>
          <w:marTop w:val="0"/>
          <w:marBottom w:val="0"/>
          <w:divBdr>
            <w:top w:val="none" w:sz="0" w:space="0" w:color="auto"/>
            <w:left w:val="none" w:sz="0" w:space="0" w:color="auto"/>
            <w:bottom w:val="none" w:sz="0" w:space="0" w:color="auto"/>
            <w:right w:val="none" w:sz="0" w:space="0" w:color="auto"/>
          </w:divBdr>
        </w:div>
        <w:div w:id="1626885007">
          <w:marLeft w:val="0"/>
          <w:marRight w:val="0"/>
          <w:marTop w:val="0"/>
          <w:marBottom w:val="0"/>
          <w:divBdr>
            <w:top w:val="none" w:sz="0" w:space="0" w:color="auto"/>
            <w:left w:val="none" w:sz="0" w:space="0" w:color="auto"/>
            <w:bottom w:val="none" w:sz="0" w:space="0" w:color="auto"/>
            <w:right w:val="none" w:sz="0" w:space="0" w:color="auto"/>
          </w:divBdr>
        </w:div>
      </w:divsChild>
    </w:div>
    <w:div w:id="98137716">
      <w:bodyDiv w:val="1"/>
      <w:marLeft w:val="0"/>
      <w:marRight w:val="0"/>
      <w:marTop w:val="0"/>
      <w:marBottom w:val="0"/>
      <w:divBdr>
        <w:top w:val="none" w:sz="0" w:space="0" w:color="auto"/>
        <w:left w:val="none" w:sz="0" w:space="0" w:color="auto"/>
        <w:bottom w:val="none" w:sz="0" w:space="0" w:color="auto"/>
        <w:right w:val="none" w:sz="0" w:space="0" w:color="auto"/>
      </w:divBdr>
      <w:divsChild>
        <w:div w:id="438990516">
          <w:marLeft w:val="0"/>
          <w:marRight w:val="0"/>
          <w:marTop w:val="0"/>
          <w:marBottom w:val="0"/>
          <w:divBdr>
            <w:top w:val="none" w:sz="0" w:space="0" w:color="auto"/>
            <w:left w:val="none" w:sz="0" w:space="0" w:color="auto"/>
            <w:bottom w:val="none" w:sz="0" w:space="0" w:color="auto"/>
            <w:right w:val="none" w:sz="0" w:space="0" w:color="auto"/>
          </w:divBdr>
          <w:divsChild>
            <w:div w:id="2037851960">
              <w:marLeft w:val="0"/>
              <w:marRight w:val="0"/>
              <w:marTop w:val="0"/>
              <w:marBottom w:val="0"/>
              <w:divBdr>
                <w:top w:val="none" w:sz="0" w:space="0" w:color="auto"/>
                <w:left w:val="none" w:sz="0" w:space="0" w:color="auto"/>
                <w:bottom w:val="none" w:sz="0" w:space="0" w:color="auto"/>
                <w:right w:val="none" w:sz="0" w:space="0" w:color="auto"/>
              </w:divBdr>
              <w:divsChild>
                <w:div w:id="1770736141">
                  <w:marLeft w:val="0"/>
                  <w:marRight w:val="0"/>
                  <w:marTop w:val="0"/>
                  <w:marBottom w:val="0"/>
                  <w:divBdr>
                    <w:top w:val="none" w:sz="0" w:space="0" w:color="auto"/>
                    <w:left w:val="none" w:sz="0" w:space="0" w:color="auto"/>
                    <w:bottom w:val="none" w:sz="0" w:space="0" w:color="auto"/>
                    <w:right w:val="none" w:sz="0" w:space="0" w:color="auto"/>
                  </w:divBdr>
                  <w:divsChild>
                    <w:div w:id="6250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98484">
      <w:bodyDiv w:val="1"/>
      <w:marLeft w:val="0"/>
      <w:marRight w:val="0"/>
      <w:marTop w:val="0"/>
      <w:marBottom w:val="0"/>
      <w:divBdr>
        <w:top w:val="none" w:sz="0" w:space="0" w:color="auto"/>
        <w:left w:val="none" w:sz="0" w:space="0" w:color="auto"/>
        <w:bottom w:val="none" w:sz="0" w:space="0" w:color="auto"/>
        <w:right w:val="none" w:sz="0" w:space="0" w:color="auto"/>
      </w:divBdr>
    </w:div>
    <w:div w:id="105933554">
      <w:bodyDiv w:val="1"/>
      <w:marLeft w:val="0"/>
      <w:marRight w:val="0"/>
      <w:marTop w:val="0"/>
      <w:marBottom w:val="0"/>
      <w:divBdr>
        <w:top w:val="none" w:sz="0" w:space="0" w:color="auto"/>
        <w:left w:val="none" w:sz="0" w:space="0" w:color="auto"/>
        <w:bottom w:val="none" w:sz="0" w:space="0" w:color="auto"/>
        <w:right w:val="none" w:sz="0" w:space="0" w:color="auto"/>
      </w:divBdr>
    </w:div>
    <w:div w:id="108355759">
      <w:bodyDiv w:val="1"/>
      <w:marLeft w:val="0"/>
      <w:marRight w:val="0"/>
      <w:marTop w:val="0"/>
      <w:marBottom w:val="0"/>
      <w:divBdr>
        <w:top w:val="none" w:sz="0" w:space="0" w:color="auto"/>
        <w:left w:val="none" w:sz="0" w:space="0" w:color="auto"/>
        <w:bottom w:val="none" w:sz="0" w:space="0" w:color="auto"/>
        <w:right w:val="none" w:sz="0" w:space="0" w:color="auto"/>
      </w:divBdr>
    </w:div>
    <w:div w:id="136386188">
      <w:bodyDiv w:val="1"/>
      <w:marLeft w:val="0"/>
      <w:marRight w:val="0"/>
      <w:marTop w:val="0"/>
      <w:marBottom w:val="0"/>
      <w:divBdr>
        <w:top w:val="none" w:sz="0" w:space="0" w:color="auto"/>
        <w:left w:val="none" w:sz="0" w:space="0" w:color="auto"/>
        <w:bottom w:val="none" w:sz="0" w:space="0" w:color="auto"/>
        <w:right w:val="none" w:sz="0" w:space="0" w:color="auto"/>
      </w:divBdr>
      <w:divsChild>
        <w:div w:id="115953142">
          <w:marLeft w:val="0"/>
          <w:marRight w:val="0"/>
          <w:marTop w:val="0"/>
          <w:marBottom w:val="0"/>
          <w:divBdr>
            <w:top w:val="none" w:sz="0" w:space="0" w:color="auto"/>
            <w:left w:val="none" w:sz="0" w:space="0" w:color="auto"/>
            <w:bottom w:val="none" w:sz="0" w:space="0" w:color="auto"/>
            <w:right w:val="none" w:sz="0" w:space="0" w:color="auto"/>
          </w:divBdr>
          <w:divsChild>
            <w:div w:id="1940136182">
              <w:marLeft w:val="0"/>
              <w:marRight w:val="0"/>
              <w:marTop w:val="0"/>
              <w:marBottom w:val="0"/>
              <w:divBdr>
                <w:top w:val="none" w:sz="0" w:space="0" w:color="auto"/>
                <w:left w:val="none" w:sz="0" w:space="0" w:color="auto"/>
                <w:bottom w:val="none" w:sz="0" w:space="0" w:color="auto"/>
                <w:right w:val="none" w:sz="0" w:space="0" w:color="auto"/>
              </w:divBdr>
              <w:divsChild>
                <w:div w:id="15247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923">
      <w:bodyDiv w:val="1"/>
      <w:marLeft w:val="0"/>
      <w:marRight w:val="0"/>
      <w:marTop w:val="0"/>
      <w:marBottom w:val="0"/>
      <w:divBdr>
        <w:top w:val="none" w:sz="0" w:space="0" w:color="auto"/>
        <w:left w:val="none" w:sz="0" w:space="0" w:color="auto"/>
        <w:bottom w:val="none" w:sz="0" w:space="0" w:color="auto"/>
        <w:right w:val="none" w:sz="0" w:space="0" w:color="auto"/>
      </w:divBdr>
    </w:div>
    <w:div w:id="141240594">
      <w:bodyDiv w:val="1"/>
      <w:marLeft w:val="0"/>
      <w:marRight w:val="0"/>
      <w:marTop w:val="0"/>
      <w:marBottom w:val="0"/>
      <w:divBdr>
        <w:top w:val="none" w:sz="0" w:space="0" w:color="auto"/>
        <w:left w:val="none" w:sz="0" w:space="0" w:color="auto"/>
        <w:bottom w:val="none" w:sz="0" w:space="0" w:color="auto"/>
        <w:right w:val="none" w:sz="0" w:space="0" w:color="auto"/>
      </w:divBdr>
    </w:div>
    <w:div w:id="144590648">
      <w:bodyDiv w:val="1"/>
      <w:marLeft w:val="0"/>
      <w:marRight w:val="0"/>
      <w:marTop w:val="0"/>
      <w:marBottom w:val="0"/>
      <w:divBdr>
        <w:top w:val="none" w:sz="0" w:space="0" w:color="auto"/>
        <w:left w:val="none" w:sz="0" w:space="0" w:color="auto"/>
        <w:bottom w:val="none" w:sz="0" w:space="0" w:color="auto"/>
        <w:right w:val="none" w:sz="0" w:space="0" w:color="auto"/>
      </w:divBdr>
      <w:divsChild>
        <w:div w:id="1202983420">
          <w:marLeft w:val="0"/>
          <w:marRight w:val="0"/>
          <w:marTop w:val="0"/>
          <w:marBottom w:val="0"/>
          <w:divBdr>
            <w:top w:val="none" w:sz="0" w:space="0" w:color="auto"/>
            <w:left w:val="none" w:sz="0" w:space="0" w:color="auto"/>
            <w:bottom w:val="none" w:sz="0" w:space="0" w:color="auto"/>
            <w:right w:val="none" w:sz="0" w:space="0" w:color="auto"/>
          </w:divBdr>
          <w:divsChild>
            <w:div w:id="936324585">
              <w:marLeft w:val="0"/>
              <w:marRight w:val="0"/>
              <w:marTop w:val="0"/>
              <w:marBottom w:val="0"/>
              <w:divBdr>
                <w:top w:val="none" w:sz="0" w:space="0" w:color="auto"/>
                <w:left w:val="none" w:sz="0" w:space="0" w:color="auto"/>
                <w:bottom w:val="none" w:sz="0" w:space="0" w:color="auto"/>
                <w:right w:val="none" w:sz="0" w:space="0" w:color="auto"/>
              </w:divBdr>
              <w:divsChild>
                <w:div w:id="21217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1215">
      <w:bodyDiv w:val="1"/>
      <w:marLeft w:val="0"/>
      <w:marRight w:val="0"/>
      <w:marTop w:val="0"/>
      <w:marBottom w:val="0"/>
      <w:divBdr>
        <w:top w:val="none" w:sz="0" w:space="0" w:color="auto"/>
        <w:left w:val="none" w:sz="0" w:space="0" w:color="auto"/>
        <w:bottom w:val="none" w:sz="0" w:space="0" w:color="auto"/>
        <w:right w:val="none" w:sz="0" w:space="0" w:color="auto"/>
      </w:divBdr>
      <w:divsChild>
        <w:div w:id="1263299391">
          <w:marLeft w:val="0"/>
          <w:marRight w:val="0"/>
          <w:marTop w:val="0"/>
          <w:marBottom w:val="0"/>
          <w:divBdr>
            <w:top w:val="none" w:sz="0" w:space="0" w:color="auto"/>
            <w:left w:val="none" w:sz="0" w:space="0" w:color="auto"/>
            <w:bottom w:val="none" w:sz="0" w:space="0" w:color="auto"/>
            <w:right w:val="none" w:sz="0" w:space="0" w:color="auto"/>
          </w:divBdr>
          <w:divsChild>
            <w:div w:id="755517954">
              <w:marLeft w:val="0"/>
              <w:marRight w:val="0"/>
              <w:marTop w:val="0"/>
              <w:marBottom w:val="0"/>
              <w:divBdr>
                <w:top w:val="none" w:sz="0" w:space="0" w:color="auto"/>
                <w:left w:val="none" w:sz="0" w:space="0" w:color="auto"/>
                <w:bottom w:val="none" w:sz="0" w:space="0" w:color="auto"/>
                <w:right w:val="none" w:sz="0" w:space="0" w:color="auto"/>
              </w:divBdr>
              <w:divsChild>
                <w:div w:id="8473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4884">
      <w:bodyDiv w:val="1"/>
      <w:marLeft w:val="0"/>
      <w:marRight w:val="0"/>
      <w:marTop w:val="0"/>
      <w:marBottom w:val="0"/>
      <w:divBdr>
        <w:top w:val="none" w:sz="0" w:space="0" w:color="auto"/>
        <w:left w:val="none" w:sz="0" w:space="0" w:color="auto"/>
        <w:bottom w:val="none" w:sz="0" w:space="0" w:color="auto"/>
        <w:right w:val="none" w:sz="0" w:space="0" w:color="auto"/>
      </w:divBdr>
    </w:div>
    <w:div w:id="174392292">
      <w:bodyDiv w:val="1"/>
      <w:marLeft w:val="0"/>
      <w:marRight w:val="0"/>
      <w:marTop w:val="0"/>
      <w:marBottom w:val="0"/>
      <w:divBdr>
        <w:top w:val="none" w:sz="0" w:space="0" w:color="auto"/>
        <w:left w:val="none" w:sz="0" w:space="0" w:color="auto"/>
        <w:bottom w:val="none" w:sz="0" w:space="0" w:color="auto"/>
        <w:right w:val="none" w:sz="0" w:space="0" w:color="auto"/>
      </w:divBdr>
      <w:divsChild>
        <w:div w:id="329646871">
          <w:marLeft w:val="0"/>
          <w:marRight w:val="0"/>
          <w:marTop w:val="0"/>
          <w:marBottom w:val="0"/>
          <w:divBdr>
            <w:top w:val="none" w:sz="0" w:space="0" w:color="auto"/>
            <w:left w:val="none" w:sz="0" w:space="0" w:color="auto"/>
            <w:bottom w:val="none" w:sz="0" w:space="0" w:color="auto"/>
            <w:right w:val="none" w:sz="0" w:space="0" w:color="auto"/>
          </w:divBdr>
          <w:divsChild>
            <w:div w:id="1236665298">
              <w:marLeft w:val="0"/>
              <w:marRight w:val="0"/>
              <w:marTop w:val="0"/>
              <w:marBottom w:val="0"/>
              <w:divBdr>
                <w:top w:val="none" w:sz="0" w:space="0" w:color="auto"/>
                <w:left w:val="none" w:sz="0" w:space="0" w:color="auto"/>
                <w:bottom w:val="none" w:sz="0" w:space="0" w:color="auto"/>
                <w:right w:val="none" w:sz="0" w:space="0" w:color="auto"/>
              </w:divBdr>
              <w:divsChild>
                <w:div w:id="2061661501">
                  <w:marLeft w:val="0"/>
                  <w:marRight w:val="0"/>
                  <w:marTop w:val="0"/>
                  <w:marBottom w:val="0"/>
                  <w:divBdr>
                    <w:top w:val="none" w:sz="0" w:space="0" w:color="auto"/>
                    <w:left w:val="none" w:sz="0" w:space="0" w:color="auto"/>
                    <w:bottom w:val="none" w:sz="0" w:space="0" w:color="auto"/>
                    <w:right w:val="none" w:sz="0" w:space="0" w:color="auto"/>
                  </w:divBdr>
                  <w:divsChild>
                    <w:div w:id="60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4096">
      <w:bodyDiv w:val="1"/>
      <w:marLeft w:val="0"/>
      <w:marRight w:val="0"/>
      <w:marTop w:val="0"/>
      <w:marBottom w:val="0"/>
      <w:divBdr>
        <w:top w:val="none" w:sz="0" w:space="0" w:color="auto"/>
        <w:left w:val="none" w:sz="0" w:space="0" w:color="auto"/>
        <w:bottom w:val="none" w:sz="0" w:space="0" w:color="auto"/>
        <w:right w:val="none" w:sz="0" w:space="0" w:color="auto"/>
      </w:divBdr>
      <w:divsChild>
        <w:div w:id="250164438">
          <w:marLeft w:val="0"/>
          <w:marRight w:val="0"/>
          <w:marTop w:val="0"/>
          <w:marBottom w:val="0"/>
          <w:divBdr>
            <w:top w:val="none" w:sz="0" w:space="0" w:color="auto"/>
            <w:left w:val="none" w:sz="0" w:space="0" w:color="auto"/>
            <w:bottom w:val="none" w:sz="0" w:space="0" w:color="auto"/>
            <w:right w:val="none" w:sz="0" w:space="0" w:color="auto"/>
          </w:divBdr>
          <w:divsChild>
            <w:div w:id="1007102532">
              <w:marLeft w:val="0"/>
              <w:marRight w:val="0"/>
              <w:marTop w:val="0"/>
              <w:marBottom w:val="0"/>
              <w:divBdr>
                <w:top w:val="none" w:sz="0" w:space="0" w:color="auto"/>
                <w:left w:val="none" w:sz="0" w:space="0" w:color="auto"/>
                <w:bottom w:val="none" w:sz="0" w:space="0" w:color="auto"/>
                <w:right w:val="none" w:sz="0" w:space="0" w:color="auto"/>
              </w:divBdr>
              <w:divsChild>
                <w:div w:id="1626813955">
                  <w:marLeft w:val="0"/>
                  <w:marRight w:val="0"/>
                  <w:marTop w:val="0"/>
                  <w:marBottom w:val="0"/>
                  <w:divBdr>
                    <w:top w:val="none" w:sz="0" w:space="0" w:color="auto"/>
                    <w:left w:val="none" w:sz="0" w:space="0" w:color="auto"/>
                    <w:bottom w:val="none" w:sz="0" w:space="0" w:color="auto"/>
                    <w:right w:val="none" w:sz="0" w:space="0" w:color="auto"/>
                  </w:divBdr>
                  <w:divsChild>
                    <w:div w:id="2675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9784">
      <w:bodyDiv w:val="1"/>
      <w:marLeft w:val="0"/>
      <w:marRight w:val="0"/>
      <w:marTop w:val="0"/>
      <w:marBottom w:val="0"/>
      <w:divBdr>
        <w:top w:val="none" w:sz="0" w:space="0" w:color="auto"/>
        <w:left w:val="none" w:sz="0" w:space="0" w:color="auto"/>
        <w:bottom w:val="none" w:sz="0" w:space="0" w:color="auto"/>
        <w:right w:val="none" w:sz="0" w:space="0" w:color="auto"/>
      </w:divBdr>
    </w:div>
    <w:div w:id="180361743">
      <w:bodyDiv w:val="1"/>
      <w:marLeft w:val="0"/>
      <w:marRight w:val="0"/>
      <w:marTop w:val="0"/>
      <w:marBottom w:val="0"/>
      <w:divBdr>
        <w:top w:val="none" w:sz="0" w:space="0" w:color="auto"/>
        <w:left w:val="none" w:sz="0" w:space="0" w:color="auto"/>
        <w:bottom w:val="none" w:sz="0" w:space="0" w:color="auto"/>
        <w:right w:val="none" w:sz="0" w:space="0" w:color="auto"/>
      </w:divBdr>
      <w:divsChild>
        <w:div w:id="156120048">
          <w:marLeft w:val="0"/>
          <w:marRight w:val="0"/>
          <w:marTop w:val="0"/>
          <w:marBottom w:val="0"/>
          <w:divBdr>
            <w:top w:val="none" w:sz="0" w:space="0" w:color="auto"/>
            <w:left w:val="none" w:sz="0" w:space="0" w:color="auto"/>
            <w:bottom w:val="none" w:sz="0" w:space="0" w:color="auto"/>
            <w:right w:val="none" w:sz="0" w:space="0" w:color="auto"/>
          </w:divBdr>
          <w:divsChild>
            <w:div w:id="1499155161">
              <w:marLeft w:val="0"/>
              <w:marRight w:val="0"/>
              <w:marTop w:val="0"/>
              <w:marBottom w:val="0"/>
              <w:divBdr>
                <w:top w:val="none" w:sz="0" w:space="0" w:color="auto"/>
                <w:left w:val="none" w:sz="0" w:space="0" w:color="auto"/>
                <w:bottom w:val="none" w:sz="0" w:space="0" w:color="auto"/>
                <w:right w:val="none" w:sz="0" w:space="0" w:color="auto"/>
              </w:divBdr>
              <w:divsChild>
                <w:div w:id="14252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8213">
      <w:bodyDiv w:val="1"/>
      <w:marLeft w:val="0"/>
      <w:marRight w:val="0"/>
      <w:marTop w:val="0"/>
      <w:marBottom w:val="0"/>
      <w:divBdr>
        <w:top w:val="none" w:sz="0" w:space="0" w:color="auto"/>
        <w:left w:val="none" w:sz="0" w:space="0" w:color="auto"/>
        <w:bottom w:val="none" w:sz="0" w:space="0" w:color="auto"/>
        <w:right w:val="none" w:sz="0" w:space="0" w:color="auto"/>
      </w:divBdr>
    </w:div>
    <w:div w:id="184371129">
      <w:bodyDiv w:val="1"/>
      <w:marLeft w:val="0"/>
      <w:marRight w:val="0"/>
      <w:marTop w:val="0"/>
      <w:marBottom w:val="0"/>
      <w:divBdr>
        <w:top w:val="none" w:sz="0" w:space="0" w:color="auto"/>
        <w:left w:val="none" w:sz="0" w:space="0" w:color="auto"/>
        <w:bottom w:val="none" w:sz="0" w:space="0" w:color="auto"/>
        <w:right w:val="none" w:sz="0" w:space="0" w:color="auto"/>
      </w:divBdr>
    </w:div>
    <w:div w:id="188496298">
      <w:bodyDiv w:val="1"/>
      <w:marLeft w:val="0"/>
      <w:marRight w:val="0"/>
      <w:marTop w:val="0"/>
      <w:marBottom w:val="0"/>
      <w:divBdr>
        <w:top w:val="none" w:sz="0" w:space="0" w:color="auto"/>
        <w:left w:val="none" w:sz="0" w:space="0" w:color="auto"/>
        <w:bottom w:val="none" w:sz="0" w:space="0" w:color="auto"/>
        <w:right w:val="none" w:sz="0" w:space="0" w:color="auto"/>
      </w:divBdr>
    </w:div>
    <w:div w:id="190069662">
      <w:bodyDiv w:val="1"/>
      <w:marLeft w:val="0"/>
      <w:marRight w:val="0"/>
      <w:marTop w:val="0"/>
      <w:marBottom w:val="0"/>
      <w:divBdr>
        <w:top w:val="none" w:sz="0" w:space="0" w:color="auto"/>
        <w:left w:val="none" w:sz="0" w:space="0" w:color="auto"/>
        <w:bottom w:val="none" w:sz="0" w:space="0" w:color="auto"/>
        <w:right w:val="none" w:sz="0" w:space="0" w:color="auto"/>
      </w:divBdr>
    </w:div>
    <w:div w:id="190340925">
      <w:bodyDiv w:val="1"/>
      <w:marLeft w:val="0"/>
      <w:marRight w:val="0"/>
      <w:marTop w:val="0"/>
      <w:marBottom w:val="0"/>
      <w:divBdr>
        <w:top w:val="none" w:sz="0" w:space="0" w:color="auto"/>
        <w:left w:val="none" w:sz="0" w:space="0" w:color="auto"/>
        <w:bottom w:val="none" w:sz="0" w:space="0" w:color="auto"/>
        <w:right w:val="none" w:sz="0" w:space="0" w:color="auto"/>
      </w:divBdr>
      <w:divsChild>
        <w:div w:id="296687589">
          <w:marLeft w:val="0"/>
          <w:marRight w:val="0"/>
          <w:marTop w:val="0"/>
          <w:marBottom w:val="0"/>
          <w:divBdr>
            <w:top w:val="none" w:sz="0" w:space="0" w:color="auto"/>
            <w:left w:val="none" w:sz="0" w:space="0" w:color="auto"/>
            <w:bottom w:val="none" w:sz="0" w:space="0" w:color="auto"/>
            <w:right w:val="none" w:sz="0" w:space="0" w:color="auto"/>
          </w:divBdr>
        </w:div>
        <w:div w:id="1044135981">
          <w:marLeft w:val="0"/>
          <w:marRight w:val="0"/>
          <w:marTop w:val="0"/>
          <w:marBottom w:val="0"/>
          <w:divBdr>
            <w:top w:val="none" w:sz="0" w:space="0" w:color="auto"/>
            <w:left w:val="none" w:sz="0" w:space="0" w:color="auto"/>
            <w:bottom w:val="none" w:sz="0" w:space="0" w:color="auto"/>
            <w:right w:val="none" w:sz="0" w:space="0" w:color="auto"/>
          </w:divBdr>
        </w:div>
        <w:div w:id="1249343153">
          <w:marLeft w:val="0"/>
          <w:marRight w:val="0"/>
          <w:marTop w:val="0"/>
          <w:marBottom w:val="0"/>
          <w:divBdr>
            <w:top w:val="none" w:sz="0" w:space="0" w:color="auto"/>
            <w:left w:val="none" w:sz="0" w:space="0" w:color="auto"/>
            <w:bottom w:val="none" w:sz="0" w:space="0" w:color="auto"/>
            <w:right w:val="none" w:sz="0" w:space="0" w:color="auto"/>
          </w:divBdr>
        </w:div>
      </w:divsChild>
    </w:div>
    <w:div w:id="193276939">
      <w:bodyDiv w:val="1"/>
      <w:marLeft w:val="0"/>
      <w:marRight w:val="0"/>
      <w:marTop w:val="0"/>
      <w:marBottom w:val="0"/>
      <w:divBdr>
        <w:top w:val="none" w:sz="0" w:space="0" w:color="auto"/>
        <w:left w:val="none" w:sz="0" w:space="0" w:color="auto"/>
        <w:bottom w:val="none" w:sz="0" w:space="0" w:color="auto"/>
        <w:right w:val="none" w:sz="0" w:space="0" w:color="auto"/>
      </w:divBdr>
      <w:divsChild>
        <w:div w:id="1448811929">
          <w:marLeft w:val="0"/>
          <w:marRight w:val="0"/>
          <w:marTop w:val="0"/>
          <w:marBottom w:val="0"/>
          <w:divBdr>
            <w:top w:val="none" w:sz="0" w:space="0" w:color="auto"/>
            <w:left w:val="none" w:sz="0" w:space="0" w:color="auto"/>
            <w:bottom w:val="none" w:sz="0" w:space="0" w:color="auto"/>
            <w:right w:val="none" w:sz="0" w:space="0" w:color="auto"/>
          </w:divBdr>
          <w:divsChild>
            <w:div w:id="1234658874">
              <w:marLeft w:val="0"/>
              <w:marRight w:val="0"/>
              <w:marTop w:val="0"/>
              <w:marBottom w:val="0"/>
              <w:divBdr>
                <w:top w:val="none" w:sz="0" w:space="0" w:color="auto"/>
                <w:left w:val="none" w:sz="0" w:space="0" w:color="auto"/>
                <w:bottom w:val="none" w:sz="0" w:space="0" w:color="auto"/>
                <w:right w:val="none" w:sz="0" w:space="0" w:color="auto"/>
              </w:divBdr>
              <w:divsChild>
                <w:div w:id="14158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624">
      <w:bodyDiv w:val="1"/>
      <w:marLeft w:val="0"/>
      <w:marRight w:val="0"/>
      <w:marTop w:val="0"/>
      <w:marBottom w:val="0"/>
      <w:divBdr>
        <w:top w:val="none" w:sz="0" w:space="0" w:color="auto"/>
        <w:left w:val="none" w:sz="0" w:space="0" w:color="auto"/>
        <w:bottom w:val="none" w:sz="0" w:space="0" w:color="auto"/>
        <w:right w:val="none" w:sz="0" w:space="0" w:color="auto"/>
      </w:divBdr>
    </w:div>
    <w:div w:id="213391238">
      <w:bodyDiv w:val="1"/>
      <w:marLeft w:val="0"/>
      <w:marRight w:val="0"/>
      <w:marTop w:val="0"/>
      <w:marBottom w:val="0"/>
      <w:divBdr>
        <w:top w:val="none" w:sz="0" w:space="0" w:color="auto"/>
        <w:left w:val="none" w:sz="0" w:space="0" w:color="auto"/>
        <w:bottom w:val="none" w:sz="0" w:space="0" w:color="auto"/>
        <w:right w:val="none" w:sz="0" w:space="0" w:color="auto"/>
      </w:divBdr>
      <w:divsChild>
        <w:div w:id="1555964010">
          <w:marLeft w:val="0"/>
          <w:marRight w:val="0"/>
          <w:marTop w:val="0"/>
          <w:marBottom w:val="0"/>
          <w:divBdr>
            <w:top w:val="none" w:sz="0" w:space="0" w:color="auto"/>
            <w:left w:val="none" w:sz="0" w:space="0" w:color="auto"/>
            <w:bottom w:val="none" w:sz="0" w:space="0" w:color="auto"/>
            <w:right w:val="none" w:sz="0" w:space="0" w:color="auto"/>
          </w:divBdr>
          <w:divsChild>
            <w:div w:id="589894343">
              <w:marLeft w:val="0"/>
              <w:marRight w:val="0"/>
              <w:marTop w:val="0"/>
              <w:marBottom w:val="0"/>
              <w:divBdr>
                <w:top w:val="none" w:sz="0" w:space="0" w:color="auto"/>
                <w:left w:val="none" w:sz="0" w:space="0" w:color="auto"/>
                <w:bottom w:val="none" w:sz="0" w:space="0" w:color="auto"/>
                <w:right w:val="none" w:sz="0" w:space="0" w:color="auto"/>
              </w:divBdr>
              <w:divsChild>
                <w:div w:id="2207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46729">
      <w:bodyDiv w:val="1"/>
      <w:marLeft w:val="0"/>
      <w:marRight w:val="0"/>
      <w:marTop w:val="0"/>
      <w:marBottom w:val="0"/>
      <w:divBdr>
        <w:top w:val="none" w:sz="0" w:space="0" w:color="auto"/>
        <w:left w:val="none" w:sz="0" w:space="0" w:color="auto"/>
        <w:bottom w:val="none" w:sz="0" w:space="0" w:color="auto"/>
        <w:right w:val="none" w:sz="0" w:space="0" w:color="auto"/>
      </w:divBdr>
    </w:div>
    <w:div w:id="226452941">
      <w:bodyDiv w:val="1"/>
      <w:marLeft w:val="0"/>
      <w:marRight w:val="0"/>
      <w:marTop w:val="0"/>
      <w:marBottom w:val="0"/>
      <w:divBdr>
        <w:top w:val="none" w:sz="0" w:space="0" w:color="auto"/>
        <w:left w:val="none" w:sz="0" w:space="0" w:color="auto"/>
        <w:bottom w:val="none" w:sz="0" w:space="0" w:color="auto"/>
        <w:right w:val="none" w:sz="0" w:space="0" w:color="auto"/>
      </w:divBdr>
      <w:divsChild>
        <w:div w:id="1297292263">
          <w:marLeft w:val="0"/>
          <w:marRight w:val="0"/>
          <w:marTop w:val="0"/>
          <w:marBottom w:val="0"/>
          <w:divBdr>
            <w:top w:val="none" w:sz="0" w:space="0" w:color="auto"/>
            <w:left w:val="none" w:sz="0" w:space="0" w:color="auto"/>
            <w:bottom w:val="none" w:sz="0" w:space="0" w:color="auto"/>
            <w:right w:val="none" w:sz="0" w:space="0" w:color="auto"/>
          </w:divBdr>
          <w:divsChild>
            <w:div w:id="945506444">
              <w:marLeft w:val="0"/>
              <w:marRight w:val="0"/>
              <w:marTop w:val="0"/>
              <w:marBottom w:val="0"/>
              <w:divBdr>
                <w:top w:val="none" w:sz="0" w:space="0" w:color="auto"/>
                <w:left w:val="none" w:sz="0" w:space="0" w:color="auto"/>
                <w:bottom w:val="none" w:sz="0" w:space="0" w:color="auto"/>
                <w:right w:val="none" w:sz="0" w:space="0" w:color="auto"/>
              </w:divBdr>
              <w:divsChild>
                <w:div w:id="3786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08562">
      <w:bodyDiv w:val="1"/>
      <w:marLeft w:val="0"/>
      <w:marRight w:val="0"/>
      <w:marTop w:val="0"/>
      <w:marBottom w:val="0"/>
      <w:divBdr>
        <w:top w:val="none" w:sz="0" w:space="0" w:color="auto"/>
        <w:left w:val="none" w:sz="0" w:space="0" w:color="auto"/>
        <w:bottom w:val="none" w:sz="0" w:space="0" w:color="auto"/>
        <w:right w:val="none" w:sz="0" w:space="0" w:color="auto"/>
      </w:divBdr>
    </w:div>
    <w:div w:id="239683915">
      <w:bodyDiv w:val="1"/>
      <w:marLeft w:val="0"/>
      <w:marRight w:val="0"/>
      <w:marTop w:val="0"/>
      <w:marBottom w:val="0"/>
      <w:divBdr>
        <w:top w:val="none" w:sz="0" w:space="0" w:color="auto"/>
        <w:left w:val="none" w:sz="0" w:space="0" w:color="auto"/>
        <w:bottom w:val="none" w:sz="0" w:space="0" w:color="auto"/>
        <w:right w:val="none" w:sz="0" w:space="0" w:color="auto"/>
      </w:divBdr>
      <w:divsChild>
        <w:div w:id="1605334351">
          <w:marLeft w:val="0"/>
          <w:marRight w:val="0"/>
          <w:marTop w:val="0"/>
          <w:marBottom w:val="0"/>
          <w:divBdr>
            <w:top w:val="none" w:sz="0" w:space="0" w:color="auto"/>
            <w:left w:val="none" w:sz="0" w:space="0" w:color="auto"/>
            <w:bottom w:val="none" w:sz="0" w:space="0" w:color="auto"/>
            <w:right w:val="none" w:sz="0" w:space="0" w:color="auto"/>
          </w:divBdr>
          <w:divsChild>
            <w:div w:id="1106995600">
              <w:marLeft w:val="0"/>
              <w:marRight w:val="0"/>
              <w:marTop w:val="0"/>
              <w:marBottom w:val="0"/>
              <w:divBdr>
                <w:top w:val="none" w:sz="0" w:space="0" w:color="auto"/>
                <w:left w:val="none" w:sz="0" w:space="0" w:color="auto"/>
                <w:bottom w:val="none" w:sz="0" w:space="0" w:color="auto"/>
                <w:right w:val="none" w:sz="0" w:space="0" w:color="auto"/>
              </w:divBdr>
              <w:divsChild>
                <w:div w:id="497161005">
                  <w:marLeft w:val="0"/>
                  <w:marRight w:val="0"/>
                  <w:marTop w:val="0"/>
                  <w:marBottom w:val="0"/>
                  <w:divBdr>
                    <w:top w:val="none" w:sz="0" w:space="0" w:color="auto"/>
                    <w:left w:val="none" w:sz="0" w:space="0" w:color="auto"/>
                    <w:bottom w:val="none" w:sz="0" w:space="0" w:color="auto"/>
                    <w:right w:val="none" w:sz="0" w:space="0" w:color="auto"/>
                  </w:divBdr>
                  <w:divsChild>
                    <w:div w:id="10282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554012">
      <w:bodyDiv w:val="1"/>
      <w:marLeft w:val="0"/>
      <w:marRight w:val="0"/>
      <w:marTop w:val="0"/>
      <w:marBottom w:val="0"/>
      <w:divBdr>
        <w:top w:val="none" w:sz="0" w:space="0" w:color="auto"/>
        <w:left w:val="none" w:sz="0" w:space="0" w:color="auto"/>
        <w:bottom w:val="none" w:sz="0" w:space="0" w:color="auto"/>
        <w:right w:val="none" w:sz="0" w:space="0" w:color="auto"/>
      </w:divBdr>
    </w:div>
    <w:div w:id="252326088">
      <w:bodyDiv w:val="1"/>
      <w:marLeft w:val="0"/>
      <w:marRight w:val="0"/>
      <w:marTop w:val="0"/>
      <w:marBottom w:val="0"/>
      <w:divBdr>
        <w:top w:val="none" w:sz="0" w:space="0" w:color="auto"/>
        <w:left w:val="none" w:sz="0" w:space="0" w:color="auto"/>
        <w:bottom w:val="none" w:sz="0" w:space="0" w:color="auto"/>
        <w:right w:val="none" w:sz="0" w:space="0" w:color="auto"/>
      </w:divBdr>
    </w:div>
    <w:div w:id="259720188">
      <w:bodyDiv w:val="1"/>
      <w:marLeft w:val="0"/>
      <w:marRight w:val="0"/>
      <w:marTop w:val="0"/>
      <w:marBottom w:val="0"/>
      <w:divBdr>
        <w:top w:val="none" w:sz="0" w:space="0" w:color="auto"/>
        <w:left w:val="none" w:sz="0" w:space="0" w:color="auto"/>
        <w:bottom w:val="none" w:sz="0" w:space="0" w:color="auto"/>
        <w:right w:val="none" w:sz="0" w:space="0" w:color="auto"/>
      </w:divBdr>
      <w:divsChild>
        <w:div w:id="502474728">
          <w:marLeft w:val="0"/>
          <w:marRight w:val="0"/>
          <w:marTop w:val="0"/>
          <w:marBottom w:val="0"/>
          <w:divBdr>
            <w:top w:val="none" w:sz="0" w:space="0" w:color="auto"/>
            <w:left w:val="none" w:sz="0" w:space="0" w:color="auto"/>
            <w:bottom w:val="none" w:sz="0" w:space="0" w:color="auto"/>
            <w:right w:val="none" w:sz="0" w:space="0" w:color="auto"/>
          </w:divBdr>
          <w:divsChild>
            <w:div w:id="1373382950">
              <w:marLeft w:val="0"/>
              <w:marRight w:val="0"/>
              <w:marTop w:val="0"/>
              <w:marBottom w:val="0"/>
              <w:divBdr>
                <w:top w:val="none" w:sz="0" w:space="0" w:color="auto"/>
                <w:left w:val="none" w:sz="0" w:space="0" w:color="auto"/>
                <w:bottom w:val="none" w:sz="0" w:space="0" w:color="auto"/>
                <w:right w:val="none" w:sz="0" w:space="0" w:color="auto"/>
              </w:divBdr>
              <w:divsChild>
                <w:div w:id="696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93059">
      <w:bodyDiv w:val="1"/>
      <w:marLeft w:val="0"/>
      <w:marRight w:val="0"/>
      <w:marTop w:val="0"/>
      <w:marBottom w:val="0"/>
      <w:divBdr>
        <w:top w:val="none" w:sz="0" w:space="0" w:color="auto"/>
        <w:left w:val="none" w:sz="0" w:space="0" w:color="auto"/>
        <w:bottom w:val="none" w:sz="0" w:space="0" w:color="auto"/>
        <w:right w:val="none" w:sz="0" w:space="0" w:color="auto"/>
      </w:divBdr>
      <w:divsChild>
        <w:div w:id="2906426">
          <w:marLeft w:val="806"/>
          <w:marRight w:val="0"/>
          <w:marTop w:val="75"/>
          <w:marBottom w:val="60"/>
          <w:divBdr>
            <w:top w:val="none" w:sz="0" w:space="0" w:color="auto"/>
            <w:left w:val="none" w:sz="0" w:space="0" w:color="auto"/>
            <w:bottom w:val="none" w:sz="0" w:space="0" w:color="auto"/>
            <w:right w:val="none" w:sz="0" w:space="0" w:color="auto"/>
          </w:divBdr>
        </w:div>
        <w:div w:id="775952204">
          <w:marLeft w:val="1354"/>
          <w:marRight w:val="0"/>
          <w:marTop w:val="75"/>
          <w:marBottom w:val="60"/>
          <w:divBdr>
            <w:top w:val="none" w:sz="0" w:space="0" w:color="auto"/>
            <w:left w:val="none" w:sz="0" w:space="0" w:color="auto"/>
            <w:bottom w:val="none" w:sz="0" w:space="0" w:color="auto"/>
            <w:right w:val="none" w:sz="0" w:space="0" w:color="auto"/>
          </w:divBdr>
        </w:div>
        <w:div w:id="1040010261">
          <w:marLeft w:val="806"/>
          <w:marRight w:val="0"/>
          <w:marTop w:val="75"/>
          <w:marBottom w:val="60"/>
          <w:divBdr>
            <w:top w:val="none" w:sz="0" w:space="0" w:color="auto"/>
            <w:left w:val="none" w:sz="0" w:space="0" w:color="auto"/>
            <w:bottom w:val="none" w:sz="0" w:space="0" w:color="auto"/>
            <w:right w:val="none" w:sz="0" w:space="0" w:color="auto"/>
          </w:divBdr>
        </w:div>
        <w:div w:id="1068378612">
          <w:marLeft w:val="1354"/>
          <w:marRight w:val="0"/>
          <w:marTop w:val="75"/>
          <w:marBottom w:val="60"/>
          <w:divBdr>
            <w:top w:val="none" w:sz="0" w:space="0" w:color="auto"/>
            <w:left w:val="none" w:sz="0" w:space="0" w:color="auto"/>
            <w:bottom w:val="none" w:sz="0" w:space="0" w:color="auto"/>
            <w:right w:val="none" w:sz="0" w:space="0" w:color="auto"/>
          </w:divBdr>
        </w:div>
        <w:div w:id="1863587492">
          <w:marLeft w:val="1354"/>
          <w:marRight w:val="0"/>
          <w:marTop w:val="75"/>
          <w:marBottom w:val="60"/>
          <w:divBdr>
            <w:top w:val="none" w:sz="0" w:space="0" w:color="auto"/>
            <w:left w:val="none" w:sz="0" w:space="0" w:color="auto"/>
            <w:bottom w:val="none" w:sz="0" w:space="0" w:color="auto"/>
            <w:right w:val="none" w:sz="0" w:space="0" w:color="auto"/>
          </w:divBdr>
        </w:div>
        <w:div w:id="2108260230">
          <w:marLeft w:val="533"/>
          <w:marRight w:val="0"/>
          <w:marTop w:val="150"/>
          <w:marBottom w:val="60"/>
          <w:divBdr>
            <w:top w:val="none" w:sz="0" w:space="0" w:color="auto"/>
            <w:left w:val="none" w:sz="0" w:space="0" w:color="auto"/>
            <w:bottom w:val="none" w:sz="0" w:space="0" w:color="auto"/>
            <w:right w:val="none" w:sz="0" w:space="0" w:color="auto"/>
          </w:divBdr>
        </w:div>
      </w:divsChild>
    </w:div>
    <w:div w:id="279847694">
      <w:bodyDiv w:val="1"/>
      <w:marLeft w:val="0"/>
      <w:marRight w:val="0"/>
      <w:marTop w:val="0"/>
      <w:marBottom w:val="0"/>
      <w:divBdr>
        <w:top w:val="none" w:sz="0" w:space="0" w:color="auto"/>
        <w:left w:val="none" w:sz="0" w:space="0" w:color="auto"/>
        <w:bottom w:val="none" w:sz="0" w:space="0" w:color="auto"/>
        <w:right w:val="none" w:sz="0" w:space="0" w:color="auto"/>
      </w:divBdr>
      <w:divsChild>
        <w:div w:id="1045060315">
          <w:marLeft w:val="533"/>
          <w:marRight w:val="0"/>
          <w:marTop w:val="150"/>
          <w:marBottom w:val="0"/>
          <w:divBdr>
            <w:top w:val="none" w:sz="0" w:space="0" w:color="auto"/>
            <w:left w:val="none" w:sz="0" w:space="0" w:color="auto"/>
            <w:bottom w:val="none" w:sz="0" w:space="0" w:color="auto"/>
            <w:right w:val="none" w:sz="0" w:space="0" w:color="auto"/>
          </w:divBdr>
        </w:div>
        <w:div w:id="1120762371">
          <w:marLeft w:val="806"/>
          <w:marRight w:val="0"/>
          <w:marTop w:val="75"/>
          <w:marBottom w:val="0"/>
          <w:divBdr>
            <w:top w:val="none" w:sz="0" w:space="0" w:color="auto"/>
            <w:left w:val="none" w:sz="0" w:space="0" w:color="auto"/>
            <w:bottom w:val="none" w:sz="0" w:space="0" w:color="auto"/>
            <w:right w:val="none" w:sz="0" w:space="0" w:color="auto"/>
          </w:divBdr>
        </w:div>
        <w:div w:id="1139493371">
          <w:marLeft w:val="533"/>
          <w:marRight w:val="0"/>
          <w:marTop w:val="150"/>
          <w:marBottom w:val="0"/>
          <w:divBdr>
            <w:top w:val="none" w:sz="0" w:space="0" w:color="auto"/>
            <w:left w:val="none" w:sz="0" w:space="0" w:color="auto"/>
            <w:bottom w:val="none" w:sz="0" w:space="0" w:color="auto"/>
            <w:right w:val="none" w:sz="0" w:space="0" w:color="auto"/>
          </w:divBdr>
        </w:div>
        <w:div w:id="1223326882">
          <w:marLeft w:val="806"/>
          <w:marRight w:val="0"/>
          <w:marTop w:val="75"/>
          <w:marBottom w:val="0"/>
          <w:divBdr>
            <w:top w:val="none" w:sz="0" w:space="0" w:color="auto"/>
            <w:left w:val="none" w:sz="0" w:space="0" w:color="auto"/>
            <w:bottom w:val="none" w:sz="0" w:space="0" w:color="auto"/>
            <w:right w:val="none" w:sz="0" w:space="0" w:color="auto"/>
          </w:divBdr>
        </w:div>
        <w:div w:id="1336689310">
          <w:marLeft w:val="806"/>
          <w:marRight w:val="0"/>
          <w:marTop w:val="75"/>
          <w:marBottom w:val="0"/>
          <w:divBdr>
            <w:top w:val="none" w:sz="0" w:space="0" w:color="auto"/>
            <w:left w:val="none" w:sz="0" w:space="0" w:color="auto"/>
            <w:bottom w:val="none" w:sz="0" w:space="0" w:color="auto"/>
            <w:right w:val="none" w:sz="0" w:space="0" w:color="auto"/>
          </w:divBdr>
        </w:div>
        <w:div w:id="1540044763">
          <w:marLeft w:val="533"/>
          <w:marRight w:val="0"/>
          <w:marTop w:val="150"/>
          <w:marBottom w:val="0"/>
          <w:divBdr>
            <w:top w:val="none" w:sz="0" w:space="0" w:color="auto"/>
            <w:left w:val="none" w:sz="0" w:space="0" w:color="auto"/>
            <w:bottom w:val="none" w:sz="0" w:space="0" w:color="auto"/>
            <w:right w:val="none" w:sz="0" w:space="0" w:color="auto"/>
          </w:divBdr>
        </w:div>
        <w:div w:id="1596212228">
          <w:marLeft w:val="806"/>
          <w:marRight w:val="0"/>
          <w:marTop w:val="75"/>
          <w:marBottom w:val="0"/>
          <w:divBdr>
            <w:top w:val="none" w:sz="0" w:space="0" w:color="auto"/>
            <w:left w:val="none" w:sz="0" w:space="0" w:color="auto"/>
            <w:bottom w:val="none" w:sz="0" w:space="0" w:color="auto"/>
            <w:right w:val="none" w:sz="0" w:space="0" w:color="auto"/>
          </w:divBdr>
        </w:div>
        <w:div w:id="1715274457">
          <w:marLeft w:val="806"/>
          <w:marRight w:val="0"/>
          <w:marTop w:val="75"/>
          <w:marBottom w:val="0"/>
          <w:divBdr>
            <w:top w:val="none" w:sz="0" w:space="0" w:color="auto"/>
            <w:left w:val="none" w:sz="0" w:space="0" w:color="auto"/>
            <w:bottom w:val="none" w:sz="0" w:space="0" w:color="auto"/>
            <w:right w:val="none" w:sz="0" w:space="0" w:color="auto"/>
          </w:divBdr>
        </w:div>
        <w:div w:id="1813671850">
          <w:marLeft w:val="533"/>
          <w:marRight w:val="0"/>
          <w:marTop w:val="150"/>
          <w:marBottom w:val="0"/>
          <w:divBdr>
            <w:top w:val="none" w:sz="0" w:space="0" w:color="auto"/>
            <w:left w:val="none" w:sz="0" w:space="0" w:color="auto"/>
            <w:bottom w:val="none" w:sz="0" w:space="0" w:color="auto"/>
            <w:right w:val="none" w:sz="0" w:space="0" w:color="auto"/>
          </w:divBdr>
        </w:div>
        <w:div w:id="1996641340">
          <w:marLeft w:val="533"/>
          <w:marRight w:val="0"/>
          <w:marTop w:val="150"/>
          <w:marBottom w:val="0"/>
          <w:divBdr>
            <w:top w:val="none" w:sz="0" w:space="0" w:color="auto"/>
            <w:left w:val="none" w:sz="0" w:space="0" w:color="auto"/>
            <w:bottom w:val="none" w:sz="0" w:space="0" w:color="auto"/>
            <w:right w:val="none" w:sz="0" w:space="0" w:color="auto"/>
          </w:divBdr>
        </w:div>
        <w:div w:id="2107460056">
          <w:marLeft w:val="533"/>
          <w:marRight w:val="0"/>
          <w:marTop w:val="150"/>
          <w:marBottom w:val="0"/>
          <w:divBdr>
            <w:top w:val="none" w:sz="0" w:space="0" w:color="auto"/>
            <w:left w:val="none" w:sz="0" w:space="0" w:color="auto"/>
            <w:bottom w:val="none" w:sz="0" w:space="0" w:color="auto"/>
            <w:right w:val="none" w:sz="0" w:space="0" w:color="auto"/>
          </w:divBdr>
        </w:div>
      </w:divsChild>
    </w:div>
    <w:div w:id="282344643">
      <w:bodyDiv w:val="1"/>
      <w:marLeft w:val="0"/>
      <w:marRight w:val="0"/>
      <w:marTop w:val="0"/>
      <w:marBottom w:val="0"/>
      <w:divBdr>
        <w:top w:val="none" w:sz="0" w:space="0" w:color="auto"/>
        <w:left w:val="none" w:sz="0" w:space="0" w:color="auto"/>
        <w:bottom w:val="none" w:sz="0" w:space="0" w:color="auto"/>
        <w:right w:val="none" w:sz="0" w:space="0" w:color="auto"/>
      </w:divBdr>
    </w:div>
    <w:div w:id="293221646">
      <w:bodyDiv w:val="1"/>
      <w:marLeft w:val="0"/>
      <w:marRight w:val="0"/>
      <w:marTop w:val="0"/>
      <w:marBottom w:val="0"/>
      <w:divBdr>
        <w:top w:val="none" w:sz="0" w:space="0" w:color="auto"/>
        <w:left w:val="none" w:sz="0" w:space="0" w:color="auto"/>
        <w:bottom w:val="none" w:sz="0" w:space="0" w:color="auto"/>
        <w:right w:val="none" w:sz="0" w:space="0" w:color="auto"/>
      </w:divBdr>
      <w:divsChild>
        <w:div w:id="25104997">
          <w:marLeft w:val="0"/>
          <w:marRight w:val="0"/>
          <w:marTop w:val="0"/>
          <w:marBottom w:val="0"/>
          <w:divBdr>
            <w:top w:val="none" w:sz="0" w:space="0" w:color="auto"/>
            <w:left w:val="none" w:sz="0" w:space="0" w:color="auto"/>
            <w:bottom w:val="none" w:sz="0" w:space="0" w:color="auto"/>
            <w:right w:val="none" w:sz="0" w:space="0" w:color="auto"/>
          </w:divBdr>
          <w:divsChild>
            <w:div w:id="778574505">
              <w:marLeft w:val="0"/>
              <w:marRight w:val="0"/>
              <w:marTop w:val="0"/>
              <w:marBottom w:val="0"/>
              <w:divBdr>
                <w:top w:val="none" w:sz="0" w:space="0" w:color="auto"/>
                <w:left w:val="none" w:sz="0" w:space="0" w:color="auto"/>
                <w:bottom w:val="none" w:sz="0" w:space="0" w:color="auto"/>
                <w:right w:val="none" w:sz="0" w:space="0" w:color="auto"/>
              </w:divBdr>
            </w:div>
            <w:div w:id="1407072380">
              <w:marLeft w:val="0"/>
              <w:marRight w:val="0"/>
              <w:marTop w:val="0"/>
              <w:marBottom w:val="0"/>
              <w:divBdr>
                <w:top w:val="none" w:sz="0" w:space="0" w:color="auto"/>
                <w:left w:val="none" w:sz="0" w:space="0" w:color="auto"/>
                <w:bottom w:val="none" w:sz="0" w:space="0" w:color="auto"/>
                <w:right w:val="none" w:sz="0" w:space="0" w:color="auto"/>
              </w:divBdr>
            </w:div>
            <w:div w:id="1752267972">
              <w:marLeft w:val="0"/>
              <w:marRight w:val="0"/>
              <w:marTop w:val="0"/>
              <w:marBottom w:val="0"/>
              <w:divBdr>
                <w:top w:val="none" w:sz="0" w:space="0" w:color="auto"/>
                <w:left w:val="none" w:sz="0" w:space="0" w:color="auto"/>
                <w:bottom w:val="none" w:sz="0" w:space="0" w:color="auto"/>
                <w:right w:val="none" w:sz="0" w:space="0" w:color="auto"/>
              </w:divBdr>
            </w:div>
          </w:divsChild>
        </w:div>
        <w:div w:id="68237051">
          <w:marLeft w:val="0"/>
          <w:marRight w:val="0"/>
          <w:marTop w:val="0"/>
          <w:marBottom w:val="0"/>
          <w:divBdr>
            <w:top w:val="none" w:sz="0" w:space="0" w:color="auto"/>
            <w:left w:val="none" w:sz="0" w:space="0" w:color="auto"/>
            <w:bottom w:val="none" w:sz="0" w:space="0" w:color="auto"/>
            <w:right w:val="none" w:sz="0" w:space="0" w:color="auto"/>
          </w:divBdr>
          <w:divsChild>
            <w:div w:id="94061911">
              <w:marLeft w:val="0"/>
              <w:marRight w:val="0"/>
              <w:marTop w:val="0"/>
              <w:marBottom w:val="0"/>
              <w:divBdr>
                <w:top w:val="none" w:sz="0" w:space="0" w:color="auto"/>
                <w:left w:val="none" w:sz="0" w:space="0" w:color="auto"/>
                <w:bottom w:val="none" w:sz="0" w:space="0" w:color="auto"/>
                <w:right w:val="none" w:sz="0" w:space="0" w:color="auto"/>
              </w:divBdr>
            </w:div>
            <w:div w:id="654795269">
              <w:marLeft w:val="0"/>
              <w:marRight w:val="0"/>
              <w:marTop w:val="0"/>
              <w:marBottom w:val="0"/>
              <w:divBdr>
                <w:top w:val="none" w:sz="0" w:space="0" w:color="auto"/>
                <w:left w:val="none" w:sz="0" w:space="0" w:color="auto"/>
                <w:bottom w:val="none" w:sz="0" w:space="0" w:color="auto"/>
                <w:right w:val="none" w:sz="0" w:space="0" w:color="auto"/>
              </w:divBdr>
            </w:div>
            <w:div w:id="1041443419">
              <w:marLeft w:val="0"/>
              <w:marRight w:val="0"/>
              <w:marTop w:val="0"/>
              <w:marBottom w:val="0"/>
              <w:divBdr>
                <w:top w:val="none" w:sz="0" w:space="0" w:color="auto"/>
                <w:left w:val="none" w:sz="0" w:space="0" w:color="auto"/>
                <w:bottom w:val="none" w:sz="0" w:space="0" w:color="auto"/>
                <w:right w:val="none" w:sz="0" w:space="0" w:color="auto"/>
              </w:divBdr>
            </w:div>
            <w:div w:id="1254313054">
              <w:marLeft w:val="0"/>
              <w:marRight w:val="0"/>
              <w:marTop w:val="0"/>
              <w:marBottom w:val="0"/>
              <w:divBdr>
                <w:top w:val="none" w:sz="0" w:space="0" w:color="auto"/>
                <w:left w:val="none" w:sz="0" w:space="0" w:color="auto"/>
                <w:bottom w:val="none" w:sz="0" w:space="0" w:color="auto"/>
                <w:right w:val="none" w:sz="0" w:space="0" w:color="auto"/>
              </w:divBdr>
            </w:div>
            <w:div w:id="1331520581">
              <w:marLeft w:val="0"/>
              <w:marRight w:val="0"/>
              <w:marTop w:val="0"/>
              <w:marBottom w:val="0"/>
              <w:divBdr>
                <w:top w:val="none" w:sz="0" w:space="0" w:color="auto"/>
                <w:left w:val="none" w:sz="0" w:space="0" w:color="auto"/>
                <w:bottom w:val="none" w:sz="0" w:space="0" w:color="auto"/>
                <w:right w:val="none" w:sz="0" w:space="0" w:color="auto"/>
              </w:divBdr>
            </w:div>
          </w:divsChild>
        </w:div>
        <w:div w:id="193154234">
          <w:marLeft w:val="0"/>
          <w:marRight w:val="0"/>
          <w:marTop w:val="0"/>
          <w:marBottom w:val="0"/>
          <w:divBdr>
            <w:top w:val="none" w:sz="0" w:space="0" w:color="auto"/>
            <w:left w:val="none" w:sz="0" w:space="0" w:color="auto"/>
            <w:bottom w:val="none" w:sz="0" w:space="0" w:color="auto"/>
            <w:right w:val="none" w:sz="0" w:space="0" w:color="auto"/>
          </w:divBdr>
        </w:div>
        <w:div w:id="583488340">
          <w:marLeft w:val="0"/>
          <w:marRight w:val="0"/>
          <w:marTop w:val="0"/>
          <w:marBottom w:val="0"/>
          <w:divBdr>
            <w:top w:val="none" w:sz="0" w:space="0" w:color="auto"/>
            <w:left w:val="none" w:sz="0" w:space="0" w:color="auto"/>
            <w:bottom w:val="none" w:sz="0" w:space="0" w:color="auto"/>
            <w:right w:val="none" w:sz="0" w:space="0" w:color="auto"/>
          </w:divBdr>
        </w:div>
        <w:div w:id="1376852880">
          <w:marLeft w:val="0"/>
          <w:marRight w:val="0"/>
          <w:marTop w:val="0"/>
          <w:marBottom w:val="0"/>
          <w:divBdr>
            <w:top w:val="none" w:sz="0" w:space="0" w:color="auto"/>
            <w:left w:val="none" w:sz="0" w:space="0" w:color="auto"/>
            <w:bottom w:val="none" w:sz="0" w:space="0" w:color="auto"/>
            <w:right w:val="none" w:sz="0" w:space="0" w:color="auto"/>
          </w:divBdr>
        </w:div>
        <w:div w:id="1583180367">
          <w:marLeft w:val="0"/>
          <w:marRight w:val="0"/>
          <w:marTop w:val="0"/>
          <w:marBottom w:val="0"/>
          <w:divBdr>
            <w:top w:val="none" w:sz="0" w:space="0" w:color="auto"/>
            <w:left w:val="none" w:sz="0" w:space="0" w:color="auto"/>
            <w:bottom w:val="none" w:sz="0" w:space="0" w:color="auto"/>
            <w:right w:val="none" w:sz="0" w:space="0" w:color="auto"/>
          </w:divBdr>
        </w:div>
        <w:div w:id="1612587586">
          <w:marLeft w:val="0"/>
          <w:marRight w:val="0"/>
          <w:marTop w:val="0"/>
          <w:marBottom w:val="0"/>
          <w:divBdr>
            <w:top w:val="none" w:sz="0" w:space="0" w:color="auto"/>
            <w:left w:val="none" w:sz="0" w:space="0" w:color="auto"/>
            <w:bottom w:val="none" w:sz="0" w:space="0" w:color="auto"/>
            <w:right w:val="none" w:sz="0" w:space="0" w:color="auto"/>
          </w:divBdr>
          <w:divsChild>
            <w:div w:id="705376629">
              <w:marLeft w:val="0"/>
              <w:marRight w:val="0"/>
              <w:marTop w:val="0"/>
              <w:marBottom w:val="0"/>
              <w:divBdr>
                <w:top w:val="none" w:sz="0" w:space="0" w:color="auto"/>
                <w:left w:val="none" w:sz="0" w:space="0" w:color="auto"/>
                <w:bottom w:val="none" w:sz="0" w:space="0" w:color="auto"/>
                <w:right w:val="none" w:sz="0" w:space="0" w:color="auto"/>
              </w:divBdr>
            </w:div>
            <w:div w:id="924455599">
              <w:marLeft w:val="0"/>
              <w:marRight w:val="0"/>
              <w:marTop w:val="0"/>
              <w:marBottom w:val="0"/>
              <w:divBdr>
                <w:top w:val="none" w:sz="0" w:space="0" w:color="auto"/>
                <w:left w:val="none" w:sz="0" w:space="0" w:color="auto"/>
                <w:bottom w:val="none" w:sz="0" w:space="0" w:color="auto"/>
                <w:right w:val="none" w:sz="0" w:space="0" w:color="auto"/>
              </w:divBdr>
            </w:div>
            <w:div w:id="1009990078">
              <w:marLeft w:val="0"/>
              <w:marRight w:val="0"/>
              <w:marTop w:val="0"/>
              <w:marBottom w:val="0"/>
              <w:divBdr>
                <w:top w:val="none" w:sz="0" w:space="0" w:color="auto"/>
                <w:left w:val="none" w:sz="0" w:space="0" w:color="auto"/>
                <w:bottom w:val="none" w:sz="0" w:space="0" w:color="auto"/>
                <w:right w:val="none" w:sz="0" w:space="0" w:color="auto"/>
              </w:divBdr>
            </w:div>
            <w:div w:id="1500539684">
              <w:marLeft w:val="0"/>
              <w:marRight w:val="0"/>
              <w:marTop w:val="0"/>
              <w:marBottom w:val="0"/>
              <w:divBdr>
                <w:top w:val="none" w:sz="0" w:space="0" w:color="auto"/>
                <w:left w:val="none" w:sz="0" w:space="0" w:color="auto"/>
                <w:bottom w:val="none" w:sz="0" w:space="0" w:color="auto"/>
                <w:right w:val="none" w:sz="0" w:space="0" w:color="auto"/>
              </w:divBdr>
            </w:div>
            <w:div w:id="1606571803">
              <w:marLeft w:val="0"/>
              <w:marRight w:val="0"/>
              <w:marTop w:val="0"/>
              <w:marBottom w:val="0"/>
              <w:divBdr>
                <w:top w:val="none" w:sz="0" w:space="0" w:color="auto"/>
                <w:left w:val="none" w:sz="0" w:space="0" w:color="auto"/>
                <w:bottom w:val="none" w:sz="0" w:space="0" w:color="auto"/>
                <w:right w:val="none" w:sz="0" w:space="0" w:color="auto"/>
              </w:divBdr>
            </w:div>
          </w:divsChild>
        </w:div>
        <w:div w:id="1778986384">
          <w:marLeft w:val="0"/>
          <w:marRight w:val="0"/>
          <w:marTop w:val="0"/>
          <w:marBottom w:val="0"/>
          <w:divBdr>
            <w:top w:val="none" w:sz="0" w:space="0" w:color="auto"/>
            <w:left w:val="none" w:sz="0" w:space="0" w:color="auto"/>
            <w:bottom w:val="none" w:sz="0" w:space="0" w:color="auto"/>
            <w:right w:val="none" w:sz="0" w:space="0" w:color="auto"/>
          </w:divBdr>
        </w:div>
      </w:divsChild>
    </w:div>
    <w:div w:id="304361633">
      <w:bodyDiv w:val="1"/>
      <w:marLeft w:val="0"/>
      <w:marRight w:val="0"/>
      <w:marTop w:val="0"/>
      <w:marBottom w:val="0"/>
      <w:divBdr>
        <w:top w:val="none" w:sz="0" w:space="0" w:color="auto"/>
        <w:left w:val="none" w:sz="0" w:space="0" w:color="auto"/>
        <w:bottom w:val="none" w:sz="0" w:space="0" w:color="auto"/>
        <w:right w:val="none" w:sz="0" w:space="0" w:color="auto"/>
      </w:divBdr>
    </w:div>
    <w:div w:id="305166098">
      <w:bodyDiv w:val="1"/>
      <w:marLeft w:val="0"/>
      <w:marRight w:val="0"/>
      <w:marTop w:val="0"/>
      <w:marBottom w:val="0"/>
      <w:divBdr>
        <w:top w:val="none" w:sz="0" w:space="0" w:color="auto"/>
        <w:left w:val="none" w:sz="0" w:space="0" w:color="auto"/>
        <w:bottom w:val="none" w:sz="0" w:space="0" w:color="auto"/>
        <w:right w:val="none" w:sz="0" w:space="0" w:color="auto"/>
      </w:divBdr>
    </w:div>
    <w:div w:id="309755341">
      <w:bodyDiv w:val="1"/>
      <w:marLeft w:val="0"/>
      <w:marRight w:val="0"/>
      <w:marTop w:val="0"/>
      <w:marBottom w:val="0"/>
      <w:divBdr>
        <w:top w:val="none" w:sz="0" w:space="0" w:color="auto"/>
        <w:left w:val="none" w:sz="0" w:space="0" w:color="auto"/>
        <w:bottom w:val="none" w:sz="0" w:space="0" w:color="auto"/>
        <w:right w:val="none" w:sz="0" w:space="0" w:color="auto"/>
      </w:divBdr>
    </w:div>
    <w:div w:id="314575124">
      <w:bodyDiv w:val="1"/>
      <w:marLeft w:val="0"/>
      <w:marRight w:val="0"/>
      <w:marTop w:val="0"/>
      <w:marBottom w:val="0"/>
      <w:divBdr>
        <w:top w:val="none" w:sz="0" w:space="0" w:color="auto"/>
        <w:left w:val="none" w:sz="0" w:space="0" w:color="auto"/>
        <w:bottom w:val="none" w:sz="0" w:space="0" w:color="auto"/>
        <w:right w:val="none" w:sz="0" w:space="0" w:color="auto"/>
      </w:divBdr>
    </w:div>
    <w:div w:id="322509802">
      <w:bodyDiv w:val="1"/>
      <w:marLeft w:val="0"/>
      <w:marRight w:val="0"/>
      <w:marTop w:val="0"/>
      <w:marBottom w:val="0"/>
      <w:divBdr>
        <w:top w:val="none" w:sz="0" w:space="0" w:color="auto"/>
        <w:left w:val="none" w:sz="0" w:space="0" w:color="auto"/>
        <w:bottom w:val="none" w:sz="0" w:space="0" w:color="auto"/>
        <w:right w:val="none" w:sz="0" w:space="0" w:color="auto"/>
      </w:divBdr>
    </w:div>
    <w:div w:id="325791884">
      <w:bodyDiv w:val="1"/>
      <w:marLeft w:val="0"/>
      <w:marRight w:val="0"/>
      <w:marTop w:val="0"/>
      <w:marBottom w:val="0"/>
      <w:divBdr>
        <w:top w:val="none" w:sz="0" w:space="0" w:color="auto"/>
        <w:left w:val="none" w:sz="0" w:space="0" w:color="auto"/>
        <w:bottom w:val="none" w:sz="0" w:space="0" w:color="auto"/>
        <w:right w:val="none" w:sz="0" w:space="0" w:color="auto"/>
      </w:divBdr>
    </w:div>
    <w:div w:id="328097817">
      <w:bodyDiv w:val="1"/>
      <w:marLeft w:val="0"/>
      <w:marRight w:val="0"/>
      <w:marTop w:val="0"/>
      <w:marBottom w:val="0"/>
      <w:divBdr>
        <w:top w:val="none" w:sz="0" w:space="0" w:color="auto"/>
        <w:left w:val="none" w:sz="0" w:space="0" w:color="auto"/>
        <w:bottom w:val="none" w:sz="0" w:space="0" w:color="auto"/>
        <w:right w:val="none" w:sz="0" w:space="0" w:color="auto"/>
      </w:divBdr>
    </w:div>
    <w:div w:id="337389810">
      <w:bodyDiv w:val="1"/>
      <w:marLeft w:val="0"/>
      <w:marRight w:val="0"/>
      <w:marTop w:val="0"/>
      <w:marBottom w:val="0"/>
      <w:divBdr>
        <w:top w:val="none" w:sz="0" w:space="0" w:color="auto"/>
        <w:left w:val="none" w:sz="0" w:space="0" w:color="auto"/>
        <w:bottom w:val="none" w:sz="0" w:space="0" w:color="auto"/>
        <w:right w:val="none" w:sz="0" w:space="0" w:color="auto"/>
      </w:divBdr>
    </w:div>
    <w:div w:id="347096540">
      <w:bodyDiv w:val="1"/>
      <w:marLeft w:val="0"/>
      <w:marRight w:val="0"/>
      <w:marTop w:val="0"/>
      <w:marBottom w:val="0"/>
      <w:divBdr>
        <w:top w:val="none" w:sz="0" w:space="0" w:color="auto"/>
        <w:left w:val="none" w:sz="0" w:space="0" w:color="auto"/>
        <w:bottom w:val="none" w:sz="0" w:space="0" w:color="auto"/>
        <w:right w:val="none" w:sz="0" w:space="0" w:color="auto"/>
      </w:divBdr>
    </w:div>
    <w:div w:id="353384102">
      <w:bodyDiv w:val="1"/>
      <w:marLeft w:val="0"/>
      <w:marRight w:val="0"/>
      <w:marTop w:val="0"/>
      <w:marBottom w:val="0"/>
      <w:divBdr>
        <w:top w:val="none" w:sz="0" w:space="0" w:color="auto"/>
        <w:left w:val="none" w:sz="0" w:space="0" w:color="auto"/>
        <w:bottom w:val="none" w:sz="0" w:space="0" w:color="auto"/>
        <w:right w:val="none" w:sz="0" w:space="0" w:color="auto"/>
      </w:divBdr>
    </w:div>
    <w:div w:id="353507299">
      <w:bodyDiv w:val="1"/>
      <w:marLeft w:val="0"/>
      <w:marRight w:val="0"/>
      <w:marTop w:val="0"/>
      <w:marBottom w:val="0"/>
      <w:divBdr>
        <w:top w:val="none" w:sz="0" w:space="0" w:color="auto"/>
        <w:left w:val="none" w:sz="0" w:space="0" w:color="auto"/>
        <w:bottom w:val="none" w:sz="0" w:space="0" w:color="auto"/>
        <w:right w:val="none" w:sz="0" w:space="0" w:color="auto"/>
      </w:divBdr>
      <w:divsChild>
        <w:div w:id="102848338">
          <w:marLeft w:val="0"/>
          <w:marRight w:val="0"/>
          <w:marTop w:val="0"/>
          <w:marBottom w:val="0"/>
          <w:divBdr>
            <w:top w:val="none" w:sz="0" w:space="0" w:color="auto"/>
            <w:left w:val="none" w:sz="0" w:space="0" w:color="auto"/>
            <w:bottom w:val="none" w:sz="0" w:space="0" w:color="auto"/>
            <w:right w:val="none" w:sz="0" w:space="0" w:color="auto"/>
          </w:divBdr>
          <w:divsChild>
            <w:div w:id="1583372604">
              <w:marLeft w:val="0"/>
              <w:marRight w:val="0"/>
              <w:marTop w:val="0"/>
              <w:marBottom w:val="0"/>
              <w:divBdr>
                <w:top w:val="none" w:sz="0" w:space="0" w:color="auto"/>
                <w:left w:val="none" w:sz="0" w:space="0" w:color="auto"/>
                <w:bottom w:val="none" w:sz="0" w:space="0" w:color="auto"/>
                <w:right w:val="none" w:sz="0" w:space="0" w:color="auto"/>
              </w:divBdr>
              <w:divsChild>
                <w:div w:id="7243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56338">
      <w:bodyDiv w:val="1"/>
      <w:marLeft w:val="0"/>
      <w:marRight w:val="0"/>
      <w:marTop w:val="0"/>
      <w:marBottom w:val="0"/>
      <w:divBdr>
        <w:top w:val="none" w:sz="0" w:space="0" w:color="auto"/>
        <w:left w:val="none" w:sz="0" w:space="0" w:color="auto"/>
        <w:bottom w:val="none" w:sz="0" w:space="0" w:color="auto"/>
        <w:right w:val="none" w:sz="0" w:space="0" w:color="auto"/>
      </w:divBdr>
      <w:divsChild>
        <w:div w:id="949357683">
          <w:marLeft w:val="0"/>
          <w:marRight w:val="0"/>
          <w:marTop w:val="0"/>
          <w:marBottom w:val="0"/>
          <w:divBdr>
            <w:top w:val="none" w:sz="0" w:space="0" w:color="auto"/>
            <w:left w:val="none" w:sz="0" w:space="0" w:color="auto"/>
            <w:bottom w:val="none" w:sz="0" w:space="0" w:color="auto"/>
            <w:right w:val="none" w:sz="0" w:space="0" w:color="auto"/>
          </w:divBdr>
          <w:divsChild>
            <w:div w:id="1685784154">
              <w:marLeft w:val="0"/>
              <w:marRight w:val="0"/>
              <w:marTop w:val="0"/>
              <w:marBottom w:val="0"/>
              <w:divBdr>
                <w:top w:val="none" w:sz="0" w:space="0" w:color="auto"/>
                <w:left w:val="none" w:sz="0" w:space="0" w:color="auto"/>
                <w:bottom w:val="none" w:sz="0" w:space="0" w:color="auto"/>
                <w:right w:val="none" w:sz="0" w:space="0" w:color="auto"/>
              </w:divBdr>
              <w:divsChild>
                <w:div w:id="1602031806">
                  <w:marLeft w:val="0"/>
                  <w:marRight w:val="0"/>
                  <w:marTop w:val="0"/>
                  <w:marBottom w:val="0"/>
                  <w:divBdr>
                    <w:top w:val="none" w:sz="0" w:space="0" w:color="auto"/>
                    <w:left w:val="none" w:sz="0" w:space="0" w:color="auto"/>
                    <w:bottom w:val="none" w:sz="0" w:space="0" w:color="auto"/>
                    <w:right w:val="none" w:sz="0" w:space="0" w:color="auto"/>
                  </w:divBdr>
                  <w:divsChild>
                    <w:div w:id="16945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15273">
      <w:bodyDiv w:val="1"/>
      <w:marLeft w:val="0"/>
      <w:marRight w:val="0"/>
      <w:marTop w:val="0"/>
      <w:marBottom w:val="0"/>
      <w:divBdr>
        <w:top w:val="none" w:sz="0" w:space="0" w:color="auto"/>
        <w:left w:val="none" w:sz="0" w:space="0" w:color="auto"/>
        <w:bottom w:val="none" w:sz="0" w:space="0" w:color="auto"/>
        <w:right w:val="none" w:sz="0" w:space="0" w:color="auto"/>
      </w:divBdr>
    </w:div>
    <w:div w:id="357464584">
      <w:bodyDiv w:val="1"/>
      <w:marLeft w:val="0"/>
      <w:marRight w:val="0"/>
      <w:marTop w:val="0"/>
      <w:marBottom w:val="0"/>
      <w:divBdr>
        <w:top w:val="none" w:sz="0" w:space="0" w:color="auto"/>
        <w:left w:val="none" w:sz="0" w:space="0" w:color="auto"/>
        <w:bottom w:val="none" w:sz="0" w:space="0" w:color="auto"/>
        <w:right w:val="none" w:sz="0" w:space="0" w:color="auto"/>
      </w:divBdr>
      <w:divsChild>
        <w:div w:id="877204599">
          <w:marLeft w:val="0"/>
          <w:marRight w:val="0"/>
          <w:marTop w:val="0"/>
          <w:marBottom w:val="0"/>
          <w:divBdr>
            <w:top w:val="none" w:sz="0" w:space="0" w:color="auto"/>
            <w:left w:val="none" w:sz="0" w:space="0" w:color="auto"/>
            <w:bottom w:val="none" w:sz="0" w:space="0" w:color="auto"/>
            <w:right w:val="none" w:sz="0" w:space="0" w:color="auto"/>
          </w:divBdr>
        </w:div>
      </w:divsChild>
    </w:div>
    <w:div w:id="359864228">
      <w:bodyDiv w:val="1"/>
      <w:marLeft w:val="0"/>
      <w:marRight w:val="0"/>
      <w:marTop w:val="0"/>
      <w:marBottom w:val="0"/>
      <w:divBdr>
        <w:top w:val="none" w:sz="0" w:space="0" w:color="auto"/>
        <w:left w:val="none" w:sz="0" w:space="0" w:color="auto"/>
        <w:bottom w:val="none" w:sz="0" w:space="0" w:color="auto"/>
        <w:right w:val="none" w:sz="0" w:space="0" w:color="auto"/>
      </w:divBdr>
    </w:div>
    <w:div w:id="374042292">
      <w:bodyDiv w:val="1"/>
      <w:marLeft w:val="0"/>
      <w:marRight w:val="0"/>
      <w:marTop w:val="0"/>
      <w:marBottom w:val="0"/>
      <w:divBdr>
        <w:top w:val="none" w:sz="0" w:space="0" w:color="auto"/>
        <w:left w:val="none" w:sz="0" w:space="0" w:color="auto"/>
        <w:bottom w:val="none" w:sz="0" w:space="0" w:color="auto"/>
        <w:right w:val="none" w:sz="0" w:space="0" w:color="auto"/>
      </w:divBdr>
    </w:div>
    <w:div w:id="376316209">
      <w:bodyDiv w:val="1"/>
      <w:marLeft w:val="0"/>
      <w:marRight w:val="0"/>
      <w:marTop w:val="0"/>
      <w:marBottom w:val="0"/>
      <w:divBdr>
        <w:top w:val="none" w:sz="0" w:space="0" w:color="auto"/>
        <w:left w:val="none" w:sz="0" w:space="0" w:color="auto"/>
        <w:bottom w:val="none" w:sz="0" w:space="0" w:color="auto"/>
        <w:right w:val="none" w:sz="0" w:space="0" w:color="auto"/>
      </w:divBdr>
    </w:div>
    <w:div w:id="378942759">
      <w:bodyDiv w:val="1"/>
      <w:marLeft w:val="0"/>
      <w:marRight w:val="0"/>
      <w:marTop w:val="0"/>
      <w:marBottom w:val="0"/>
      <w:divBdr>
        <w:top w:val="none" w:sz="0" w:space="0" w:color="auto"/>
        <w:left w:val="none" w:sz="0" w:space="0" w:color="auto"/>
        <w:bottom w:val="none" w:sz="0" w:space="0" w:color="auto"/>
        <w:right w:val="none" w:sz="0" w:space="0" w:color="auto"/>
      </w:divBdr>
      <w:divsChild>
        <w:div w:id="902103166">
          <w:marLeft w:val="0"/>
          <w:marRight w:val="0"/>
          <w:marTop w:val="0"/>
          <w:marBottom w:val="0"/>
          <w:divBdr>
            <w:top w:val="none" w:sz="0" w:space="0" w:color="auto"/>
            <w:left w:val="none" w:sz="0" w:space="0" w:color="auto"/>
            <w:bottom w:val="none" w:sz="0" w:space="0" w:color="auto"/>
            <w:right w:val="none" w:sz="0" w:space="0" w:color="auto"/>
          </w:divBdr>
        </w:div>
        <w:div w:id="1458185757">
          <w:marLeft w:val="0"/>
          <w:marRight w:val="0"/>
          <w:marTop w:val="0"/>
          <w:marBottom w:val="0"/>
          <w:divBdr>
            <w:top w:val="none" w:sz="0" w:space="0" w:color="auto"/>
            <w:left w:val="none" w:sz="0" w:space="0" w:color="auto"/>
            <w:bottom w:val="none" w:sz="0" w:space="0" w:color="auto"/>
            <w:right w:val="none" w:sz="0" w:space="0" w:color="auto"/>
          </w:divBdr>
        </w:div>
        <w:div w:id="1553421532">
          <w:marLeft w:val="0"/>
          <w:marRight w:val="0"/>
          <w:marTop w:val="0"/>
          <w:marBottom w:val="0"/>
          <w:divBdr>
            <w:top w:val="none" w:sz="0" w:space="0" w:color="auto"/>
            <w:left w:val="none" w:sz="0" w:space="0" w:color="auto"/>
            <w:bottom w:val="none" w:sz="0" w:space="0" w:color="auto"/>
            <w:right w:val="none" w:sz="0" w:space="0" w:color="auto"/>
          </w:divBdr>
        </w:div>
        <w:div w:id="1622882800">
          <w:marLeft w:val="0"/>
          <w:marRight w:val="0"/>
          <w:marTop w:val="0"/>
          <w:marBottom w:val="0"/>
          <w:divBdr>
            <w:top w:val="none" w:sz="0" w:space="0" w:color="auto"/>
            <w:left w:val="none" w:sz="0" w:space="0" w:color="auto"/>
            <w:bottom w:val="none" w:sz="0" w:space="0" w:color="auto"/>
            <w:right w:val="none" w:sz="0" w:space="0" w:color="auto"/>
          </w:divBdr>
        </w:div>
      </w:divsChild>
    </w:div>
    <w:div w:id="379789073">
      <w:bodyDiv w:val="1"/>
      <w:marLeft w:val="0"/>
      <w:marRight w:val="0"/>
      <w:marTop w:val="0"/>
      <w:marBottom w:val="0"/>
      <w:divBdr>
        <w:top w:val="none" w:sz="0" w:space="0" w:color="auto"/>
        <w:left w:val="none" w:sz="0" w:space="0" w:color="auto"/>
        <w:bottom w:val="none" w:sz="0" w:space="0" w:color="auto"/>
        <w:right w:val="none" w:sz="0" w:space="0" w:color="auto"/>
      </w:divBdr>
    </w:div>
    <w:div w:id="382873963">
      <w:bodyDiv w:val="1"/>
      <w:marLeft w:val="0"/>
      <w:marRight w:val="0"/>
      <w:marTop w:val="0"/>
      <w:marBottom w:val="0"/>
      <w:divBdr>
        <w:top w:val="none" w:sz="0" w:space="0" w:color="auto"/>
        <w:left w:val="none" w:sz="0" w:space="0" w:color="auto"/>
        <w:bottom w:val="none" w:sz="0" w:space="0" w:color="auto"/>
        <w:right w:val="none" w:sz="0" w:space="0" w:color="auto"/>
      </w:divBdr>
    </w:div>
    <w:div w:id="393546980">
      <w:bodyDiv w:val="1"/>
      <w:marLeft w:val="0"/>
      <w:marRight w:val="0"/>
      <w:marTop w:val="0"/>
      <w:marBottom w:val="0"/>
      <w:divBdr>
        <w:top w:val="none" w:sz="0" w:space="0" w:color="auto"/>
        <w:left w:val="none" w:sz="0" w:space="0" w:color="auto"/>
        <w:bottom w:val="none" w:sz="0" w:space="0" w:color="auto"/>
        <w:right w:val="none" w:sz="0" w:space="0" w:color="auto"/>
      </w:divBdr>
    </w:div>
    <w:div w:id="406465268">
      <w:bodyDiv w:val="1"/>
      <w:marLeft w:val="0"/>
      <w:marRight w:val="0"/>
      <w:marTop w:val="0"/>
      <w:marBottom w:val="0"/>
      <w:divBdr>
        <w:top w:val="none" w:sz="0" w:space="0" w:color="auto"/>
        <w:left w:val="none" w:sz="0" w:space="0" w:color="auto"/>
        <w:bottom w:val="none" w:sz="0" w:space="0" w:color="auto"/>
        <w:right w:val="none" w:sz="0" w:space="0" w:color="auto"/>
      </w:divBdr>
    </w:div>
    <w:div w:id="412623318">
      <w:bodyDiv w:val="1"/>
      <w:marLeft w:val="0"/>
      <w:marRight w:val="0"/>
      <w:marTop w:val="0"/>
      <w:marBottom w:val="0"/>
      <w:divBdr>
        <w:top w:val="none" w:sz="0" w:space="0" w:color="auto"/>
        <w:left w:val="none" w:sz="0" w:space="0" w:color="auto"/>
        <w:bottom w:val="none" w:sz="0" w:space="0" w:color="auto"/>
        <w:right w:val="none" w:sz="0" w:space="0" w:color="auto"/>
      </w:divBdr>
      <w:divsChild>
        <w:div w:id="456484448">
          <w:marLeft w:val="0"/>
          <w:marRight w:val="0"/>
          <w:marTop w:val="0"/>
          <w:marBottom w:val="0"/>
          <w:divBdr>
            <w:top w:val="none" w:sz="0" w:space="0" w:color="auto"/>
            <w:left w:val="none" w:sz="0" w:space="0" w:color="auto"/>
            <w:bottom w:val="none" w:sz="0" w:space="0" w:color="auto"/>
            <w:right w:val="none" w:sz="0" w:space="0" w:color="auto"/>
          </w:divBdr>
          <w:divsChild>
            <w:div w:id="2146391951">
              <w:marLeft w:val="0"/>
              <w:marRight w:val="0"/>
              <w:marTop w:val="0"/>
              <w:marBottom w:val="0"/>
              <w:divBdr>
                <w:top w:val="none" w:sz="0" w:space="0" w:color="auto"/>
                <w:left w:val="none" w:sz="0" w:space="0" w:color="auto"/>
                <w:bottom w:val="none" w:sz="0" w:space="0" w:color="auto"/>
                <w:right w:val="none" w:sz="0" w:space="0" w:color="auto"/>
              </w:divBdr>
              <w:divsChild>
                <w:div w:id="10750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812788">
      <w:bodyDiv w:val="1"/>
      <w:marLeft w:val="0"/>
      <w:marRight w:val="0"/>
      <w:marTop w:val="0"/>
      <w:marBottom w:val="0"/>
      <w:divBdr>
        <w:top w:val="none" w:sz="0" w:space="0" w:color="auto"/>
        <w:left w:val="none" w:sz="0" w:space="0" w:color="auto"/>
        <w:bottom w:val="none" w:sz="0" w:space="0" w:color="auto"/>
        <w:right w:val="none" w:sz="0" w:space="0" w:color="auto"/>
      </w:divBdr>
    </w:div>
    <w:div w:id="469707387">
      <w:bodyDiv w:val="1"/>
      <w:marLeft w:val="0"/>
      <w:marRight w:val="0"/>
      <w:marTop w:val="0"/>
      <w:marBottom w:val="0"/>
      <w:divBdr>
        <w:top w:val="none" w:sz="0" w:space="0" w:color="auto"/>
        <w:left w:val="none" w:sz="0" w:space="0" w:color="auto"/>
        <w:bottom w:val="none" w:sz="0" w:space="0" w:color="auto"/>
        <w:right w:val="none" w:sz="0" w:space="0" w:color="auto"/>
      </w:divBdr>
      <w:divsChild>
        <w:div w:id="426080435">
          <w:marLeft w:val="0"/>
          <w:marRight w:val="0"/>
          <w:marTop w:val="0"/>
          <w:marBottom w:val="0"/>
          <w:divBdr>
            <w:top w:val="none" w:sz="0" w:space="0" w:color="auto"/>
            <w:left w:val="none" w:sz="0" w:space="0" w:color="auto"/>
            <w:bottom w:val="none" w:sz="0" w:space="0" w:color="auto"/>
            <w:right w:val="none" w:sz="0" w:space="0" w:color="auto"/>
          </w:divBdr>
          <w:divsChild>
            <w:div w:id="271061346">
              <w:marLeft w:val="0"/>
              <w:marRight w:val="0"/>
              <w:marTop w:val="0"/>
              <w:marBottom w:val="0"/>
              <w:divBdr>
                <w:top w:val="none" w:sz="0" w:space="0" w:color="auto"/>
                <w:left w:val="none" w:sz="0" w:space="0" w:color="auto"/>
                <w:bottom w:val="none" w:sz="0" w:space="0" w:color="auto"/>
                <w:right w:val="none" w:sz="0" w:space="0" w:color="auto"/>
              </w:divBdr>
              <w:divsChild>
                <w:div w:id="683245122">
                  <w:marLeft w:val="0"/>
                  <w:marRight w:val="0"/>
                  <w:marTop w:val="0"/>
                  <w:marBottom w:val="0"/>
                  <w:divBdr>
                    <w:top w:val="none" w:sz="0" w:space="0" w:color="auto"/>
                    <w:left w:val="none" w:sz="0" w:space="0" w:color="auto"/>
                    <w:bottom w:val="none" w:sz="0" w:space="0" w:color="auto"/>
                    <w:right w:val="none" w:sz="0" w:space="0" w:color="auto"/>
                  </w:divBdr>
                </w:div>
                <w:div w:id="920601349">
                  <w:marLeft w:val="0"/>
                  <w:marRight w:val="0"/>
                  <w:marTop w:val="0"/>
                  <w:marBottom w:val="0"/>
                  <w:divBdr>
                    <w:top w:val="none" w:sz="0" w:space="0" w:color="auto"/>
                    <w:left w:val="none" w:sz="0" w:space="0" w:color="auto"/>
                    <w:bottom w:val="none" w:sz="0" w:space="0" w:color="auto"/>
                    <w:right w:val="none" w:sz="0" w:space="0" w:color="auto"/>
                  </w:divBdr>
                </w:div>
                <w:div w:id="1246962764">
                  <w:marLeft w:val="0"/>
                  <w:marRight w:val="0"/>
                  <w:marTop w:val="0"/>
                  <w:marBottom w:val="0"/>
                  <w:divBdr>
                    <w:top w:val="none" w:sz="0" w:space="0" w:color="auto"/>
                    <w:left w:val="none" w:sz="0" w:space="0" w:color="auto"/>
                    <w:bottom w:val="none" w:sz="0" w:space="0" w:color="auto"/>
                    <w:right w:val="none" w:sz="0" w:space="0" w:color="auto"/>
                  </w:divBdr>
                </w:div>
              </w:divsChild>
            </w:div>
            <w:div w:id="397436242">
              <w:marLeft w:val="0"/>
              <w:marRight w:val="0"/>
              <w:marTop w:val="0"/>
              <w:marBottom w:val="0"/>
              <w:divBdr>
                <w:top w:val="none" w:sz="0" w:space="0" w:color="auto"/>
                <w:left w:val="none" w:sz="0" w:space="0" w:color="auto"/>
                <w:bottom w:val="none" w:sz="0" w:space="0" w:color="auto"/>
                <w:right w:val="none" w:sz="0" w:space="0" w:color="auto"/>
              </w:divBdr>
              <w:divsChild>
                <w:div w:id="910236257">
                  <w:marLeft w:val="0"/>
                  <w:marRight w:val="0"/>
                  <w:marTop w:val="0"/>
                  <w:marBottom w:val="0"/>
                  <w:divBdr>
                    <w:top w:val="none" w:sz="0" w:space="0" w:color="auto"/>
                    <w:left w:val="none" w:sz="0" w:space="0" w:color="auto"/>
                    <w:bottom w:val="none" w:sz="0" w:space="0" w:color="auto"/>
                    <w:right w:val="none" w:sz="0" w:space="0" w:color="auto"/>
                  </w:divBdr>
                </w:div>
              </w:divsChild>
            </w:div>
            <w:div w:id="583951655">
              <w:marLeft w:val="0"/>
              <w:marRight w:val="0"/>
              <w:marTop w:val="0"/>
              <w:marBottom w:val="0"/>
              <w:divBdr>
                <w:top w:val="none" w:sz="0" w:space="0" w:color="auto"/>
                <w:left w:val="none" w:sz="0" w:space="0" w:color="auto"/>
                <w:bottom w:val="none" w:sz="0" w:space="0" w:color="auto"/>
                <w:right w:val="none" w:sz="0" w:space="0" w:color="auto"/>
              </w:divBdr>
              <w:divsChild>
                <w:div w:id="808862902">
                  <w:marLeft w:val="0"/>
                  <w:marRight w:val="0"/>
                  <w:marTop w:val="0"/>
                  <w:marBottom w:val="0"/>
                  <w:divBdr>
                    <w:top w:val="none" w:sz="0" w:space="0" w:color="auto"/>
                    <w:left w:val="none" w:sz="0" w:space="0" w:color="auto"/>
                    <w:bottom w:val="none" w:sz="0" w:space="0" w:color="auto"/>
                    <w:right w:val="none" w:sz="0" w:space="0" w:color="auto"/>
                  </w:divBdr>
                </w:div>
              </w:divsChild>
            </w:div>
            <w:div w:id="749542536">
              <w:marLeft w:val="0"/>
              <w:marRight w:val="0"/>
              <w:marTop w:val="0"/>
              <w:marBottom w:val="0"/>
              <w:divBdr>
                <w:top w:val="none" w:sz="0" w:space="0" w:color="auto"/>
                <w:left w:val="none" w:sz="0" w:space="0" w:color="auto"/>
                <w:bottom w:val="none" w:sz="0" w:space="0" w:color="auto"/>
                <w:right w:val="none" w:sz="0" w:space="0" w:color="auto"/>
              </w:divBdr>
              <w:divsChild>
                <w:div w:id="1201941141">
                  <w:marLeft w:val="0"/>
                  <w:marRight w:val="0"/>
                  <w:marTop w:val="0"/>
                  <w:marBottom w:val="0"/>
                  <w:divBdr>
                    <w:top w:val="none" w:sz="0" w:space="0" w:color="auto"/>
                    <w:left w:val="none" w:sz="0" w:space="0" w:color="auto"/>
                    <w:bottom w:val="none" w:sz="0" w:space="0" w:color="auto"/>
                    <w:right w:val="none" w:sz="0" w:space="0" w:color="auto"/>
                  </w:divBdr>
                </w:div>
              </w:divsChild>
            </w:div>
            <w:div w:id="780536727">
              <w:marLeft w:val="0"/>
              <w:marRight w:val="0"/>
              <w:marTop w:val="0"/>
              <w:marBottom w:val="0"/>
              <w:divBdr>
                <w:top w:val="none" w:sz="0" w:space="0" w:color="auto"/>
                <w:left w:val="none" w:sz="0" w:space="0" w:color="auto"/>
                <w:bottom w:val="none" w:sz="0" w:space="0" w:color="auto"/>
                <w:right w:val="none" w:sz="0" w:space="0" w:color="auto"/>
              </w:divBdr>
              <w:divsChild>
                <w:div w:id="58746365">
                  <w:marLeft w:val="0"/>
                  <w:marRight w:val="0"/>
                  <w:marTop w:val="0"/>
                  <w:marBottom w:val="0"/>
                  <w:divBdr>
                    <w:top w:val="none" w:sz="0" w:space="0" w:color="auto"/>
                    <w:left w:val="none" w:sz="0" w:space="0" w:color="auto"/>
                    <w:bottom w:val="none" w:sz="0" w:space="0" w:color="auto"/>
                    <w:right w:val="none" w:sz="0" w:space="0" w:color="auto"/>
                  </w:divBdr>
                </w:div>
              </w:divsChild>
            </w:div>
            <w:div w:id="791948128">
              <w:marLeft w:val="0"/>
              <w:marRight w:val="0"/>
              <w:marTop w:val="0"/>
              <w:marBottom w:val="0"/>
              <w:divBdr>
                <w:top w:val="none" w:sz="0" w:space="0" w:color="auto"/>
                <w:left w:val="none" w:sz="0" w:space="0" w:color="auto"/>
                <w:bottom w:val="none" w:sz="0" w:space="0" w:color="auto"/>
                <w:right w:val="none" w:sz="0" w:space="0" w:color="auto"/>
              </w:divBdr>
              <w:divsChild>
                <w:div w:id="1948847783">
                  <w:marLeft w:val="0"/>
                  <w:marRight w:val="0"/>
                  <w:marTop w:val="0"/>
                  <w:marBottom w:val="0"/>
                  <w:divBdr>
                    <w:top w:val="none" w:sz="0" w:space="0" w:color="auto"/>
                    <w:left w:val="none" w:sz="0" w:space="0" w:color="auto"/>
                    <w:bottom w:val="none" w:sz="0" w:space="0" w:color="auto"/>
                    <w:right w:val="none" w:sz="0" w:space="0" w:color="auto"/>
                  </w:divBdr>
                </w:div>
              </w:divsChild>
            </w:div>
            <w:div w:id="832647829">
              <w:marLeft w:val="0"/>
              <w:marRight w:val="0"/>
              <w:marTop w:val="0"/>
              <w:marBottom w:val="0"/>
              <w:divBdr>
                <w:top w:val="none" w:sz="0" w:space="0" w:color="auto"/>
                <w:left w:val="none" w:sz="0" w:space="0" w:color="auto"/>
                <w:bottom w:val="none" w:sz="0" w:space="0" w:color="auto"/>
                <w:right w:val="none" w:sz="0" w:space="0" w:color="auto"/>
              </w:divBdr>
              <w:divsChild>
                <w:div w:id="859782760">
                  <w:marLeft w:val="0"/>
                  <w:marRight w:val="0"/>
                  <w:marTop w:val="0"/>
                  <w:marBottom w:val="0"/>
                  <w:divBdr>
                    <w:top w:val="none" w:sz="0" w:space="0" w:color="auto"/>
                    <w:left w:val="none" w:sz="0" w:space="0" w:color="auto"/>
                    <w:bottom w:val="none" w:sz="0" w:space="0" w:color="auto"/>
                    <w:right w:val="none" w:sz="0" w:space="0" w:color="auto"/>
                  </w:divBdr>
                </w:div>
              </w:divsChild>
            </w:div>
            <w:div w:id="847408820">
              <w:marLeft w:val="0"/>
              <w:marRight w:val="0"/>
              <w:marTop w:val="0"/>
              <w:marBottom w:val="0"/>
              <w:divBdr>
                <w:top w:val="none" w:sz="0" w:space="0" w:color="auto"/>
                <w:left w:val="none" w:sz="0" w:space="0" w:color="auto"/>
                <w:bottom w:val="none" w:sz="0" w:space="0" w:color="auto"/>
                <w:right w:val="none" w:sz="0" w:space="0" w:color="auto"/>
              </w:divBdr>
              <w:divsChild>
                <w:div w:id="1049691107">
                  <w:marLeft w:val="0"/>
                  <w:marRight w:val="0"/>
                  <w:marTop w:val="0"/>
                  <w:marBottom w:val="0"/>
                  <w:divBdr>
                    <w:top w:val="none" w:sz="0" w:space="0" w:color="auto"/>
                    <w:left w:val="none" w:sz="0" w:space="0" w:color="auto"/>
                    <w:bottom w:val="none" w:sz="0" w:space="0" w:color="auto"/>
                    <w:right w:val="none" w:sz="0" w:space="0" w:color="auto"/>
                  </w:divBdr>
                </w:div>
              </w:divsChild>
            </w:div>
            <w:div w:id="923491518">
              <w:marLeft w:val="0"/>
              <w:marRight w:val="0"/>
              <w:marTop w:val="0"/>
              <w:marBottom w:val="0"/>
              <w:divBdr>
                <w:top w:val="none" w:sz="0" w:space="0" w:color="auto"/>
                <w:left w:val="none" w:sz="0" w:space="0" w:color="auto"/>
                <w:bottom w:val="none" w:sz="0" w:space="0" w:color="auto"/>
                <w:right w:val="none" w:sz="0" w:space="0" w:color="auto"/>
              </w:divBdr>
              <w:divsChild>
                <w:div w:id="474224046">
                  <w:marLeft w:val="0"/>
                  <w:marRight w:val="0"/>
                  <w:marTop w:val="0"/>
                  <w:marBottom w:val="0"/>
                  <w:divBdr>
                    <w:top w:val="none" w:sz="0" w:space="0" w:color="auto"/>
                    <w:left w:val="none" w:sz="0" w:space="0" w:color="auto"/>
                    <w:bottom w:val="none" w:sz="0" w:space="0" w:color="auto"/>
                    <w:right w:val="none" w:sz="0" w:space="0" w:color="auto"/>
                  </w:divBdr>
                </w:div>
              </w:divsChild>
            </w:div>
            <w:div w:id="980770531">
              <w:marLeft w:val="0"/>
              <w:marRight w:val="0"/>
              <w:marTop w:val="0"/>
              <w:marBottom w:val="0"/>
              <w:divBdr>
                <w:top w:val="none" w:sz="0" w:space="0" w:color="auto"/>
                <w:left w:val="none" w:sz="0" w:space="0" w:color="auto"/>
                <w:bottom w:val="none" w:sz="0" w:space="0" w:color="auto"/>
                <w:right w:val="none" w:sz="0" w:space="0" w:color="auto"/>
              </w:divBdr>
              <w:divsChild>
                <w:div w:id="128398047">
                  <w:marLeft w:val="0"/>
                  <w:marRight w:val="0"/>
                  <w:marTop w:val="0"/>
                  <w:marBottom w:val="0"/>
                  <w:divBdr>
                    <w:top w:val="none" w:sz="0" w:space="0" w:color="auto"/>
                    <w:left w:val="none" w:sz="0" w:space="0" w:color="auto"/>
                    <w:bottom w:val="none" w:sz="0" w:space="0" w:color="auto"/>
                    <w:right w:val="none" w:sz="0" w:space="0" w:color="auto"/>
                  </w:divBdr>
                </w:div>
              </w:divsChild>
            </w:div>
            <w:div w:id="1005398676">
              <w:marLeft w:val="0"/>
              <w:marRight w:val="0"/>
              <w:marTop w:val="0"/>
              <w:marBottom w:val="0"/>
              <w:divBdr>
                <w:top w:val="none" w:sz="0" w:space="0" w:color="auto"/>
                <w:left w:val="none" w:sz="0" w:space="0" w:color="auto"/>
                <w:bottom w:val="none" w:sz="0" w:space="0" w:color="auto"/>
                <w:right w:val="none" w:sz="0" w:space="0" w:color="auto"/>
              </w:divBdr>
              <w:divsChild>
                <w:div w:id="1410617648">
                  <w:marLeft w:val="0"/>
                  <w:marRight w:val="0"/>
                  <w:marTop w:val="0"/>
                  <w:marBottom w:val="0"/>
                  <w:divBdr>
                    <w:top w:val="none" w:sz="0" w:space="0" w:color="auto"/>
                    <w:left w:val="none" w:sz="0" w:space="0" w:color="auto"/>
                    <w:bottom w:val="none" w:sz="0" w:space="0" w:color="auto"/>
                    <w:right w:val="none" w:sz="0" w:space="0" w:color="auto"/>
                  </w:divBdr>
                </w:div>
              </w:divsChild>
            </w:div>
            <w:div w:id="1026753464">
              <w:marLeft w:val="0"/>
              <w:marRight w:val="0"/>
              <w:marTop w:val="0"/>
              <w:marBottom w:val="0"/>
              <w:divBdr>
                <w:top w:val="none" w:sz="0" w:space="0" w:color="auto"/>
                <w:left w:val="none" w:sz="0" w:space="0" w:color="auto"/>
                <w:bottom w:val="none" w:sz="0" w:space="0" w:color="auto"/>
                <w:right w:val="none" w:sz="0" w:space="0" w:color="auto"/>
              </w:divBdr>
              <w:divsChild>
                <w:div w:id="959067882">
                  <w:marLeft w:val="0"/>
                  <w:marRight w:val="0"/>
                  <w:marTop w:val="0"/>
                  <w:marBottom w:val="0"/>
                  <w:divBdr>
                    <w:top w:val="none" w:sz="0" w:space="0" w:color="auto"/>
                    <w:left w:val="none" w:sz="0" w:space="0" w:color="auto"/>
                    <w:bottom w:val="none" w:sz="0" w:space="0" w:color="auto"/>
                    <w:right w:val="none" w:sz="0" w:space="0" w:color="auto"/>
                  </w:divBdr>
                </w:div>
              </w:divsChild>
            </w:div>
            <w:div w:id="1201553823">
              <w:marLeft w:val="0"/>
              <w:marRight w:val="0"/>
              <w:marTop w:val="0"/>
              <w:marBottom w:val="0"/>
              <w:divBdr>
                <w:top w:val="none" w:sz="0" w:space="0" w:color="auto"/>
                <w:left w:val="none" w:sz="0" w:space="0" w:color="auto"/>
                <w:bottom w:val="none" w:sz="0" w:space="0" w:color="auto"/>
                <w:right w:val="none" w:sz="0" w:space="0" w:color="auto"/>
              </w:divBdr>
              <w:divsChild>
                <w:div w:id="172301766">
                  <w:marLeft w:val="0"/>
                  <w:marRight w:val="0"/>
                  <w:marTop w:val="0"/>
                  <w:marBottom w:val="0"/>
                  <w:divBdr>
                    <w:top w:val="none" w:sz="0" w:space="0" w:color="auto"/>
                    <w:left w:val="none" w:sz="0" w:space="0" w:color="auto"/>
                    <w:bottom w:val="none" w:sz="0" w:space="0" w:color="auto"/>
                    <w:right w:val="none" w:sz="0" w:space="0" w:color="auto"/>
                  </w:divBdr>
                </w:div>
              </w:divsChild>
            </w:div>
            <w:div w:id="1231312123">
              <w:marLeft w:val="0"/>
              <w:marRight w:val="0"/>
              <w:marTop w:val="0"/>
              <w:marBottom w:val="0"/>
              <w:divBdr>
                <w:top w:val="none" w:sz="0" w:space="0" w:color="auto"/>
                <w:left w:val="none" w:sz="0" w:space="0" w:color="auto"/>
                <w:bottom w:val="none" w:sz="0" w:space="0" w:color="auto"/>
                <w:right w:val="none" w:sz="0" w:space="0" w:color="auto"/>
              </w:divBdr>
              <w:divsChild>
                <w:div w:id="472525482">
                  <w:marLeft w:val="0"/>
                  <w:marRight w:val="0"/>
                  <w:marTop w:val="0"/>
                  <w:marBottom w:val="0"/>
                  <w:divBdr>
                    <w:top w:val="none" w:sz="0" w:space="0" w:color="auto"/>
                    <w:left w:val="none" w:sz="0" w:space="0" w:color="auto"/>
                    <w:bottom w:val="none" w:sz="0" w:space="0" w:color="auto"/>
                    <w:right w:val="none" w:sz="0" w:space="0" w:color="auto"/>
                  </w:divBdr>
                </w:div>
                <w:div w:id="1530528522">
                  <w:marLeft w:val="0"/>
                  <w:marRight w:val="0"/>
                  <w:marTop w:val="0"/>
                  <w:marBottom w:val="0"/>
                  <w:divBdr>
                    <w:top w:val="none" w:sz="0" w:space="0" w:color="auto"/>
                    <w:left w:val="none" w:sz="0" w:space="0" w:color="auto"/>
                    <w:bottom w:val="none" w:sz="0" w:space="0" w:color="auto"/>
                    <w:right w:val="none" w:sz="0" w:space="0" w:color="auto"/>
                  </w:divBdr>
                </w:div>
              </w:divsChild>
            </w:div>
            <w:div w:id="1341859638">
              <w:marLeft w:val="0"/>
              <w:marRight w:val="0"/>
              <w:marTop w:val="0"/>
              <w:marBottom w:val="0"/>
              <w:divBdr>
                <w:top w:val="none" w:sz="0" w:space="0" w:color="auto"/>
                <w:left w:val="none" w:sz="0" w:space="0" w:color="auto"/>
                <w:bottom w:val="none" w:sz="0" w:space="0" w:color="auto"/>
                <w:right w:val="none" w:sz="0" w:space="0" w:color="auto"/>
              </w:divBdr>
              <w:divsChild>
                <w:div w:id="763766855">
                  <w:marLeft w:val="0"/>
                  <w:marRight w:val="0"/>
                  <w:marTop w:val="0"/>
                  <w:marBottom w:val="0"/>
                  <w:divBdr>
                    <w:top w:val="none" w:sz="0" w:space="0" w:color="auto"/>
                    <w:left w:val="none" w:sz="0" w:space="0" w:color="auto"/>
                    <w:bottom w:val="none" w:sz="0" w:space="0" w:color="auto"/>
                    <w:right w:val="none" w:sz="0" w:space="0" w:color="auto"/>
                  </w:divBdr>
                </w:div>
              </w:divsChild>
            </w:div>
            <w:div w:id="1446849420">
              <w:marLeft w:val="0"/>
              <w:marRight w:val="0"/>
              <w:marTop w:val="0"/>
              <w:marBottom w:val="0"/>
              <w:divBdr>
                <w:top w:val="none" w:sz="0" w:space="0" w:color="auto"/>
                <w:left w:val="none" w:sz="0" w:space="0" w:color="auto"/>
                <w:bottom w:val="none" w:sz="0" w:space="0" w:color="auto"/>
                <w:right w:val="none" w:sz="0" w:space="0" w:color="auto"/>
              </w:divBdr>
              <w:divsChild>
                <w:div w:id="2108622363">
                  <w:marLeft w:val="0"/>
                  <w:marRight w:val="0"/>
                  <w:marTop w:val="0"/>
                  <w:marBottom w:val="0"/>
                  <w:divBdr>
                    <w:top w:val="none" w:sz="0" w:space="0" w:color="auto"/>
                    <w:left w:val="none" w:sz="0" w:space="0" w:color="auto"/>
                    <w:bottom w:val="none" w:sz="0" w:space="0" w:color="auto"/>
                    <w:right w:val="none" w:sz="0" w:space="0" w:color="auto"/>
                  </w:divBdr>
                </w:div>
              </w:divsChild>
            </w:div>
            <w:div w:id="1676574697">
              <w:marLeft w:val="0"/>
              <w:marRight w:val="0"/>
              <w:marTop w:val="0"/>
              <w:marBottom w:val="0"/>
              <w:divBdr>
                <w:top w:val="none" w:sz="0" w:space="0" w:color="auto"/>
                <w:left w:val="none" w:sz="0" w:space="0" w:color="auto"/>
                <w:bottom w:val="none" w:sz="0" w:space="0" w:color="auto"/>
                <w:right w:val="none" w:sz="0" w:space="0" w:color="auto"/>
              </w:divBdr>
              <w:divsChild>
                <w:div w:id="936717031">
                  <w:marLeft w:val="0"/>
                  <w:marRight w:val="0"/>
                  <w:marTop w:val="0"/>
                  <w:marBottom w:val="0"/>
                  <w:divBdr>
                    <w:top w:val="none" w:sz="0" w:space="0" w:color="auto"/>
                    <w:left w:val="none" w:sz="0" w:space="0" w:color="auto"/>
                    <w:bottom w:val="none" w:sz="0" w:space="0" w:color="auto"/>
                    <w:right w:val="none" w:sz="0" w:space="0" w:color="auto"/>
                  </w:divBdr>
                </w:div>
              </w:divsChild>
            </w:div>
            <w:div w:id="1867677373">
              <w:marLeft w:val="0"/>
              <w:marRight w:val="0"/>
              <w:marTop w:val="0"/>
              <w:marBottom w:val="0"/>
              <w:divBdr>
                <w:top w:val="none" w:sz="0" w:space="0" w:color="auto"/>
                <w:left w:val="none" w:sz="0" w:space="0" w:color="auto"/>
                <w:bottom w:val="none" w:sz="0" w:space="0" w:color="auto"/>
                <w:right w:val="none" w:sz="0" w:space="0" w:color="auto"/>
              </w:divBdr>
              <w:divsChild>
                <w:div w:id="420565874">
                  <w:marLeft w:val="0"/>
                  <w:marRight w:val="0"/>
                  <w:marTop w:val="0"/>
                  <w:marBottom w:val="0"/>
                  <w:divBdr>
                    <w:top w:val="none" w:sz="0" w:space="0" w:color="auto"/>
                    <w:left w:val="none" w:sz="0" w:space="0" w:color="auto"/>
                    <w:bottom w:val="none" w:sz="0" w:space="0" w:color="auto"/>
                    <w:right w:val="none" w:sz="0" w:space="0" w:color="auto"/>
                  </w:divBdr>
                </w:div>
              </w:divsChild>
            </w:div>
            <w:div w:id="2021005507">
              <w:marLeft w:val="0"/>
              <w:marRight w:val="0"/>
              <w:marTop w:val="0"/>
              <w:marBottom w:val="0"/>
              <w:divBdr>
                <w:top w:val="none" w:sz="0" w:space="0" w:color="auto"/>
                <w:left w:val="none" w:sz="0" w:space="0" w:color="auto"/>
                <w:bottom w:val="none" w:sz="0" w:space="0" w:color="auto"/>
                <w:right w:val="none" w:sz="0" w:space="0" w:color="auto"/>
              </w:divBdr>
              <w:divsChild>
                <w:div w:id="382681329">
                  <w:marLeft w:val="0"/>
                  <w:marRight w:val="0"/>
                  <w:marTop w:val="0"/>
                  <w:marBottom w:val="0"/>
                  <w:divBdr>
                    <w:top w:val="none" w:sz="0" w:space="0" w:color="auto"/>
                    <w:left w:val="none" w:sz="0" w:space="0" w:color="auto"/>
                    <w:bottom w:val="none" w:sz="0" w:space="0" w:color="auto"/>
                    <w:right w:val="none" w:sz="0" w:space="0" w:color="auto"/>
                  </w:divBdr>
                </w:div>
              </w:divsChild>
            </w:div>
            <w:div w:id="2079787929">
              <w:marLeft w:val="0"/>
              <w:marRight w:val="0"/>
              <w:marTop w:val="0"/>
              <w:marBottom w:val="0"/>
              <w:divBdr>
                <w:top w:val="none" w:sz="0" w:space="0" w:color="auto"/>
                <w:left w:val="none" w:sz="0" w:space="0" w:color="auto"/>
                <w:bottom w:val="none" w:sz="0" w:space="0" w:color="auto"/>
                <w:right w:val="none" w:sz="0" w:space="0" w:color="auto"/>
              </w:divBdr>
              <w:divsChild>
                <w:div w:id="1078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86794">
      <w:bodyDiv w:val="1"/>
      <w:marLeft w:val="0"/>
      <w:marRight w:val="0"/>
      <w:marTop w:val="0"/>
      <w:marBottom w:val="0"/>
      <w:divBdr>
        <w:top w:val="none" w:sz="0" w:space="0" w:color="auto"/>
        <w:left w:val="none" w:sz="0" w:space="0" w:color="auto"/>
        <w:bottom w:val="none" w:sz="0" w:space="0" w:color="auto"/>
        <w:right w:val="none" w:sz="0" w:space="0" w:color="auto"/>
      </w:divBdr>
      <w:divsChild>
        <w:div w:id="26298685">
          <w:marLeft w:val="0"/>
          <w:marRight w:val="0"/>
          <w:marTop w:val="0"/>
          <w:marBottom w:val="0"/>
          <w:divBdr>
            <w:top w:val="none" w:sz="0" w:space="0" w:color="auto"/>
            <w:left w:val="none" w:sz="0" w:space="0" w:color="auto"/>
            <w:bottom w:val="none" w:sz="0" w:space="0" w:color="auto"/>
            <w:right w:val="none" w:sz="0" w:space="0" w:color="auto"/>
          </w:divBdr>
        </w:div>
        <w:div w:id="233662209">
          <w:marLeft w:val="0"/>
          <w:marRight w:val="0"/>
          <w:marTop w:val="0"/>
          <w:marBottom w:val="0"/>
          <w:divBdr>
            <w:top w:val="none" w:sz="0" w:space="0" w:color="auto"/>
            <w:left w:val="none" w:sz="0" w:space="0" w:color="auto"/>
            <w:bottom w:val="none" w:sz="0" w:space="0" w:color="auto"/>
            <w:right w:val="none" w:sz="0" w:space="0" w:color="auto"/>
          </w:divBdr>
        </w:div>
        <w:div w:id="636959819">
          <w:marLeft w:val="0"/>
          <w:marRight w:val="0"/>
          <w:marTop w:val="0"/>
          <w:marBottom w:val="0"/>
          <w:divBdr>
            <w:top w:val="none" w:sz="0" w:space="0" w:color="auto"/>
            <w:left w:val="none" w:sz="0" w:space="0" w:color="auto"/>
            <w:bottom w:val="none" w:sz="0" w:space="0" w:color="auto"/>
            <w:right w:val="none" w:sz="0" w:space="0" w:color="auto"/>
          </w:divBdr>
        </w:div>
        <w:div w:id="711346059">
          <w:marLeft w:val="0"/>
          <w:marRight w:val="0"/>
          <w:marTop w:val="0"/>
          <w:marBottom w:val="0"/>
          <w:divBdr>
            <w:top w:val="none" w:sz="0" w:space="0" w:color="auto"/>
            <w:left w:val="none" w:sz="0" w:space="0" w:color="auto"/>
            <w:bottom w:val="none" w:sz="0" w:space="0" w:color="auto"/>
            <w:right w:val="none" w:sz="0" w:space="0" w:color="auto"/>
          </w:divBdr>
        </w:div>
        <w:div w:id="962493614">
          <w:marLeft w:val="0"/>
          <w:marRight w:val="0"/>
          <w:marTop w:val="0"/>
          <w:marBottom w:val="0"/>
          <w:divBdr>
            <w:top w:val="none" w:sz="0" w:space="0" w:color="auto"/>
            <w:left w:val="none" w:sz="0" w:space="0" w:color="auto"/>
            <w:bottom w:val="none" w:sz="0" w:space="0" w:color="auto"/>
            <w:right w:val="none" w:sz="0" w:space="0" w:color="auto"/>
          </w:divBdr>
        </w:div>
        <w:div w:id="968556882">
          <w:marLeft w:val="0"/>
          <w:marRight w:val="0"/>
          <w:marTop w:val="0"/>
          <w:marBottom w:val="0"/>
          <w:divBdr>
            <w:top w:val="none" w:sz="0" w:space="0" w:color="auto"/>
            <w:left w:val="none" w:sz="0" w:space="0" w:color="auto"/>
            <w:bottom w:val="none" w:sz="0" w:space="0" w:color="auto"/>
            <w:right w:val="none" w:sz="0" w:space="0" w:color="auto"/>
          </w:divBdr>
        </w:div>
        <w:div w:id="1033773450">
          <w:marLeft w:val="0"/>
          <w:marRight w:val="0"/>
          <w:marTop w:val="0"/>
          <w:marBottom w:val="0"/>
          <w:divBdr>
            <w:top w:val="none" w:sz="0" w:space="0" w:color="auto"/>
            <w:left w:val="none" w:sz="0" w:space="0" w:color="auto"/>
            <w:bottom w:val="none" w:sz="0" w:space="0" w:color="auto"/>
            <w:right w:val="none" w:sz="0" w:space="0" w:color="auto"/>
          </w:divBdr>
        </w:div>
        <w:div w:id="1083838502">
          <w:marLeft w:val="0"/>
          <w:marRight w:val="0"/>
          <w:marTop w:val="0"/>
          <w:marBottom w:val="0"/>
          <w:divBdr>
            <w:top w:val="none" w:sz="0" w:space="0" w:color="auto"/>
            <w:left w:val="none" w:sz="0" w:space="0" w:color="auto"/>
            <w:bottom w:val="none" w:sz="0" w:space="0" w:color="auto"/>
            <w:right w:val="none" w:sz="0" w:space="0" w:color="auto"/>
          </w:divBdr>
        </w:div>
        <w:div w:id="1519345341">
          <w:marLeft w:val="0"/>
          <w:marRight w:val="0"/>
          <w:marTop w:val="0"/>
          <w:marBottom w:val="0"/>
          <w:divBdr>
            <w:top w:val="none" w:sz="0" w:space="0" w:color="auto"/>
            <w:left w:val="none" w:sz="0" w:space="0" w:color="auto"/>
            <w:bottom w:val="none" w:sz="0" w:space="0" w:color="auto"/>
            <w:right w:val="none" w:sz="0" w:space="0" w:color="auto"/>
          </w:divBdr>
        </w:div>
      </w:divsChild>
    </w:div>
    <w:div w:id="478116696">
      <w:bodyDiv w:val="1"/>
      <w:marLeft w:val="0"/>
      <w:marRight w:val="0"/>
      <w:marTop w:val="0"/>
      <w:marBottom w:val="0"/>
      <w:divBdr>
        <w:top w:val="none" w:sz="0" w:space="0" w:color="auto"/>
        <w:left w:val="none" w:sz="0" w:space="0" w:color="auto"/>
        <w:bottom w:val="none" w:sz="0" w:space="0" w:color="auto"/>
        <w:right w:val="none" w:sz="0" w:space="0" w:color="auto"/>
      </w:divBdr>
    </w:div>
    <w:div w:id="485173841">
      <w:bodyDiv w:val="1"/>
      <w:marLeft w:val="0"/>
      <w:marRight w:val="0"/>
      <w:marTop w:val="0"/>
      <w:marBottom w:val="0"/>
      <w:divBdr>
        <w:top w:val="none" w:sz="0" w:space="0" w:color="auto"/>
        <w:left w:val="none" w:sz="0" w:space="0" w:color="auto"/>
        <w:bottom w:val="none" w:sz="0" w:space="0" w:color="auto"/>
        <w:right w:val="none" w:sz="0" w:space="0" w:color="auto"/>
      </w:divBdr>
    </w:div>
    <w:div w:id="486282919">
      <w:bodyDiv w:val="1"/>
      <w:marLeft w:val="0"/>
      <w:marRight w:val="0"/>
      <w:marTop w:val="0"/>
      <w:marBottom w:val="0"/>
      <w:divBdr>
        <w:top w:val="none" w:sz="0" w:space="0" w:color="auto"/>
        <w:left w:val="none" w:sz="0" w:space="0" w:color="auto"/>
        <w:bottom w:val="none" w:sz="0" w:space="0" w:color="auto"/>
        <w:right w:val="none" w:sz="0" w:space="0" w:color="auto"/>
      </w:divBdr>
    </w:div>
    <w:div w:id="487021926">
      <w:bodyDiv w:val="1"/>
      <w:marLeft w:val="0"/>
      <w:marRight w:val="0"/>
      <w:marTop w:val="0"/>
      <w:marBottom w:val="0"/>
      <w:divBdr>
        <w:top w:val="none" w:sz="0" w:space="0" w:color="auto"/>
        <w:left w:val="none" w:sz="0" w:space="0" w:color="auto"/>
        <w:bottom w:val="none" w:sz="0" w:space="0" w:color="auto"/>
        <w:right w:val="none" w:sz="0" w:space="0" w:color="auto"/>
      </w:divBdr>
    </w:div>
    <w:div w:id="516117873">
      <w:bodyDiv w:val="1"/>
      <w:marLeft w:val="0"/>
      <w:marRight w:val="0"/>
      <w:marTop w:val="0"/>
      <w:marBottom w:val="0"/>
      <w:divBdr>
        <w:top w:val="none" w:sz="0" w:space="0" w:color="auto"/>
        <w:left w:val="none" w:sz="0" w:space="0" w:color="auto"/>
        <w:bottom w:val="none" w:sz="0" w:space="0" w:color="auto"/>
        <w:right w:val="none" w:sz="0" w:space="0" w:color="auto"/>
      </w:divBdr>
    </w:div>
    <w:div w:id="517892918">
      <w:bodyDiv w:val="1"/>
      <w:marLeft w:val="0"/>
      <w:marRight w:val="0"/>
      <w:marTop w:val="0"/>
      <w:marBottom w:val="0"/>
      <w:divBdr>
        <w:top w:val="none" w:sz="0" w:space="0" w:color="auto"/>
        <w:left w:val="none" w:sz="0" w:space="0" w:color="auto"/>
        <w:bottom w:val="none" w:sz="0" w:space="0" w:color="auto"/>
        <w:right w:val="none" w:sz="0" w:space="0" w:color="auto"/>
      </w:divBdr>
    </w:div>
    <w:div w:id="518667747">
      <w:bodyDiv w:val="1"/>
      <w:marLeft w:val="0"/>
      <w:marRight w:val="0"/>
      <w:marTop w:val="0"/>
      <w:marBottom w:val="0"/>
      <w:divBdr>
        <w:top w:val="none" w:sz="0" w:space="0" w:color="auto"/>
        <w:left w:val="none" w:sz="0" w:space="0" w:color="auto"/>
        <w:bottom w:val="none" w:sz="0" w:space="0" w:color="auto"/>
        <w:right w:val="none" w:sz="0" w:space="0" w:color="auto"/>
      </w:divBdr>
    </w:div>
    <w:div w:id="535698726">
      <w:bodyDiv w:val="1"/>
      <w:marLeft w:val="0"/>
      <w:marRight w:val="0"/>
      <w:marTop w:val="0"/>
      <w:marBottom w:val="0"/>
      <w:divBdr>
        <w:top w:val="none" w:sz="0" w:space="0" w:color="auto"/>
        <w:left w:val="none" w:sz="0" w:space="0" w:color="auto"/>
        <w:bottom w:val="none" w:sz="0" w:space="0" w:color="auto"/>
        <w:right w:val="none" w:sz="0" w:space="0" w:color="auto"/>
      </w:divBdr>
    </w:div>
    <w:div w:id="536544781">
      <w:bodyDiv w:val="1"/>
      <w:marLeft w:val="0"/>
      <w:marRight w:val="0"/>
      <w:marTop w:val="0"/>
      <w:marBottom w:val="0"/>
      <w:divBdr>
        <w:top w:val="none" w:sz="0" w:space="0" w:color="auto"/>
        <w:left w:val="none" w:sz="0" w:space="0" w:color="auto"/>
        <w:bottom w:val="none" w:sz="0" w:space="0" w:color="auto"/>
        <w:right w:val="none" w:sz="0" w:space="0" w:color="auto"/>
      </w:divBdr>
    </w:div>
    <w:div w:id="548299956">
      <w:bodyDiv w:val="1"/>
      <w:marLeft w:val="0"/>
      <w:marRight w:val="0"/>
      <w:marTop w:val="0"/>
      <w:marBottom w:val="0"/>
      <w:divBdr>
        <w:top w:val="none" w:sz="0" w:space="0" w:color="auto"/>
        <w:left w:val="none" w:sz="0" w:space="0" w:color="auto"/>
        <w:bottom w:val="none" w:sz="0" w:space="0" w:color="auto"/>
        <w:right w:val="none" w:sz="0" w:space="0" w:color="auto"/>
      </w:divBdr>
    </w:div>
    <w:div w:id="552431100">
      <w:bodyDiv w:val="1"/>
      <w:marLeft w:val="0"/>
      <w:marRight w:val="0"/>
      <w:marTop w:val="0"/>
      <w:marBottom w:val="0"/>
      <w:divBdr>
        <w:top w:val="none" w:sz="0" w:space="0" w:color="auto"/>
        <w:left w:val="none" w:sz="0" w:space="0" w:color="auto"/>
        <w:bottom w:val="none" w:sz="0" w:space="0" w:color="auto"/>
        <w:right w:val="none" w:sz="0" w:space="0" w:color="auto"/>
      </w:divBdr>
    </w:div>
    <w:div w:id="561602198">
      <w:bodyDiv w:val="1"/>
      <w:marLeft w:val="0"/>
      <w:marRight w:val="0"/>
      <w:marTop w:val="0"/>
      <w:marBottom w:val="0"/>
      <w:divBdr>
        <w:top w:val="none" w:sz="0" w:space="0" w:color="auto"/>
        <w:left w:val="none" w:sz="0" w:space="0" w:color="auto"/>
        <w:bottom w:val="none" w:sz="0" w:space="0" w:color="auto"/>
        <w:right w:val="none" w:sz="0" w:space="0" w:color="auto"/>
      </w:divBdr>
      <w:divsChild>
        <w:div w:id="1440875187">
          <w:marLeft w:val="0"/>
          <w:marRight w:val="0"/>
          <w:marTop w:val="0"/>
          <w:marBottom w:val="0"/>
          <w:divBdr>
            <w:top w:val="none" w:sz="0" w:space="0" w:color="auto"/>
            <w:left w:val="none" w:sz="0" w:space="0" w:color="auto"/>
            <w:bottom w:val="none" w:sz="0" w:space="0" w:color="auto"/>
            <w:right w:val="none" w:sz="0" w:space="0" w:color="auto"/>
          </w:divBdr>
          <w:divsChild>
            <w:div w:id="2039238260">
              <w:marLeft w:val="0"/>
              <w:marRight w:val="0"/>
              <w:marTop w:val="0"/>
              <w:marBottom w:val="0"/>
              <w:divBdr>
                <w:top w:val="none" w:sz="0" w:space="0" w:color="auto"/>
                <w:left w:val="none" w:sz="0" w:space="0" w:color="auto"/>
                <w:bottom w:val="none" w:sz="0" w:space="0" w:color="auto"/>
                <w:right w:val="none" w:sz="0" w:space="0" w:color="auto"/>
              </w:divBdr>
              <w:divsChild>
                <w:div w:id="14286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49499">
      <w:bodyDiv w:val="1"/>
      <w:marLeft w:val="0"/>
      <w:marRight w:val="0"/>
      <w:marTop w:val="0"/>
      <w:marBottom w:val="0"/>
      <w:divBdr>
        <w:top w:val="none" w:sz="0" w:space="0" w:color="auto"/>
        <w:left w:val="none" w:sz="0" w:space="0" w:color="auto"/>
        <w:bottom w:val="none" w:sz="0" w:space="0" w:color="auto"/>
        <w:right w:val="none" w:sz="0" w:space="0" w:color="auto"/>
      </w:divBdr>
    </w:div>
    <w:div w:id="576791603">
      <w:bodyDiv w:val="1"/>
      <w:marLeft w:val="0"/>
      <w:marRight w:val="0"/>
      <w:marTop w:val="0"/>
      <w:marBottom w:val="0"/>
      <w:divBdr>
        <w:top w:val="none" w:sz="0" w:space="0" w:color="auto"/>
        <w:left w:val="none" w:sz="0" w:space="0" w:color="auto"/>
        <w:bottom w:val="none" w:sz="0" w:space="0" w:color="auto"/>
        <w:right w:val="none" w:sz="0" w:space="0" w:color="auto"/>
      </w:divBdr>
      <w:divsChild>
        <w:div w:id="986015111">
          <w:marLeft w:val="0"/>
          <w:marRight w:val="0"/>
          <w:marTop w:val="0"/>
          <w:marBottom w:val="0"/>
          <w:divBdr>
            <w:top w:val="none" w:sz="0" w:space="0" w:color="auto"/>
            <w:left w:val="none" w:sz="0" w:space="0" w:color="auto"/>
            <w:bottom w:val="none" w:sz="0" w:space="0" w:color="auto"/>
            <w:right w:val="none" w:sz="0" w:space="0" w:color="auto"/>
          </w:divBdr>
          <w:divsChild>
            <w:div w:id="991325273">
              <w:marLeft w:val="0"/>
              <w:marRight w:val="0"/>
              <w:marTop w:val="0"/>
              <w:marBottom w:val="0"/>
              <w:divBdr>
                <w:top w:val="none" w:sz="0" w:space="0" w:color="auto"/>
                <w:left w:val="none" w:sz="0" w:space="0" w:color="auto"/>
                <w:bottom w:val="none" w:sz="0" w:space="0" w:color="auto"/>
                <w:right w:val="none" w:sz="0" w:space="0" w:color="auto"/>
              </w:divBdr>
              <w:divsChild>
                <w:div w:id="17784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58604">
      <w:bodyDiv w:val="1"/>
      <w:marLeft w:val="0"/>
      <w:marRight w:val="0"/>
      <w:marTop w:val="0"/>
      <w:marBottom w:val="0"/>
      <w:divBdr>
        <w:top w:val="none" w:sz="0" w:space="0" w:color="auto"/>
        <w:left w:val="none" w:sz="0" w:space="0" w:color="auto"/>
        <w:bottom w:val="none" w:sz="0" w:space="0" w:color="auto"/>
        <w:right w:val="none" w:sz="0" w:space="0" w:color="auto"/>
      </w:divBdr>
      <w:divsChild>
        <w:div w:id="314651008">
          <w:marLeft w:val="0"/>
          <w:marRight w:val="0"/>
          <w:marTop w:val="0"/>
          <w:marBottom w:val="0"/>
          <w:divBdr>
            <w:top w:val="none" w:sz="0" w:space="0" w:color="auto"/>
            <w:left w:val="none" w:sz="0" w:space="0" w:color="auto"/>
            <w:bottom w:val="none" w:sz="0" w:space="0" w:color="auto"/>
            <w:right w:val="none" w:sz="0" w:space="0" w:color="auto"/>
          </w:divBdr>
          <w:divsChild>
            <w:div w:id="1151753960">
              <w:marLeft w:val="0"/>
              <w:marRight w:val="0"/>
              <w:marTop w:val="0"/>
              <w:marBottom w:val="0"/>
              <w:divBdr>
                <w:top w:val="none" w:sz="0" w:space="0" w:color="auto"/>
                <w:left w:val="none" w:sz="0" w:space="0" w:color="auto"/>
                <w:bottom w:val="none" w:sz="0" w:space="0" w:color="auto"/>
                <w:right w:val="none" w:sz="0" w:space="0" w:color="auto"/>
              </w:divBdr>
            </w:div>
            <w:div w:id="1742950368">
              <w:marLeft w:val="0"/>
              <w:marRight w:val="0"/>
              <w:marTop w:val="0"/>
              <w:marBottom w:val="0"/>
              <w:divBdr>
                <w:top w:val="none" w:sz="0" w:space="0" w:color="auto"/>
                <w:left w:val="none" w:sz="0" w:space="0" w:color="auto"/>
                <w:bottom w:val="none" w:sz="0" w:space="0" w:color="auto"/>
                <w:right w:val="none" w:sz="0" w:space="0" w:color="auto"/>
              </w:divBdr>
            </w:div>
          </w:divsChild>
        </w:div>
        <w:div w:id="1262570809">
          <w:marLeft w:val="0"/>
          <w:marRight w:val="0"/>
          <w:marTop w:val="0"/>
          <w:marBottom w:val="0"/>
          <w:divBdr>
            <w:top w:val="none" w:sz="0" w:space="0" w:color="auto"/>
            <w:left w:val="none" w:sz="0" w:space="0" w:color="auto"/>
            <w:bottom w:val="none" w:sz="0" w:space="0" w:color="auto"/>
            <w:right w:val="none" w:sz="0" w:space="0" w:color="auto"/>
          </w:divBdr>
          <w:divsChild>
            <w:div w:id="633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3188">
      <w:bodyDiv w:val="1"/>
      <w:marLeft w:val="0"/>
      <w:marRight w:val="0"/>
      <w:marTop w:val="0"/>
      <w:marBottom w:val="0"/>
      <w:divBdr>
        <w:top w:val="none" w:sz="0" w:space="0" w:color="auto"/>
        <w:left w:val="none" w:sz="0" w:space="0" w:color="auto"/>
        <w:bottom w:val="none" w:sz="0" w:space="0" w:color="auto"/>
        <w:right w:val="none" w:sz="0" w:space="0" w:color="auto"/>
      </w:divBdr>
      <w:divsChild>
        <w:div w:id="659161172">
          <w:marLeft w:val="274"/>
          <w:marRight w:val="0"/>
          <w:marTop w:val="75"/>
          <w:marBottom w:val="0"/>
          <w:divBdr>
            <w:top w:val="none" w:sz="0" w:space="0" w:color="auto"/>
            <w:left w:val="none" w:sz="0" w:space="0" w:color="auto"/>
            <w:bottom w:val="none" w:sz="0" w:space="0" w:color="auto"/>
            <w:right w:val="none" w:sz="0" w:space="0" w:color="auto"/>
          </w:divBdr>
        </w:div>
        <w:div w:id="896015751">
          <w:marLeft w:val="274"/>
          <w:marRight w:val="0"/>
          <w:marTop w:val="75"/>
          <w:marBottom w:val="0"/>
          <w:divBdr>
            <w:top w:val="none" w:sz="0" w:space="0" w:color="auto"/>
            <w:left w:val="none" w:sz="0" w:space="0" w:color="auto"/>
            <w:bottom w:val="none" w:sz="0" w:space="0" w:color="auto"/>
            <w:right w:val="none" w:sz="0" w:space="0" w:color="auto"/>
          </w:divBdr>
        </w:div>
        <w:div w:id="958998817">
          <w:marLeft w:val="274"/>
          <w:marRight w:val="0"/>
          <w:marTop w:val="75"/>
          <w:marBottom w:val="0"/>
          <w:divBdr>
            <w:top w:val="none" w:sz="0" w:space="0" w:color="auto"/>
            <w:left w:val="none" w:sz="0" w:space="0" w:color="auto"/>
            <w:bottom w:val="none" w:sz="0" w:space="0" w:color="auto"/>
            <w:right w:val="none" w:sz="0" w:space="0" w:color="auto"/>
          </w:divBdr>
        </w:div>
        <w:div w:id="1888643140">
          <w:marLeft w:val="274"/>
          <w:marRight w:val="0"/>
          <w:marTop w:val="75"/>
          <w:marBottom w:val="0"/>
          <w:divBdr>
            <w:top w:val="none" w:sz="0" w:space="0" w:color="auto"/>
            <w:left w:val="none" w:sz="0" w:space="0" w:color="auto"/>
            <w:bottom w:val="none" w:sz="0" w:space="0" w:color="auto"/>
            <w:right w:val="none" w:sz="0" w:space="0" w:color="auto"/>
          </w:divBdr>
        </w:div>
        <w:div w:id="1921210189">
          <w:marLeft w:val="274"/>
          <w:marRight w:val="0"/>
          <w:marTop w:val="75"/>
          <w:marBottom w:val="0"/>
          <w:divBdr>
            <w:top w:val="none" w:sz="0" w:space="0" w:color="auto"/>
            <w:left w:val="none" w:sz="0" w:space="0" w:color="auto"/>
            <w:bottom w:val="none" w:sz="0" w:space="0" w:color="auto"/>
            <w:right w:val="none" w:sz="0" w:space="0" w:color="auto"/>
          </w:divBdr>
        </w:div>
      </w:divsChild>
    </w:div>
    <w:div w:id="589772908">
      <w:bodyDiv w:val="1"/>
      <w:marLeft w:val="0"/>
      <w:marRight w:val="0"/>
      <w:marTop w:val="0"/>
      <w:marBottom w:val="0"/>
      <w:divBdr>
        <w:top w:val="none" w:sz="0" w:space="0" w:color="auto"/>
        <w:left w:val="none" w:sz="0" w:space="0" w:color="auto"/>
        <w:bottom w:val="none" w:sz="0" w:space="0" w:color="auto"/>
        <w:right w:val="none" w:sz="0" w:space="0" w:color="auto"/>
      </w:divBdr>
    </w:div>
    <w:div w:id="604003021">
      <w:bodyDiv w:val="1"/>
      <w:marLeft w:val="0"/>
      <w:marRight w:val="0"/>
      <w:marTop w:val="0"/>
      <w:marBottom w:val="0"/>
      <w:divBdr>
        <w:top w:val="none" w:sz="0" w:space="0" w:color="auto"/>
        <w:left w:val="none" w:sz="0" w:space="0" w:color="auto"/>
        <w:bottom w:val="none" w:sz="0" w:space="0" w:color="auto"/>
        <w:right w:val="none" w:sz="0" w:space="0" w:color="auto"/>
      </w:divBdr>
      <w:divsChild>
        <w:div w:id="1191649436">
          <w:marLeft w:val="0"/>
          <w:marRight w:val="0"/>
          <w:marTop w:val="0"/>
          <w:marBottom w:val="0"/>
          <w:divBdr>
            <w:top w:val="none" w:sz="0" w:space="0" w:color="auto"/>
            <w:left w:val="none" w:sz="0" w:space="0" w:color="auto"/>
            <w:bottom w:val="none" w:sz="0" w:space="0" w:color="auto"/>
            <w:right w:val="none" w:sz="0" w:space="0" w:color="auto"/>
          </w:divBdr>
          <w:divsChild>
            <w:div w:id="1145005508">
              <w:marLeft w:val="0"/>
              <w:marRight w:val="0"/>
              <w:marTop w:val="0"/>
              <w:marBottom w:val="0"/>
              <w:divBdr>
                <w:top w:val="none" w:sz="0" w:space="0" w:color="auto"/>
                <w:left w:val="none" w:sz="0" w:space="0" w:color="auto"/>
                <w:bottom w:val="none" w:sz="0" w:space="0" w:color="auto"/>
                <w:right w:val="none" w:sz="0" w:space="0" w:color="auto"/>
              </w:divBdr>
              <w:divsChild>
                <w:div w:id="1293751736">
                  <w:marLeft w:val="0"/>
                  <w:marRight w:val="0"/>
                  <w:marTop w:val="0"/>
                  <w:marBottom w:val="0"/>
                  <w:divBdr>
                    <w:top w:val="none" w:sz="0" w:space="0" w:color="auto"/>
                    <w:left w:val="none" w:sz="0" w:space="0" w:color="auto"/>
                    <w:bottom w:val="none" w:sz="0" w:space="0" w:color="auto"/>
                    <w:right w:val="none" w:sz="0" w:space="0" w:color="auto"/>
                  </w:divBdr>
                  <w:divsChild>
                    <w:div w:id="21361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93502">
      <w:bodyDiv w:val="1"/>
      <w:marLeft w:val="0"/>
      <w:marRight w:val="0"/>
      <w:marTop w:val="0"/>
      <w:marBottom w:val="0"/>
      <w:divBdr>
        <w:top w:val="none" w:sz="0" w:space="0" w:color="auto"/>
        <w:left w:val="none" w:sz="0" w:space="0" w:color="auto"/>
        <w:bottom w:val="none" w:sz="0" w:space="0" w:color="auto"/>
        <w:right w:val="none" w:sz="0" w:space="0" w:color="auto"/>
      </w:divBdr>
    </w:div>
    <w:div w:id="606230529">
      <w:bodyDiv w:val="1"/>
      <w:marLeft w:val="0"/>
      <w:marRight w:val="0"/>
      <w:marTop w:val="0"/>
      <w:marBottom w:val="0"/>
      <w:divBdr>
        <w:top w:val="none" w:sz="0" w:space="0" w:color="auto"/>
        <w:left w:val="none" w:sz="0" w:space="0" w:color="auto"/>
        <w:bottom w:val="none" w:sz="0" w:space="0" w:color="auto"/>
        <w:right w:val="none" w:sz="0" w:space="0" w:color="auto"/>
      </w:divBdr>
      <w:divsChild>
        <w:div w:id="184446888">
          <w:marLeft w:val="0"/>
          <w:marRight w:val="0"/>
          <w:marTop w:val="0"/>
          <w:marBottom w:val="0"/>
          <w:divBdr>
            <w:top w:val="none" w:sz="0" w:space="0" w:color="auto"/>
            <w:left w:val="none" w:sz="0" w:space="0" w:color="auto"/>
            <w:bottom w:val="none" w:sz="0" w:space="0" w:color="auto"/>
            <w:right w:val="none" w:sz="0" w:space="0" w:color="auto"/>
          </w:divBdr>
        </w:div>
        <w:div w:id="872421954">
          <w:marLeft w:val="0"/>
          <w:marRight w:val="0"/>
          <w:marTop w:val="0"/>
          <w:marBottom w:val="0"/>
          <w:divBdr>
            <w:top w:val="none" w:sz="0" w:space="0" w:color="auto"/>
            <w:left w:val="none" w:sz="0" w:space="0" w:color="auto"/>
            <w:bottom w:val="none" w:sz="0" w:space="0" w:color="auto"/>
            <w:right w:val="none" w:sz="0" w:space="0" w:color="auto"/>
          </w:divBdr>
        </w:div>
        <w:div w:id="1245720471">
          <w:marLeft w:val="0"/>
          <w:marRight w:val="0"/>
          <w:marTop w:val="0"/>
          <w:marBottom w:val="0"/>
          <w:divBdr>
            <w:top w:val="none" w:sz="0" w:space="0" w:color="auto"/>
            <w:left w:val="none" w:sz="0" w:space="0" w:color="auto"/>
            <w:bottom w:val="none" w:sz="0" w:space="0" w:color="auto"/>
            <w:right w:val="none" w:sz="0" w:space="0" w:color="auto"/>
          </w:divBdr>
        </w:div>
        <w:div w:id="1305308552">
          <w:marLeft w:val="0"/>
          <w:marRight w:val="0"/>
          <w:marTop w:val="0"/>
          <w:marBottom w:val="0"/>
          <w:divBdr>
            <w:top w:val="none" w:sz="0" w:space="0" w:color="auto"/>
            <w:left w:val="none" w:sz="0" w:space="0" w:color="auto"/>
            <w:bottom w:val="none" w:sz="0" w:space="0" w:color="auto"/>
            <w:right w:val="none" w:sz="0" w:space="0" w:color="auto"/>
          </w:divBdr>
        </w:div>
      </w:divsChild>
    </w:div>
    <w:div w:id="608779317">
      <w:bodyDiv w:val="1"/>
      <w:marLeft w:val="0"/>
      <w:marRight w:val="0"/>
      <w:marTop w:val="0"/>
      <w:marBottom w:val="0"/>
      <w:divBdr>
        <w:top w:val="none" w:sz="0" w:space="0" w:color="auto"/>
        <w:left w:val="none" w:sz="0" w:space="0" w:color="auto"/>
        <w:bottom w:val="none" w:sz="0" w:space="0" w:color="auto"/>
        <w:right w:val="none" w:sz="0" w:space="0" w:color="auto"/>
      </w:divBdr>
    </w:div>
    <w:div w:id="609506059">
      <w:bodyDiv w:val="1"/>
      <w:marLeft w:val="0"/>
      <w:marRight w:val="0"/>
      <w:marTop w:val="0"/>
      <w:marBottom w:val="0"/>
      <w:divBdr>
        <w:top w:val="none" w:sz="0" w:space="0" w:color="auto"/>
        <w:left w:val="none" w:sz="0" w:space="0" w:color="auto"/>
        <w:bottom w:val="none" w:sz="0" w:space="0" w:color="auto"/>
        <w:right w:val="none" w:sz="0" w:space="0" w:color="auto"/>
      </w:divBdr>
    </w:div>
    <w:div w:id="626203052">
      <w:bodyDiv w:val="1"/>
      <w:marLeft w:val="0"/>
      <w:marRight w:val="0"/>
      <w:marTop w:val="0"/>
      <w:marBottom w:val="0"/>
      <w:divBdr>
        <w:top w:val="none" w:sz="0" w:space="0" w:color="auto"/>
        <w:left w:val="none" w:sz="0" w:space="0" w:color="auto"/>
        <w:bottom w:val="none" w:sz="0" w:space="0" w:color="auto"/>
        <w:right w:val="none" w:sz="0" w:space="0" w:color="auto"/>
      </w:divBdr>
    </w:div>
    <w:div w:id="627668764">
      <w:bodyDiv w:val="1"/>
      <w:marLeft w:val="0"/>
      <w:marRight w:val="0"/>
      <w:marTop w:val="0"/>
      <w:marBottom w:val="0"/>
      <w:divBdr>
        <w:top w:val="none" w:sz="0" w:space="0" w:color="auto"/>
        <w:left w:val="none" w:sz="0" w:space="0" w:color="auto"/>
        <w:bottom w:val="none" w:sz="0" w:space="0" w:color="auto"/>
        <w:right w:val="none" w:sz="0" w:space="0" w:color="auto"/>
      </w:divBdr>
    </w:div>
    <w:div w:id="627785218">
      <w:bodyDiv w:val="1"/>
      <w:marLeft w:val="0"/>
      <w:marRight w:val="0"/>
      <w:marTop w:val="0"/>
      <w:marBottom w:val="0"/>
      <w:divBdr>
        <w:top w:val="none" w:sz="0" w:space="0" w:color="auto"/>
        <w:left w:val="none" w:sz="0" w:space="0" w:color="auto"/>
        <w:bottom w:val="none" w:sz="0" w:space="0" w:color="auto"/>
        <w:right w:val="none" w:sz="0" w:space="0" w:color="auto"/>
      </w:divBdr>
    </w:div>
    <w:div w:id="629241771">
      <w:bodyDiv w:val="1"/>
      <w:marLeft w:val="0"/>
      <w:marRight w:val="0"/>
      <w:marTop w:val="0"/>
      <w:marBottom w:val="0"/>
      <w:divBdr>
        <w:top w:val="none" w:sz="0" w:space="0" w:color="auto"/>
        <w:left w:val="none" w:sz="0" w:space="0" w:color="auto"/>
        <w:bottom w:val="none" w:sz="0" w:space="0" w:color="auto"/>
        <w:right w:val="none" w:sz="0" w:space="0" w:color="auto"/>
      </w:divBdr>
    </w:div>
    <w:div w:id="633873114">
      <w:bodyDiv w:val="1"/>
      <w:marLeft w:val="0"/>
      <w:marRight w:val="0"/>
      <w:marTop w:val="0"/>
      <w:marBottom w:val="0"/>
      <w:divBdr>
        <w:top w:val="none" w:sz="0" w:space="0" w:color="auto"/>
        <w:left w:val="none" w:sz="0" w:space="0" w:color="auto"/>
        <w:bottom w:val="none" w:sz="0" w:space="0" w:color="auto"/>
        <w:right w:val="none" w:sz="0" w:space="0" w:color="auto"/>
      </w:divBdr>
    </w:div>
    <w:div w:id="642391758">
      <w:bodyDiv w:val="1"/>
      <w:marLeft w:val="0"/>
      <w:marRight w:val="0"/>
      <w:marTop w:val="0"/>
      <w:marBottom w:val="0"/>
      <w:divBdr>
        <w:top w:val="none" w:sz="0" w:space="0" w:color="auto"/>
        <w:left w:val="none" w:sz="0" w:space="0" w:color="auto"/>
        <w:bottom w:val="none" w:sz="0" w:space="0" w:color="auto"/>
        <w:right w:val="none" w:sz="0" w:space="0" w:color="auto"/>
      </w:divBdr>
    </w:div>
    <w:div w:id="650404396">
      <w:bodyDiv w:val="1"/>
      <w:marLeft w:val="0"/>
      <w:marRight w:val="0"/>
      <w:marTop w:val="0"/>
      <w:marBottom w:val="0"/>
      <w:divBdr>
        <w:top w:val="none" w:sz="0" w:space="0" w:color="auto"/>
        <w:left w:val="none" w:sz="0" w:space="0" w:color="auto"/>
        <w:bottom w:val="none" w:sz="0" w:space="0" w:color="auto"/>
        <w:right w:val="none" w:sz="0" w:space="0" w:color="auto"/>
      </w:divBdr>
      <w:divsChild>
        <w:div w:id="465316225">
          <w:marLeft w:val="806"/>
          <w:marRight w:val="0"/>
          <w:marTop w:val="75"/>
          <w:marBottom w:val="0"/>
          <w:divBdr>
            <w:top w:val="none" w:sz="0" w:space="0" w:color="auto"/>
            <w:left w:val="none" w:sz="0" w:space="0" w:color="auto"/>
            <w:bottom w:val="none" w:sz="0" w:space="0" w:color="auto"/>
            <w:right w:val="none" w:sz="0" w:space="0" w:color="auto"/>
          </w:divBdr>
        </w:div>
        <w:div w:id="657611039">
          <w:marLeft w:val="533"/>
          <w:marRight w:val="0"/>
          <w:marTop w:val="150"/>
          <w:marBottom w:val="0"/>
          <w:divBdr>
            <w:top w:val="none" w:sz="0" w:space="0" w:color="auto"/>
            <w:left w:val="none" w:sz="0" w:space="0" w:color="auto"/>
            <w:bottom w:val="none" w:sz="0" w:space="0" w:color="auto"/>
            <w:right w:val="none" w:sz="0" w:space="0" w:color="auto"/>
          </w:divBdr>
        </w:div>
        <w:div w:id="1779720397">
          <w:marLeft w:val="533"/>
          <w:marRight w:val="0"/>
          <w:marTop w:val="150"/>
          <w:marBottom w:val="0"/>
          <w:divBdr>
            <w:top w:val="none" w:sz="0" w:space="0" w:color="auto"/>
            <w:left w:val="none" w:sz="0" w:space="0" w:color="auto"/>
            <w:bottom w:val="none" w:sz="0" w:space="0" w:color="auto"/>
            <w:right w:val="none" w:sz="0" w:space="0" w:color="auto"/>
          </w:divBdr>
        </w:div>
        <w:div w:id="1863130134">
          <w:marLeft w:val="806"/>
          <w:marRight w:val="0"/>
          <w:marTop w:val="75"/>
          <w:marBottom w:val="0"/>
          <w:divBdr>
            <w:top w:val="none" w:sz="0" w:space="0" w:color="auto"/>
            <w:left w:val="none" w:sz="0" w:space="0" w:color="auto"/>
            <w:bottom w:val="none" w:sz="0" w:space="0" w:color="auto"/>
            <w:right w:val="none" w:sz="0" w:space="0" w:color="auto"/>
          </w:divBdr>
        </w:div>
      </w:divsChild>
    </w:div>
    <w:div w:id="663512445">
      <w:bodyDiv w:val="1"/>
      <w:marLeft w:val="0"/>
      <w:marRight w:val="0"/>
      <w:marTop w:val="0"/>
      <w:marBottom w:val="0"/>
      <w:divBdr>
        <w:top w:val="none" w:sz="0" w:space="0" w:color="auto"/>
        <w:left w:val="none" w:sz="0" w:space="0" w:color="auto"/>
        <w:bottom w:val="none" w:sz="0" w:space="0" w:color="auto"/>
        <w:right w:val="none" w:sz="0" w:space="0" w:color="auto"/>
      </w:divBdr>
      <w:divsChild>
        <w:div w:id="325016581">
          <w:marLeft w:val="806"/>
          <w:marRight w:val="0"/>
          <w:marTop w:val="75"/>
          <w:marBottom w:val="60"/>
          <w:divBdr>
            <w:top w:val="none" w:sz="0" w:space="0" w:color="auto"/>
            <w:left w:val="none" w:sz="0" w:space="0" w:color="auto"/>
            <w:bottom w:val="none" w:sz="0" w:space="0" w:color="auto"/>
            <w:right w:val="none" w:sz="0" w:space="0" w:color="auto"/>
          </w:divBdr>
        </w:div>
        <w:div w:id="547649493">
          <w:marLeft w:val="1354"/>
          <w:marRight w:val="0"/>
          <w:marTop w:val="75"/>
          <w:marBottom w:val="60"/>
          <w:divBdr>
            <w:top w:val="none" w:sz="0" w:space="0" w:color="auto"/>
            <w:left w:val="none" w:sz="0" w:space="0" w:color="auto"/>
            <w:bottom w:val="none" w:sz="0" w:space="0" w:color="auto"/>
            <w:right w:val="none" w:sz="0" w:space="0" w:color="auto"/>
          </w:divBdr>
        </w:div>
        <w:div w:id="960496320">
          <w:marLeft w:val="806"/>
          <w:marRight w:val="0"/>
          <w:marTop w:val="75"/>
          <w:marBottom w:val="60"/>
          <w:divBdr>
            <w:top w:val="none" w:sz="0" w:space="0" w:color="auto"/>
            <w:left w:val="none" w:sz="0" w:space="0" w:color="auto"/>
            <w:bottom w:val="none" w:sz="0" w:space="0" w:color="auto"/>
            <w:right w:val="none" w:sz="0" w:space="0" w:color="auto"/>
          </w:divBdr>
        </w:div>
        <w:div w:id="1035350778">
          <w:marLeft w:val="806"/>
          <w:marRight w:val="0"/>
          <w:marTop w:val="75"/>
          <w:marBottom w:val="60"/>
          <w:divBdr>
            <w:top w:val="none" w:sz="0" w:space="0" w:color="auto"/>
            <w:left w:val="none" w:sz="0" w:space="0" w:color="auto"/>
            <w:bottom w:val="none" w:sz="0" w:space="0" w:color="auto"/>
            <w:right w:val="none" w:sz="0" w:space="0" w:color="auto"/>
          </w:divBdr>
        </w:div>
        <w:div w:id="1038898049">
          <w:marLeft w:val="533"/>
          <w:marRight w:val="0"/>
          <w:marTop w:val="150"/>
          <w:marBottom w:val="60"/>
          <w:divBdr>
            <w:top w:val="none" w:sz="0" w:space="0" w:color="auto"/>
            <w:left w:val="none" w:sz="0" w:space="0" w:color="auto"/>
            <w:bottom w:val="none" w:sz="0" w:space="0" w:color="auto"/>
            <w:right w:val="none" w:sz="0" w:space="0" w:color="auto"/>
          </w:divBdr>
        </w:div>
        <w:div w:id="1156606067">
          <w:marLeft w:val="1354"/>
          <w:marRight w:val="0"/>
          <w:marTop w:val="75"/>
          <w:marBottom w:val="60"/>
          <w:divBdr>
            <w:top w:val="none" w:sz="0" w:space="0" w:color="auto"/>
            <w:left w:val="none" w:sz="0" w:space="0" w:color="auto"/>
            <w:bottom w:val="none" w:sz="0" w:space="0" w:color="auto"/>
            <w:right w:val="none" w:sz="0" w:space="0" w:color="auto"/>
          </w:divBdr>
        </w:div>
      </w:divsChild>
    </w:div>
    <w:div w:id="673994777">
      <w:bodyDiv w:val="1"/>
      <w:marLeft w:val="0"/>
      <w:marRight w:val="0"/>
      <w:marTop w:val="0"/>
      <w:marBottom w:val="0"/>
      <w:divBdr>
        <w:top w:val="none" w:sz="0" w:space="0" w:color="auto"/>
        <w:left w:val="none" w:sz="0" w:space="0" w:color="auto"/>
        <w:bottom w:val="none" w:sz="0" w:space="0" w:color="auto"/>
        <w:right w:val="none" w:sz="0" w:space="0" w:color="auto"/>
      </w:divBdr>
    </w:div>
    <w:div w:id="675812674">
      <w:bodyDiv w:val="1"/>
      <w:marLeft w:val="0"/>
      <w:marRight w:val="0"/>
      <w:marTop w:val="0"/>
      <w:marBottom w:val="0"/>
      <w:divBdr>
        <w:top w:val="none" w:sz="0" w:space="0" w:color="auto"/>
        <w:left w:val="none" w:sz="0" w:space="0" w:color="auto"/>
        <w:bottom w:val="none" w:sz="0" w:space="0" w:color="auto"/>
        <w:right w:val="none" w:sz="0" w:space="0" w:color="auto"/>
      </w:divBdr>
    </w:div>
    <w:div w:id="677076181">
      <w:bodyDiv w:val="1"/>
      <w:marLeft w:val="0"/>
      <w:marRight w:val="0"/>
      <w:marTop w:val="0"/>
      <w:marBottom w:val="0"/>
      <w:divBdr>
        <w:top w:val="none" w:sz="0" w:space="0" w:color="auto"/>
        <w:left w:val="none" w:sz="0" w:space="0" w:color="auto"/>
        <w:bottom w:val="none" w:sz="0" w:space="0" w:color="auto"/>
        <w:right w:val="none" w:sz="0" w:space="0" w:color="auto"/>
      </w:divBdr>
    </w:div>
    <w:div w:id="702294182">
      <w:bodyDiv w:val="1"/>
      <w:marLeft w:val="0"/>
      <w:marRight w:val="0"/>
      <w:marTop w:val="0"/>
      <w:marBottom w:val="0"/>
      <w:divBdr>
        <w:top w:val="none" w:sz="0" w:space="0" w:color="auto"/>
        <w:left w:val="none" w:sz="0" w:space="0" w:color="auto"/>
        <w:bottom w:val="none" w:sz="0" w:space="0" w:color="auto"/>
        <w:right w:val="none" w:sz="0" w:space="0" w:color="auto"/>
      </w:divBdr>
    </w:div>
    <w:div w:id="732315294">
      <w:bodyDiv w:val="1"/>
      <w:marLeft w:val="0"/>
      <w:marRight w:val="0"/>
      <w:marTop w:val="0"/>
      <w:marBottom w:val="0"/>
      <w:divBdr>
        <w:top w:val="none" w:sz="0" w:space="0" w:color="auto"/>
        <w:left w:val="none" w:sz="0" w:space="0" w:color="auto"/>
        <w:bottom w:val="none" w:sz="0" w:space="0" w:color="auto"/>
        <w:right w:val="none" w:sz="0" w:space="0" w:color="auto"/>
      </w:divBdr>
    </w:div>
    <w:div w:id="736242703">
      <w:bodyDiv w:val="1"/>
      <w:marLeft w:val="0"/>
      <w:marRight w:val="0"/>
      <w:marTop w:val="0"/>
      <w:marBottom w:val="0"/>
      <w:divBdr>
        <w:top w:val="none" w:sz="0" w:space="0" w:color="auto"/>
        <w:left w:val="none" w:sz="0" w:space="0" w:color="auto"/>
        <w:bottom w:val="none" w:sz="0" w:space="0" w:color="auto"/>
        <w:right w:val="none" w:sz="0" w:space="0" w:color="auto"/>
      </w:divBdr>
      <w:divsChild>
        <w:div w:id="1778327041">
          <w:marLeft w:val="0"/>
          <w:marRight w:val="0"/>
          <w:marTop w:val="0"/>
          <w:marBottom w:val="0"/>
          <w:divBdr>
            <w:top w:val="none" w:sz="0" w:space="0" w:color="auto"/>
            <w:left w:val="none" w:sz="0" w:space="0" w:color="auto"/>
            <w:bottom w:val="none" w:sz="0" w:space="0" w:color="auto"/>
            <w:right w:val="none" w:sz="0" w:space="0" w:color="auto"/>
          </w:divBdr>
          <w:divsChild>
            <w:div w:id="1618178863">
              <w:marLeft w:val="0"/>
              <w:marRight w:val="0"/>
              <w:marTop w:val="0"/>
              <w:marBottom w:val="0"/>
              <w:divBdr>
                <w:top w:val="none" w:sz="0" w:space="0" w:color="auto"/>
                <w:left w:val="none" w:sz="0" w:space="0" w:color="auto"/>
                <w:bottom w:val="none" w:sz="0" w:space="0" w:color="auto"/>
                <w:right w:val="none" w:sz="0" w:space="0" w:color="auto"/>
              </w:divBdr>
              <w:divsChild>
                <w:div w:id="1683435492">
                  <w:marLeft w:val="0"/>
                  <w:marRight w:val="0"/>
                  <w:marTop w:val="0"/>
                  <w:marBottom w:val="0"/>
                  <w:divBdr>
                    <w:top w:val="none" w:sz="0" w:space="0" w:color="auto"/>
                    <w:left w:val="none" w:sz="0" w:space="0" w:color="auto"/>
                    <w:bottom w:val="none" w:sz="0" w:space="0" w:color="auto"/>
                    <w:right w:val="none" w:sz="0" w:space="0" w:color="auto"/>
                  </w:divBdr>
                  <w:divsChild>
                    <w:div w:id="19761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80926">
      <w:bodyDiv w:val="1"/>
      <w:marLeft w:val="0"/>
      <w:marRight w:val="0"/>
      <w:marTop w:val="0"/>
      <w:marBottom w:val="0"/>
      <w:divBdr>
        <w:top w:val="none" w:sz="0" w:space="0" w:color="auto"/>
        <w:left w:val="none" w:sz="0" w:space="0" w:color="auto"/>
        <w:bottom w:val="none" w:sz="0" w:space="0" w:color="auto"/>
        <w:right w:val="none" w:sz="0" w:space="0" w:color="auto"/>
      </w:divBdr>
    </w:div>
    <w:div w:id="755054211">
      <w:bodyDiv w:val="1"/>
      <w:marLeft w:val="0"/>
      <w:marRight w:val="0"/>
      <w:marTop w:val="0"/>
      <w:marBottom w:val="0"/>
      <w:divBdr>
        <w:top w:val="none" w:sz="0" w:space="0" w:color="auto"/>
        <w:left w:val="none" w:sz="0" w:space="0" w:color="auto"/>
        <w:bottom w:val="none" w:sz="0" w:space="0" w:color="auto"/>
        <w:right w:val="none" w:sz="0" w:space="0" w:color="auto"/>
      </w:divBdr>
    </w:div>
    <w:div w:id="755901292">
      <w:bodyDiv w:val="1"/>
      <w:marLeft w:val="0"/>
      <w:marRight w:val="0"/>
      <w:marTop w:val="0"/>
      <w:marBottom w:val="0"/>
      <w:divBdr>
        <w:top w:val="none" w:sz="0" w:space="0" w:color="auto"/>
        <w:left w:val="none" w:sz="0" w:space="0" w:color="auto"/>
        <w:bottom w:val="none" w:sz="0" w:space="0" w:color="auto"/>
        <w:right w:val="none" w:sz="0" w:space="0" w:color="auto"/>
      </w:divBdr>
    </w:div>
    <w:div w:id="756556449">
      <w:bodyDiv w:val="1"/>
      <w:marLeft w:val="0"/>
      <w:marRight w:val="0"/>
      <w:marTop w:val="0"/>
      <w:marBottom w:val="0"/>
      <w:divBdr>
        <w:top w:val="none" w:sz="0" w:space="0" w:color="auto"/>
        <w:left w:val="none" w:sz="0" w:space="0" w:color="auto"/>
        <w:bottom w:val="none" w:sz="0" w:space="0" w:color="auto"/>
        <w:right w:val="none" w:sz="0" w:space="0" w:color="auto"/>
      </w:divBdr>
    </w:div>
    <w:div w:id="763184027">
      <w:bodyDiv w:val="1"/>
      <w:marLeft w:val="0"/>
      <w:marRight w:val="0"/>
      <w:marTop w:val="0"/>
      <w:marBottom w:val="0"/>
      <w:divBdr>
        <w:top w:val="none" w:sz="0" w:space="0" w:color="auto"/>
        <w:left w:val="none" w:sz="0" w:space="0" w:color="auto"/>
        <w:bottom w:val="none" w:sz="0" w:space="0" w:color="auto"/>
        <w:right w:val="none" w:sz="0" w:space="0" w:color="auto"/>
      </w:divBdr>
    </w:div>
    <w:div w:id="778186883">
      <w:bodyDiv w:val="1"/>
      <w:marLeft w:val="0"/>
      <w:marRight w:val="0"/>
      <w:marTop w:val="0"/>
      <w:marBottom w:val="0"/>
      <w:divBdr>
        <w:top w:val="none" w:sz="0" w:space="0" w:color="auto"/>
        <w:left w:val="none" w:sz="0" w:space="0" w:color="auto"/>
        <w:bottom w:val="none" w:sz="0" w:space="0" w:color="auto"/>
        <w:right w:val="none" w:sz="0" w:space="0" w:color="auto"/>
      </w:divBdr>
      <w:divsChild>
        <w:div w:id="327364222">
          <w:marLeft w:val="806"/>
          <w:marRight w:val="0"/>
          <w:marTop w:val="75"/>
          <w:marBottom w:val="60"/>
          <w:divBdr>
            <w:top w:val="none" w:sz="0" w:space="0" w:color="auto"/>
            <w:left w:val="none" w:sz="0" w:space="0" w:color="auto"/>
            <w:bottom w:val="none" w:sz="0" w:space="0" w:color="auto"/>
            <w:right w:val="none" w:sz="0" w:space="0" w:color="auto"/>
          </w:divBdr>
        </w:div>
      </w:divsChild>
    </w:div>
    <w:div w:id="781612840">
      <w:bodyDiv w:val="1"/>
      <w:marLeft w:val="0"/>
      <w:marRight w:val="0"/>
      <w:marTop w:val="0"/>
      <w:marBottom w:val="0"/>
      <w:divBdr>
        <w:top w:val="none" w:sz="0" w:space="0" w:color="auto"/>
        <w:left w:val="none" w:sz="0" w:space="0" w:color="auto"/>
        <w:bottom w:val="none" w:sz="0" w:space="0" w:color="auto"/>
        <w:right w:val="none" w:sz="0" w:space="0" w:color="auto"/>
      </w:divBdr>
    </w:div>
    <w:div w:id="783159837">
      <w:bodyDiv w:val="1"/>
      <w:marLeft w:val="0"/>
      <w:marRight w:val="0"/>
      <w:marTop w:val="0"/>
      <w:marBottom w:val="0"/>
      <w:divBdr>
        <w:top w:val="none" w:sz="0" w:space="0" w:color="auto"/>
        <w:left w:val="none" w:sz="0" w:space="0" w:color="auto"/>
        <w:bottom w:val="none" w:sz="0" w:space="0" w:color="auto"/>
        <w:right w:val="none" w:sz="0" w:space="0" w:color="auto"/>
      </w:divBdr>
      <w:divsChild>
        <w:div w:id="754326548">
          <w:marLeft w:val="533"/>
          <w:marRight w:val="0"/>
          <w:marTop w:val="150"/>
          <w:marBottom w:val="0"/>
          <w:divBdr>
            <w:top w:val="none" w:sz="0" w:space="0" w:color="auto"/>
            <w:left w:val="none" w:sz="0" w:space="0" w:color="auto"/>
            <w:bottom w:val="none" w:sz="0" w:space="0" w:color="auto"/>
            <w:right w:val="none" w:sz="0" w:space="0" w:color="auto"/>
          </w:divBdr>
        </w:div>
        <w:div w:id="1169246065">
          <w:marLeft w:val="533"/>
          <w:marRight w:val="0"/>
          <w:marTop w:val="150"/>
          <w:marBottom w:val="0"/>
          <w:divBdr>
            <w:top w:val="none" w:sz="0" w:space="0" w:color="auto"/>
            <w:left w:val="none" w:sz="0" w:space="0" w:color="auto"/>
            <w:bottom w:val="none" w:sz="0" w:space="0" w:color="auto"/>
            <w:right w:val="none" w:sz="0" w:space="0" w:color="auto"/>
          </w:divBdr>
        </w:div>
        <w:div w:id="1268268491">
          <w:marLeft w:val="533"/>
          <w:marRight w:val="0"/>
          <w:marTop w:val="150"/>
          <w:marBottom w:val="0"/>
          <w:divBdr>
            <w:top w:val="none" w:sz="0" w:space="0" w:color="auto"/>
            <w:left w:val="none" w:sz="0" w:space="0" w:color="auto"/>
            <w:bottom w:val="none" w:sz="0" w:space="0" w:color="auto"/>
            <w:right w:val="none" w:sz="0" w:space="0" w:color="auto"/>
          </w:divBdr>
        </w:div>
        <w:div w:id="1893537237">
          <w:marLeft w:val="533"/>
          <w:marRight w:val="0"/>
          <w:marTop w:val="150"/>
          <w:marBottom w:val="0"/>
          <w:divBdr>
            <w:top w:val="none" w:sz="0" w:space="0" w:color="auto"/>
            <w:left w:val="none" w:sz="0" w:space="0" w:color="auto"/>
            <w:bottom w:val="none" w:sz="0" w:space="0" w:color="auto"/>
            <w:right w:val="none" w:sz="0" w:space="0" w:color="auto"/>
          </w:divBdr>
        </w:div>
      </w:divsChild>
    </w:div>
    <w:div w:id="785350047">
      <w:bodyDiv w:val="1"/>
      <w:marLeft w:val="0"/>
      <w:marRight w:val="0"/>
      <w:marTop w:val="0"/>
      <w:marBottom w:val="0"/>
      <w:divBdr>
        <w:top w:val="none" w:sz="0" w:space="0" w:color="auto"/>
        <w:left w:val="none" w:sz="0" w:space="0" w:color="auto"/>
        <w:bottom w:val="none" w:sz="0" w:space="0" w:color="auto"/>
        <w:right w:val="none" w:sz="0" w:space="0" w:color="auto"/>
      </w:divBdr>
      <w:divsChild>
        <w:div w:id="1652370016">
          <w:marLeft w:val="0"/>
          <w:marRight w:val="0"/>
          <w:marTop w:val="0"/>
          <w:marBottom w:val="0"/>
          <w:divBdr>
            <w:top w:val="none" w:sz="0" w:space="0" w:color="auto"/>
            <w:left w:val="none" w:sz="0" w:space="0" w:color="auto"/>
            <w:bottom w:val="none" w:sz="0" w:space="0" w:color="auto"/>
            <w:right w:val="none" w:sz="0" w:space="0" w:color="auto"/>
          </w:divBdr>
          <w:divsChild>
            <w:div w:id="934362696">
              <w:marLeft w:val="0"/>
              <w:marRight w:val="0"/>
              <w:marTop w:val="0"/>
              <w:marBottom w:val="0"/>
              <w:divBdr>
                <w:top w:val="none" w:sz="0" w:space="0" w:color="auto"/>
                <w:left w:val="none" w:sz="0" w:space="0" w:color="auto"/>
                <w:bottom w:val="none" w:sz="0" w:space="0" w:color="auto"/>
                <w:right w:val="none" w:sz="0" w:space="0" w:color="auto"/>
              </w:divBdr>
              <w:divsChild>
                <w:div w:id="288707931">
                  <w:marLeft w:val="0"/>
                  <w:marRight w:val="0"/>
                  <w:marTop w:val="0"/>
                  <w:marBottom w:val="0"/>
                  <w:divBdr>
                    <w:top w:val="none" w:sz="0" w:space="0" w:color="auto"/>
                    <w:left w:val="none" w:sz="0" w:space="0" w:color="auto"/>
                    <w:bottom w:val="none" w:sz="0" w:space="0" w:color="auto"/>
                    <w:right w:val="none" w:sz="0" w:space="0" w:color="auto"/>
                  </w:divBdr>
                  <w:divsChild>
                    <w:div w:id="8258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55402">
      <w:bodyDiv w:val="1"/>
      <w:marLeft w:val="0"/>
      <w:marRight w:val="0"/>
      <w:marTop w:val="0"/>
      <w:marBottom w:val="0"/>
      <w:divBdr>
        <w:top w:val="none" w:sz="0" w:space="0" w:color="auto"/>
        <w:left w:val="none" w:sz="0" w:space="0" w:color="auto"/>
        <w:bottom w:val="none" w:sz="0" w:space="0" w:color="auto"/>
        <w:right w:val="none" w:sz="0" w:space="0" w:color="auto"/>
      </w:divBdr>
    </w:div>
    <w:div w:id="800616843">
      <w:bodyDiv w:val="1"/>
      <w:marLeft w:val="0"/>
      <w:marRight w:val="0"/>
      <w:marTop w:val="0"/>
      <w:marBottom w:val="0"/>
      <w:divBdr>
        <w:top w:val="none" w:sz="0" w:space="0" w:color="auto"/>
        <w:left w:val="none" w:sz="0" w:space="0" w:color="auto"/>
        <w:bottom w:val="none" w:sz="0" w:space="0" w:color="auto"/>
        <w:right w:val="none" w:sz="0" w:space="0" w:color="auto"/>
      </w:divBdr>
      <w:divsChild>
        <w:div w:id="103043083">
          <w:marLeft w:val="0"/>
          <w:marRight w:val="0"/>
          <w:marTop w:val="0"/>
          <w:marBottom w:val="0"/>
          <w:divBdr>
            <w:top w:val="none" w:sz="0" w:space="0" w:color="auto"/>
            <w:left w:val="none" w:sz="0" w:space="0" w:color="auto"/>
            <w:bottom w:val="none" w:sz="0" w:space="0" w:color="auto"/>
            <w:right w:val="none" w:sz="0" w:space="0" w:color="auto"/>
          </w:divBdr>
        </w:div>
        <w:div w:id="935362273">
          <w:marLeft w:val="0"/>
          <w:marRight w:val="0"/>
          <w:marTop w:val="0"/>
          <w:marBottom w:val="0"/>
          <w:divBdr>
            <w:top w:val="none" w:sz="0" w:space="0" w:color="auto"/>
            <w:left w:val="none" w:sz="0" w:space="0" w:color="auto"/>
            <w:bottom w:val="none" w:sz="0" w:space="0" w:color="auto"/>
            <w:right w:val="none" w:sz="0" w:space="0" w:color="auto"/>
          </w:divBdr>
        </w:div>
        <w:div w:id="1476338722">
          <w:marLeft w:val="0"/>
          <w:marRight w:val="0"/>
          <w:marTop w:val="0"/>
          <w:marBottom w:val="0"/>
          <w:divBdr>
            <w:top w:val="none" w:sz="0" w:space="0" w:color="auto"/>
            <w:left w:val="none" w:sz="0" w:space="0" w:color="auto"/>
            <w:bottom w:val="none" w:sz="0" w:space="0" w:color="auto"/>
            <w:right w:val="none" w:sz="0" w:space="0" w:color="auto"/>
          </w:divBdr>
          <w:divsChild>
            <w:div w:id="1635210682">
              <w:marLeft w:val="-75"/>
              <w:marRight w:val="0"/>
              <w:marTop w:val="30"/>
              <w:marBottom w:val="30"/>
              <w:divBdr>
                <w:top w:val="none" w:sz="0" w:space="0" w:color="auto"/>
                <w:left w:val="none" w:sz="0" w:space="0" w:color="auto"/>
                <w:bottom w:val="none" w:sz="0" w:space="0" w:color="auto"/>
                <w:right w:val="none" w:sz="0" w:space="0" w:color="auto"/>
              </w:divBdr>
              <w:divsChild>
                <w:div w:id="910428149">
                  <w:marLeft w:val="0"/>
                  <w:marRight w:val="0"/>
                  <w:marTop w:val="0"/>
                  <w:marBottom w:val="0"/>
                  <w:divBdr>
                    <w:top w:val="none" w:sz="0" w:space="0" w:color="auto"/>
                    <w:left w:val="none" w:sz="0" w:space="0" w:color="auto"/>
                    <w:bottom w:val="none" w:sz="0" w:space="0" w:color="auto"/>
                    <w:right w:val="none" w:sz="0" w:space="0" w:color="auto"/>
                  </w:divBdr>
                  <w:divsChild>
                    <w:div w:id="1422483000">
                      <w:marLeft w:val="0"/>
                      <w:marRight w:val="0"/>
                      <w:marTop w:val="0"/>
                      <w:marBottom w:val="0"/>
                      <w:divBdr>
                        <w:top w:val="none" w:sz="0" w:space="0" w:color="auto"/>
                        <w:left w:val="none" w:sz="0" w:space="0" w:color="auto"/>
                        <w:bottom w:val="none" w:sz="0" w:space="0" w:color="auto"/>
                        <w:right w:val="none" w:sz="0" w:space="0" w:color="auto"/>
                      </w:divBdr>
                    </w:div>
                    <w:div w:id="1546671625">
                      <w:marLeft w:val="0"/>
                      <w:marRight w:val="0"/>
                      <w:marTop w:val="0"/>
                      <w:marBottom w:val="0"/>
                      <w:divBdr>
                        <w:top w:val="none" w:sz="0" w:space="0" w:color="auto"/>
                        <w:left w:val="none" w:sz="0" w:space="0" w:color="auto"/>
                        <w:bottom w:val="none" w:sz="0" w:space="0" w:color="auto"/>
                        <w:right w:val="none" w:sz="0" w:space="0" w:color="auto"/>
                      </w:divBdr>
                    </w:div>
                  </w:divsChild>
                </w:div>
                <w:div w:id="1029914184">
                  <w:marLeft w:val="0"/>
                  <w:marRight w:val="0"/>
                  <w:marTop w:val="0"/>
                  <w:marBottom w:val="0"/>
                  <w:divBdr>
                    <w:top w:val="none" w:sz="0" w:space="0" w:color="auto"/>
                    <w:left w:val="none" w:sz="0" w:space="0" w:color="auto"/>
                    <w:bottom w:val="none" w:sz="0" w:space="0" w:color="auto"/>
                    <w:right w:val="none" w:sz="0" w:space="0" w:color="auto"/>
                  </w:divBdr>
                  <w:divsChild>
                    <w:div w:id="831988129">
                      <w:marLeft w:val="0"/>
                      <w:marRight w:val="0"/>
                      <w:marTop w:val="0"/>
                      <w:marBottom w:val="0"/>
                      <w:divBdr>
                        <w:top w:val="none" w:sz="0" w:space="0" w:color="auto"/>
                        <w:left w:val="none" w:sz="0" w:space="0" w:color="auto"/>
                        <w:bottom w:val="none" w:sz="0" w:space="0" w:color="auto"/>
                        <w:right w:val="none" w:sz="0" w:space="0" w:color="auto"/>
                      </w:divBdr>
                    </w:div>
                    <w:div w:id="1215115772">
                      <w:marLeft w:val="0"/>
                      <w:marRight w:val="0"/>
                      <w:marTop w:val="0"/>
                      <w:marBottom w:val="0"/>
                      <w:divBdr>
                        <w:top w:val="none" w:sz="0" w:space="0" w:color="auto"/>
                        <w:left w:val="none" w:sz="0" w:space="0" w:color="auto"/>
                        <w:bottom w:val="none" w:sz="0" w:space="0" w:color="auto"/>
                        <w:right w:val="none" w:sz="0" w:space="0" w:color="auto"/>
                      </w:divBdr>
                    </w:div>
                  </w:divsChild>
                </w:div>
                <w:div w:id="1395351223">
                  <w:marLeft w:val="0"/>
                  <w:marRight w:val="0"/>
                  <w:marTop w:val="0"/>
                  <w:marBottom w:val="0"/>
                  <w:divBdr>
                    <w:top w:val="none" w:sz="0" w:space="0" w:color="auto"/>
                    <w:left w:val="none" w:sz="0" w:space="0" w:color="auto"/>
                    <w:bottom w:val="none" w:sz="0" w:space="0" w:color="auto"/>
                    <w:right w:val="none" w:sz="0" w:space="0" w:color="auto"/>
                  </w:divBdr>
                  <w:divsChild>
                    <w:div w:id="1306660920">
                      <w:marLeft w:val="0"/>
                      <w:marRight w:val="0"/>
                      <w:marTop w:val="0"/>
                      <w:marBottom w:val="0"/>
                      <w:divBdr>
                        <w:top w:val="none" w:sz="0" w:space="0" w:color="auto"/>
                        <w:left w:val="none" w:sz="0" w:space="0" w:color="auto"/>
                        <w:bottom w:val="none" w:sz="0" w:space="0" w:color="auto"/>
                        <w:right w:val="none" w:sz="0" w:space="0" w:color="auto"/>
                      </w:divBdr>
                    </w:div>
                    <w:div w:id="1608154500">
                      <w:marLeft w:val="0"/>
                      <w:marRight w:val="0"/>
                      <w:marTop w:val="0"/>
                      <w:marBottom w:val="0"/>
                      <w:divBdr>
                        <w:top w:val="none" w:sz="0" w:space="0" w:color="auto"/>
                        <w:left w:val="none" w:sz="0" w:space="0" w:color="auto"/>
                        <w:bottom w:val="none" w:sz="0" w:space="0" w:color="auto"/>
                        <w:right w:val="none" w:sz="0" w:space="0" w:color="auto"/>
                      </w:divBdr>
                    </w:div>
                  </w:divsChild>
                </w:div>
                <w:div w:id="1527206603">
                  <w:marLeft w:val="0"/>
                  <w:marRight w:val="0"/>
                  <w:marTop w:val="0"/>
                  <w:marBottom w:val="0"/>
                  <w:divBdr>
                    <w:top w:val="none" w:sz="0" w:space="0" w:color="auto"/>
                    <w:left w:val="none" w:sz="0" w:space="0" w:color="auto"/>
                    <w:bottom w:val="none" w:sz="0" w:space="0" w:color="auto"/>
                    <w:right w:val="none" w:sz="0" w:space="0" w:color="auto"/>
                  </w:divBdr>
                  <w:divsChild>
                    <w:div w:id="1030912841">
                      <w:marLeft w:val="0"/>
                      <w:marRight w:val="0"/>
                      <w:marTop w:val="0"/>
                      <w:marBottom w:val="0"/>
                      <w:divBdr>
                        <w:top w:val="none" w:sz="0" w:space="0" w:color="auto"/>
                        <w:left w:val="none" w:sz="0" w:space="0" w:color="auto"/>
                        <w:bottom w:val="none" w:sz="0" w:space="0" w:color="auto"/>
                        <w:right w:val="none" w:sz="0" w:space="0" w:color="auto"/>
                      </w:divBdr>
                    </w:div>
                    <w:div w:id="13553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90808">
      <w:bodyDiv w:val="1"/>
      <w:marLeft w:val="0"/>
      <w:marRight w:val="0"/>
      <w:marTop w:val="0"/>
      <w:marBottom w:val="0"/>
      <w:divBdr>
        <w:top w:val="none" w:sz="0" w:space="0" w:color="auto"/>
        <w:left w:val="none" w:sz="0" w:space="0" w:color="auto"/>
        <w:bottom w:val="none" w:sz="0" w:space="0" w:color="auto"/>
        <w:right w:val="none" w:sz="0" w:space="0" w:color="auto"/>
      </w:divBdr>
      <w:divsChild>
        <w:div w:id="488056269">
          <w:marLeft w:val="0"/>
          <w:marRight w:val="0"/>
          <w:marTop w:val="0"/>
          <w:marBottom w:val="0"/>
          <w:divBdr>
            <w:top w:val="none" w:sz="0" w:space="0" w:color="auto"/>
            <w:left w:val="none" w:sz="0" w:space="0" w:color="auto"/>
            <w:bottom w:val="none" w:sz="0" w:space="0" w:color="auto"/>
            <w:right w:val="none" w:sz="0" w:space="0" w:color="auto"/>
          </w:divBdr>
          <w:divsChild>
            <w:div w:id="1183131114">
              <w:marLeft w:val="0"/>
              <w:marRight w:val="0"/>
              <w:marTop w:val="0"/>
              <w:marBottom w:val="0"/>
              <w:divBdr>
                <w:top w:val="none" w:sz="0" w:space="0" w:color="auto"/>
                <w:left w:val="none" w:sz="0" w:space="0" w:color="auto"/>
                <w:bottom w:val="none" w:sz="0" w:space="0" w:color="auto"/>
                <w:right w:val="none" w:sz="0" w:space="0" w:color="auto"/>
              </w:divBdr>
              <w:divsChild>
                <w:div w:id="803933714">
                  <w:marLeft w:val="0"/>
                  <w:marRight w:val="0"/>
                  <w:marTop w:val="0"/>
                  <w:marBottom w:val="0"/>
                  <w:divBdr>
                    <w:top w:val="none" w:sz="0" w:space="0" w:color="auto"/>
                    <w:left w:val="none" w:sz="0" w:space="0" w:color="auto"/>
                    <w:bottom w:val="none" w:sz="0" w:space="0" w:color="auto"/>
                    <w:right w:val="none" w:sz="0" w:space="0" w:color="auto"/>
                  </w:divBdr>
                  <w:divsChild>
                    <w:div w:id="217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27917">
      <w:bodyDiv w:val="1"/>
      <w:marLeft w:val="0"/>
      <w:marRight w:val="0"/>
      <w:marTop w:val="0"/>
      <w:marBottom w:val="0"/>
      <w:divBdr>
        <w:top w:val="none" w:sz="0" w:space="0" w:color="auto"/>
        <w:left w:val="none" w:sz="0" w:space="0" w:color="auto"/>
        <w:bottom w:val="none" w:sz="0" w:space="0" w:color="auto"/>
        <w:right w:val="none" w:sz="0" w:space="0" w:color="auto"/>
      </w:divBdr>
    </w:div>
    <w:div w:id="847643585">
      <w:bodyDiv w:val="1"/>
      <w:marLeft w:val="0"/>
      <w:marRight w:val="0"/>
      <w:marTop w:val="0"/>
      <w:marBottom w:val="0"/>
      <w:divBdr>
        <w:top w:val="none" w:sz="0" w:space="0" w:color="auto"/>
        <w:left w:val="none" w:sz="0" w:space="0" w:color="auto"/>
        <w:bottom w:val="none" w:sz="0" w:space="0" w:color="auto"/>
        <w:right w:val="none" w:sz="0" w:space="0" w:color="auto"/>
      </w:divBdr>
    </w:div>
    <w:div w:id="848327225">
      <w:bodyDiv w:val="1"/>
      <w:marLeft w:val="0"/>
      <w:marRight w:val="0"/>
      <w:marTop w:val="0"/>
      <w:marBottom w:val="0"/>
      <w:divBdr>
        <w:top w:val="none" w:sz="0" w:space="0" w:color="auto"/>
        <w:left w:val="none" w:sz="0" w:space="0" w:color="auto"/>
        <w:bottom w:val="none" w:sz="0" w:space="0" w:color="auto"/>
        <w:right w:val="none" w:sz="0" w:space="0" w:color="auto"/>
      </w:divBdr>
    </w:div>
    <w:div w:id="851915135">
      <w:bodyDiv w:val="1"/>
      <w:marLeft w:val="0"/>
      <w:marRight w:val="0"/>
      <w:marTop w:val="0"/>
      <w:marBottom w:val="0"/>
      <w:divBdr>
        <w:top w:val="none" w:sz="0" w:space="0" w:color="auto"/>
        <w:left w:val="none" w:sz="0" w:space="0" w:color="auto"/>
        <w:bottom w:val="none" w:sz="0" w:space="0" w:color="auto"/>
        <w:right w:val="none" w:sz="0" w:space="0" w:color="auto"/>
      </w:divBdr>
    </w:div>
    <w:div w:id="858350859">
      <w:bodyDiv w:val="1"/>
      <w:marLeft w:val="0"/>
      <w:marRight w:val="0"/>
      <w:marTop w:val="0"/>
      <w:marBottom w:val="0"/>
      <w:divBdr>
        <w:top w:val="none" w:sz="0" w:space="0" w:color="auto"/>
        <w:left w:val="none" w:sz="0" w:space="0" w:color="auto"/>
        <w:bottom w:val="none" w:sz="0" w:space="0" w:color="auto"/>
        <w:right w:val="none" w:sz="0" w:space="0" w:color="auto"/>
      </w:divBdr>
      <w:divsChild>
        <w:div w:id="195966113">
          <w:marLeft w:val="0"/>
          <w:marRight w:val="0"/>
          <w:marTop w:val="0"/>
          <w:marBottom w:val="0"/>
          <w:divBdr>
            <w:top w:val="none" w:sz="0" w:space="0" w:color="auto"/>
            <w:left w:val="none" w:sz="0" w:space="0" w:color="auto"/>
            <w:bottom w:val="none" w:sz="0" w:space="0" w:color="auto"/>
            <w:right w:val="none" w:sz="0" w:space="0" w:color="auto"/>
          </w:divBdr>
        </w:div>
        <w:div w:id="682515364">
          <w:marLeft w:val="0"/>
          <w:marRight w:val="0"/>
          <w:marTop w:val="0"/>
          <w:marBottom w:val="0"/>
          <w:divBdr>
            <w:top w:val="none" w:sz="0" w:space="0" w:color="auto"/>
            <w:left w:val="none" w:sz="0" w:space="0" w:color="auto"/>
            <w:bottom w:val="none" w:sz="0" w:space="0" w:color="auto"/>
            <w:right w:val="none" w:sz="0" w:space="0" w:color="auto"/>
          </w:divBdr>
        </w:div>
        <w:div w:id="2001038661">
          <w:marLeft w:val="0"/>
          <w:marRight w:val="0"/>
          <w:marTop w:val="0"/>
          <w:marBottom w:val="0"/>
          <w:divBdr>
            <w:top w:val="none" w:sz="0" w:space="0" w:color="auto"/>
            <w:left w:val="none" w:sz="0" w:space="0" w:color="auto"/>
            <w:bottom w:val="none" w:sz="0" w:space="0" w:color="auto"/>
            <w:right w:val="none" w:sz="0" w:space="0" w:color="auto"/>
          </w:divBdr>
        </w:div>
      </w:divsChild>
    </w:div>
    <w:div w:id="874197618">
      <w:bodyDiv w:val="1"/>
      <w:marLeft w:val="0"/>
      <w:marRight w:val="0"/>
      <w:marTop w:val="0"/>
      <w:marBottom w:val="0"/>
      <w:divBdr>
        <w:top w:val="none" w:sz="0" w:space="0" w:color="auto"/>
        <w:left w:val="none" w:sz="0" w:space="0" w:color="auto"/>
        <w:bottom w:val="none" w:sz="0" w:space="0" w:color="auto"/>
        <w:right w:val="none" w:sz="0" w:space="0" w:color="auto"/>
      </w:divBdr>
    </w:div>
    <w:div w:id="877473453">
      <w:bodyDiv w:val="1"/>
      <w:marLeft w:val="0"/>
      <w:marRight w:val="0"/>
      <w:marTop w:val="0"/>
      <w:marBottom w:val="0"/>
      <w:divBdr>
        <w:top w:val="none" w:sz="0" w:space="0" w:color="auto"/>
        <w:left w:val="none" w:sz="0" w:space="0" w:color="auto"/>
        <w:bottom w:val="none" w:sz="0" w:space="0" w:color="auto"/>
        <w:right w:val="none" w:sz="0" w:space="0" w:color="auto"/>
      </w:divBdr>
    </w:div>
    <w:div w:id="887257090">
      <w:bodyDiv w:val="1"/>
      <w:marLeft w:val="0"/>
      <w:marRight w:val="0"/>
      <w:marTop w:val="0"/>
      <w:marBottom w:val="0"/>
      <w:divBdr>
        <w:top w:val="none" w:sz="0" w:space="0" w:color="auto"/>
        <w:left w:val="none" w:sz="0" w:space="0" w:color="auto"/>
        <w:bottom w:val="none" w:sz="0" w:space="0" w:color="auto"/>
        <w:right w:val="none" w:sz="0" w:space="0" w:color="auto"/>
      </w:divBdr>
    </w:div>
    <w:div w:id="890920012">
      <w:bodyDiv w:val="1"/>
      <w:marLeft w:val="0"/>
      <w:marRight w:val="0"/>
      <w:marTop w:val="0"/>
      <w:marBottom w:val="0"/>
      <w:divBdr>
        <w:top w:val="none" w:sz="0" w:space="0" w:color="auto"/>
        <w:left w:val="none" w:sz="0" w:space="0" w:color="auto"/>
        <w:bottom w:val="none" w:sz="0" w:space="0" w:color="auto"/>
        <w:right w:val="none" w:sz="0" w:space="0" w:color="auto"/>
      </w:divBdr>
      <w:divsChild>
        <w:div w:id="1410150031">
          <w:marLeft w:val="0"/>
          <w:marRight w:val="0"/>
          <w:marTop w:val="0"/>
          <w:marBottom w:val="0"/>
          <w:divBdr>
            <w:top w:val="none" w:sz="0" w:space="0" w:color="auto"/>
            <w:left w:val="none" w:sz="0" w:space="0" w:color="auto"/>
            <w:bottom w:val="none" w:sz="0" w:space="0" w:color="auto"/>
            <w:right w:val="none" w:sz="0" w:space="0" w:color="auto"/>
          </w:divBdr>
          <w:divsChild>
            <w:div w:id="656344243">
              <w:marLeft w:val="0"/>
              <w:marRight w:val="0"/>
              <w:marTop w:val="0"/>
              <w:marBottom w:val="0"/>
              <w:divBdr>
                <w:top w:val="none" w:sz="0" w:space="0" w:color="auto"/>
                <w:left w:val="none" w:sz="0" w:space="0" w:color="auto"/>
                <w:bottom w:val="none" w:sz="0" w:space="0" w:color="auto"/>
                <w:right w:val="none" w:sz="0" w:space="0" w:color="auto"/>
              </w:divBdr>
              <w:divsChild>
                <w:div w:id="9452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29711">
      <w:bodyDiv w:val="1"/>
      <w:marLeft w:val="0"/>
      <w:marRight w:val="0"/>
      <w:marTop w:val="0"/>
      <w:marBottom w:val="0"/>
      <w:divBdr>
        <w:top w:val="none" w:sz="0" w:space="0" w:color="auto"/>
        <w:left w:val="none" w:sz="0" w:space="0" w:color="auto"/>
        <w:bottom w:val="none" w:sz="0" w:space="0" w:color="auto"/>
        <w:right w:val="none" w:sz="0" w:space="0" w:color="auto"/>
      </w:divBdr>
    </w:div>
    <w:div w:id="894967110">
      <w:bodyDiv w:val="1"/>
      <w:marLeft w:val="0"/>
      <w:marRight w:val="0"/>
      <w:marTop w:val="0"/>
      <w:marBottom w:val="0"/>
      <w:divBdr>
        <w:top w:val="none" w:sz="0" w:space="0" w:color="auto"/>
        <w:left w:val="none" w:sz="0" w:space="0" w:color="auto"/>
        <w:bottom w:val="none" w:sz="0" w:space="0" w:color="auto"/>
        <w:right w:val="none" w:sz="0" w:space="0" w:color="auto"/>
      </w:divBdr>
    </w:div>
    <w:div w:id="900793260">
      <w:bodyDiv w:val="1"/>
      <w:marLeft w:val="0"/>
      <w:marRight w:val="0"/>
      <w:marTop w:val="0"/>
      <w:marBottom w:val="0"/>
      <w:divBdr>
        <w:top w:val="none" w:sz="0" w:space="0" w:color="auto"/>
        <w:left w:val="none" w:sz="0" w:space="0" w:color="auto"/>
        <w:bottom w:val="none" w:sz="0" w:space="0" w:color="auto"/>
        <w:right w:val="none" w:sz="0" w:space="0" w:color="auto"/>
      </w:divBdr>
    </w:div>
    <w:div w:id="902061142">
      <w:bodyDiv w:val="1"/>
      <w:marLeft w:val="0"/>
      <w:marRight w:val="0"/>
      <w:marTop w:val="0"/>
      <w:marBottom w:val="0"/>
      <w:divBdr>
        <w:top w:val="none" w:sz="0" w:space="0" w:color="auto"/>
        <w:left w:val="none" w:sz="0" w:space="0" w:color="auto"/>
        <w:bottom w:val="none" w:sz="0" w:space="0" w:color="auto"/>
        <w:right w:val="none" w:sz="0" w:space="0" w:color="auto"/>
      </w:divBdr>
    </w:div>
    <w:div w:id="905603913">
      <w:bodyDiv w:val="1"/>
      <w:marLeft w:val="0"/>
      <w:marRight w:val="0"/>
      <w:marTop w:val="0"/>
      <w:marBottom w:val="0"/>
      <w:divBdr>
        <w:top w:val="none" w:sz="0" w:space="0" w:color="auto"/>
        <w:left w:val="none" w:sz="0" w:space="0" w:color="auto"/>
        <w:bottom w:val="none" w:sz="0" w:space="0" w:color="auto"/>
        <w:right w:val="none" w:sz="0" w:space="0" w:color="auto"/>
      </w:divBdr>
    </w:div>
    <w:div w:id="917441909">
      <w:bodyDiv w:val="1"/>
      <w:marLeft w:val="0"/>
      <w:marRight w:val="0"/>
      <w:marTop w:val="0"/>
      <w:marBottom w:val="0"/>
      <w:divBdr>
        <w:top w:val="none" w:sz="0" w:space="0" w:color="auto"/>
        <w:left w:val="none" w:sz="0" w:space="0" w:color="auto"/>
        <w:bottom w:val="none" w:sz="0" w:space="0" w:color="auto"/>
        <w:right w:val="none" w:sz="0" w:space="0" w:color="auto"/>
      </w:divBdr>
      <w:divsChild>
        <w:div w:id="1248492350">
          <w:marLeft w:val="0"/>
          <w:marRight w:val="0"/>
          <w:marTop w:val="0"/>
          <w:marBottom w:val="0"/>
          <w:divBdr>
            <w:top w:val="none" w:sz="0" w:space="0" w:color="auto"/>
            <w:left w:val="none" w:sz="0" w:space="0" w:color="auto"/>
            <w:bottom w:val="none" w:sz="0" w:space="0" w:color="auto"/>
            <w:right w:val="none" w:sz="0" w:space="0" w:color="auto"/>
          </w:divBdr>
          <w:divsChild>
            <w:div w:id="1161191209">
              <w:marLeft w:val="0"/>
              <w:marRight w:val="0"/>
              <w:marTop w:val="0"/>
              <w:marBottom w:val="0"/>
              <w:divBdr>
                <w:top w:val="none" w:sz="0" w:space="0" w:color="auto"/>
                <w:left w:val="none" w:sz="0" w:space="0" w:color="auto"/>
                <w:bottom w:val="none" w:sz="0" w:space="0" w:color="auto"/>
                <w:right w:val="none" w:sz="0" w:space="0" w:color="auto"/>
              </w:divBdr>
              <w:divsChild>
                <w:div w:id="95906281">
                  <w:marLeft w:val="0"/>
                  <w:marRight w:val="0"/>
                  <w:marTop w:val="0"/>
                  <w:marBottom w:val="0"/>
                  <w:divBdr>
                    <w:top w:val="none" w:sz="0" w:space="0" w:color="auto"/>
                    <w:left w:val="none" w:sz="0" w:space="0" w:color="auto"/>
                    <w:bottom w:val="none" w:sz="0" w:space="0" w:color="auto"/>
                    <w:right w:val="none" w:sz="0" w:space="0" w:color="auto"/>
                  </w:divBdr>
                </w:div>
                <w:div w:id="7692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4826">
      <w:bodyDiv w:val="1"/>
      <w:marLeft w:val="0"/>
      <w:marRight w:val="0"/>
      <w:marTop w:val="0"/>
      <w:marBottom w:val="0"/>
      <w:divBdr>
        <w:top w:val="none" w:sz="0" w:space="0" w:color="auto"/>
        <w:left w:val="none" w:sz="0" w:space="0" w:color="auto"/>
        <w:bottom w:val="none" w:sz="0" w:space="0" w:color="auto"/>
        <w:right w:val="none" w:sz="0" w:space="0" w:color="auto"/>
      </w:divBdr>
    </w:div>
    <w:div w:id="923146638">
      <w:bodyDiv w:val="1"/>
      <w:marLeft w:val="0"/>
      <w:marRight w:val="0"/>
      <w:marTop w:val="0"/>
      <w:marBottom w:val="0"/>
      <w:divBdr>
        <w:top w:val="none" w:sz="0" w:space="0" w:color="auto"/>
        <w:left w:val="none" w:sz="0" w:space="0" w:color="auto"/>
        <w:bottom w:val="none" w:sz="0" w:space="0" w:color="auto"/>
        <w:right w:val="none" w:sz="0" w:space="0" w:color="auto"/>
      </w:divBdr>
    </w:div>
    <w:div w:id="930314708">
      <w:bodyDiv w:val="1"/>
      <w:marLeft w:val="0"/>
      <w:marRight w:val="0"/>
      <w:marTop w:val="0"/>
      <w:marBottom w:val="0"/>
      <w:divBdr>
        <w:top w:val="none" w:sz="0" w:space="0" w:color="auto"/>
        <w:left w:val="none" w:sz="0" w:space="0" w:color="auto"/>
        <w:bottom w:val="none" w:sz="0" w:space="0" w:color="auto"/>
        <w:right w:val="none" w:sz="0" w:space="0" w:color="auto"/>
      </w:divBdr>
      <w:divsChild>
        <w:div w:id="1974094638">
          <w:marLeft w:val="0"/>
          <w:marRight w:val="0"/>
          <w:marTop w:val="0"/>
          <w:marBottom w:val="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767240904">
                  <w:marLeft w:val="0"/>
                  <w:marRight w:val="0"/>
                  <w:marTop w:val="0"/>
                  <w:marBottom w:val="0"/>
                  <w:divBdr>
                    <w:top w:val="none" w:sz="0" w:space="0" w:color="auto"/>
                    <w:left w:val="none" w:sz="0" w:space="0" w:color="auto"/>
                    <w:bottom w:val="none" w:sz="0" w:space="0" w:color="auto"/>
                    <w:right w:val="none" w:sz="0" w:space="0" w:color="auto"/>
                  </w:divBdr>
                  <w:divsChild>
                    <w:div w:id="1672372747">
                      <w:marLeft w:val="0"/>
                      <w:marRight w:val="0"/>
                      <w:marTop w:val="0"/>
                      <w:marBottom w:val="0"/>
                      <w:divBdr>
                        <w:top w:val="none" w:sz="0" w:space="0" w:color="auto"/>
                        <w:left w:val="none" w:sz="0" w:space="0" w:color="auto"/>
                        <w:bottom w:val="none" w:sz="0" w:space="0" w:color="auto"/>
                        <w:right w:val="none" w:sz="0" w:space="0" w:color="auto"/>
                      </w:divBdr>
                    </w:div>
                    <w:div w:id="17207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439974">
      <w:bodyDiv w:val="1"/>
      <w:marLeft w:val="0"/>
      <w:marRight w:val="0"/>
      <w:marTop w:val="0"/>
      <w:marBottom w:val="0"/>
      <w:divBdr>
        <w:top w:val="none" w:sz="0" w:space="0" w:color="auto"/>
        <w:left w:val="none" w:sz="0" w:space="0" w:color="auto"/>
        <w:bottom w:val="none" w:sz="0" w:space="0" w:color="auto"/>
        <w:right w:val="none" w:sz="0" w:space="0" w:color="auto"/>
      </w:divBdr>
    </w:div>
    <w:div w:id="935677267">
      <w:bodyDiv w:val="1"/>
      <w:marLeft w:val="0"/>
      <w:marRight w:val="0"/>
      <w:marTop w:val="0"/>
      <w:marBottom w:val="0"/>
      <w:divBdr>
        <w:top w:val="none" w:sz="0" w:space="0" w:color="auto"/>
        <w:left w:val="none" w:sz="0" w:space="0" w:color="auto"/>
        <w:bottom w:val="none" w:sz="0" w:space="0" w:color="auto"/>
        <w:right w:val="none" w:sz="0" w:space="0" w:color="auto"/>
      </w:divBdr>
    </w:div>
    <w:div w:id="964894032">
      <w:bodyDiv w:val="1"/>
      <w:marLeft w:val="0"/>
      <w:marRight w:val="0"/>
      <w:marTop w:val="0"/>
      <w:marBottom w:val="0"/>
      <w:divBdr>
        <w:top w:val="none" w:sz="0" w:space="0" w:color="auto"/>
        <w:left w:val="none" w:sz="0" w:space="0" w:color="auto"/>
        <w:bottom w:val="none" w:sz="0" w:space="0" w:color="auto"/>
        <w:right w:val="none" w:sz="0" w:space="0" w:color="auto"/>
      </w:divBdr>
      <w:divsChild>
        <w:div w:id="176385979">
          <w:marLeft w:val="0"/>
          <w:marRight w:val="0"/>
          <w:marTop w:val="0"/>
          <w:marBottom w:val="0"/>
          <w:divBdr>
            <w:top w:val="none" w:sz="0" w:space="0" w:color="auto"/>
            <w:left w:val="none" w:sz="0" w:space="0" w:color="auto"/>
            <w:bottom w:val="none" w:sz="0" w:space="0" w:color="auto"/>
            <w:right w:val="none" w:sz="0" w:space="0" w:color="auto"/>
          </w:divBdr>
        </w:div>
        <w:div w:id="325324563">
          <w:marLeft w:val="0"/>
          <w:marRight w:val="0"/>
          <w:marTop w:val="0"/>
          <w:marBottom w:val="0"/>
          <w:divBdr>
            <w:top w:val="none" w:sz="0" w:space="0" w:color="auto"/>
            <w:left w:val="none" w:sz="0" w:space="0" w:color="auto"/>
            <w:bottom w:val="none" w:sz="0" w:space="0" w:color="auto"/>
            <w:right w:val="none" w:sz="0" w:space="0" w:color="auto"/>
          </w:divBdr>
        </w:div>
        <w:div w:id="1147011633">
          <w:marLeft w:val="0"/>
          <w:marRight w:val="0"/>
          <w:marTop w:val="0"/>
          <w:marBottom w:val="0"/>
          <w:divBdr>
            <w:top w:val="none" w:sz="0" w:space="0" w:color="auto"/>
            <w:left w:val="none" w:sz="0" w:space="0" w:color="auto"/>
            <w:bottom w:val="none" w:sz="0" w:space="0" w:color="auto"/>
            <w:right w:val="none" w:sz="0" w:space="0" w:color="auto"/>
          </w:divBdr>
        </w:div>
        <w:div w:id="1421365852">
          <w:marLeft w:val="0"/>
          <w:marRight w:val="0"/>
          <w:marTop w:val="0"/>
          <w:marBottom w:val="0"/>
          <w:divBdr>
            <w:top w:val="none" w:sz="0" w:space="0" w:color="auto"/>
            <w:left w:val="none" w:sz="0" w:space="0" w:color="auto"/>
            <w:bottom w:val="none" w:sz="0" w:space="0" w:color="auto"/>
            <w:right w:val="none" w:sz="0" w:space="0" w:color="auto"/>
          </w:divBdr>
        </w:div>
        <w:div w:id="1486237274">
          <w:marLeft w:val="0"/>
          <w:marRight w:val="0"/>
          <w:marTop w:val="0"/>
          <w:marBottom w:val="0"/>
          <w:divBdr>
            <w:top w:val="none" w:sz="0" w:space="0" w:color="auto"/>
            <w:left w:val="none" w:sz="0" w:space="0" w:color="auto"/>
            <w:bottom w:val="none" w:sz="0" w:space="0" w:color="auto"/>
            <w:right w:val="none" w:sz="0" w:space="0" w:color="auto"/>
          </w:divBdr>
        </w:div>
      </w:divsChild>
    </w:div>
    <w:div w:id="968434145">
      <w:bodyDiv w:val="1"/>
      <w:marLeft w:val="0"/>
      <w:marRight w:val="0"/>
      <w:marTop w:val="0"/>
      <w:marBottom w:val="0"/>
      <w:divBdr>
        <w:top w:val="none" w:sz="0" w:space="0" w:color="auto"/>
        <w:left w:val="none" w:sz="0" w:space="0" w:color="auto"/>
        <w:bottom w:val="none" w:sz="0" w:space="0" w:color="auto"/>
        <w:right w:val="none" w:sz="0" w:space="0" w:color="auto"/>
      </w:divBdr>
      <w:divsChild>
        <w:div w:id="846098338">
          <w:marLeft w:val="0"/>
          <w:marRight w:val="0"/>
          <w:marTop w:val="0"/>
          <w:marBottom w:val="0"/>
          <w:divBdr>
            <w:top w:val="none" w:sz="0" w:space="0" w:color="auto"/>
            <w:left w:val="none" w:sz="0" w:space="0" w:color="auto"/>
            <w:bottom w:val="none" w:sz="0" w:space="0" w:color="auto"/>
            <w:right w:val="none" w:sz="0" w:space="0" w:color="auto"/>
          </w:divBdr>
        </w:div>
        <w:div w:id="1581940192">
          <w:marLeft w:val="0"/>
          <w:marRight w:val="0"/>
          <w:marTop w:val="0"/>
          <w:marBottom w:val="0"/>
          <w:divBdr>
            <w:top w:val="none" w:sz="0" w:space="0" w:color="auto"/>
            <w:left w:val="none" w:sz="0" w:space="0" w:color="auto"/>
            <w:bottom w:val="none" w:sz="0" w:space="0" w:color="auto"/>
            <w:right w:val="none" w:sz="0" w:space="0" w:color="auto"/>
          </w:divBdr>
        </w:div>
      </w:divsChild>
    </w:div>
    <w:div w:id="969867821">
      <w:bodyDiv w:val="1"/>
      <w:marLeft w:val="0"/>
      <w:marRight w:val="0"/>
      <w:marTop w:val="0"/>
      <w:marBottom w:val="0"/>
      <w:divBdr>
        <w:top w:val="none" w:sz="0" w:space="0" w:color="auto"/>
        <w:left w:val="none" w:sz="0" w:space="0" w:color="auto"/>
        <w:bottom w:val="none" w:sz="0" w:space="0" w:color="auto"/>
        <w:right w:val="none" w:sz="0" w:space="0" w:color="auto"/>
      </w:divBdr>
    </w:div>
    <w:div w:id="978417499">
      <w:bodyDiv w:val="1"/>
      <w:marLeft w:val="0"/>
      <w:marRight w:val="0"/>
      <w:marTop w:val="0"/>
      <w:marBottom w:val="0"/>
      <w:divBdr>
        <w:top w:val="none" w:sz="0" w:space="0" w:color="auto"/>
        <w:left w:val="none" w:sz="0" w:space="0" w:color="auto"/>
        <w:bottom w:val="none" w:sz="0" w:space="0" w:color="auto"/>
        <w:right w:val="none" w:sz="0" w:space="0" w:color="auto"/>
      </w:divBdr>
      <w:divsChild>
        <w:div w:id="61562229">
          <w:marLeft w:val="274"/>
          <w:marRight w:val="0"/>
          <w:marTop w:val="0"/>
          <w:marBottom w:val="0"/>
          <w:divBdr>
            <w:top w:val="none" w:sz="0" w:space="0" w:color="auto"/>
            <w:left w:val="none" w:sz="0" w:space="0" w:color="auto"/>
            <w:bottom w:val="none" w:sz="0" w:space="0" w:color="auto"/>
            <w:right w:val="none" w:sz="0" w:space="0" w:color="auto"/>
          </w:divBdr>
        </w:div>
        <w:div w:id="1030036491">
          <w:marLeft w:val="274"/>
          <w:marRight w:val="0"/>
          <w:marTop w:val="0"/>
          <w:marBottom w:val="0"/>
          <w:divBdr>
            <w:top w:val="none" w:sz="0" w:space="0" w:color="auto"/>
            <w:left w:val="none" w:sz="0" w:space="0" w:color="auto"/>
            <w:bottom w:val="none" w:sz="0" w:space="0" w:color="auto"/>
            <w:right w:val="none" w:sz="0" w:space="0" w:color="auto"/>
          </w:divBdr>
        </w:div>
        <w:div w:id="1306349569">
          <w:marLeft w:val="274"/>
          <w:marRight w:val="0"/>
          <w:marTop w:val="0"/>
          <w:marBottom w:val="0"/>
          <w:divBdr>
            <w:top w:val="none" w:sz="0" w:space="0" w:color="auto"/>
            <w:left w:val="none" w:sz="0" w:space="0" w:color="auto"/>
            <w:bottom w:val="none" w:sz="0" w:space="0" w:color="auto"/>
            <w:right w:val="none" w:sz="0" w:space="0" w:color="auto"/>
          </w:divBdr>
        </w:div>
        <w:div w:id="1404331031">
          <w:marLeft w:val="274"/>
          <w:marRight w:val="0"/>
          <w:marTop w:val="0"/>
          <w:marBottom w:val="0"/>
          <w:divBdr>
            <w:top w:val="none" w:sz="0" w:space="0" w:color="auto"/>
            <w:left w:val="none" w:sz="0" w:space="0" w:color="auto"/>
            <w:bottom w:val="none" w:sz="0" w:space="0" w:color="auto"/>
            <w:right w:val="none" w:sz="0" w:space="0" w:color="auto"/>
          </w:divBdr>
        </w:div>
        <w:div w:id="1681197302">
          <w:marLeft w:val="274"/>
          <w:marRight w:val="0"/>
          <w:marTop w:val="0"/>
          <w:marBottom w:val="0"/>
          <w:divBdr>
            <w:top w:val="none" w:sz="0" w:space="0" w:color="auto"/>
            <w:left w:val="none" w:sz="0" w:space="0" w:color="auto"/>
            <w:bottom w:val="none" w:sz="0" w:space="0" w:color="auto"/>
            <w:right w:val="none" w:sz="0" w:space="0" w:color="auto"/>
          </w:divBdr>
        </w:div>
        <w:div w:id="1896159087">
          <w:marLeft w:val="274"/>
          <w:marRight w:val="0"/>
          <w:marTop w:val="0"/>
          <w:marBottom w:val="0"/>
          <w:divBdr>
            <w:top w:val="none" w:sz="0" w:space="0" w:color="auto"/>
            <w:left w:val="none" w:sz="0" w:space="0" w:color="auto"/>
            <w:bottom w:val="none" w:sz="0" w:space="0" w:color="auto"/>
            <w:right w:val="none" w:sz="0" w:space="0" w:color="auto"/>
          </w:divBdr>
        </w:div>
      </w:divsChild>
    </w:div>
    <w:div w:id="979379261">
      <w:bodyDiv w:val="1"/>
      <w:marLeft w:val="0"/>
      <w:marRight w:val="0"/>
      <w:marTop w:val="0"/>
      <w:marBottom w:val="0"/>
      <w:divBdr>
        <w:top w:val="none" w:sz="0" w:space="0" w:color="auto"/>
        <w:left w:val="none" w:sz="0" w:space="0" w:color="auto"/>
        <w:bottom w:val="none" w:sz="0" w:space="0" w:color="auto"/>
        <w:right w:val="none" w:sz="0" w:space="0" w:color="auto"/>
      </w:divBdr>
    </w:div>
    <w:div w:id="987632808">
      <w:bodyDiv w:val="1"/>
      <w:marLeft w:val="0"/>
      <w:marRight w:val="0"/>
      <w:marTop w:val="0"/>
      <w:marBottom w:val="0"/>
      <w:divBdr>
        <w:top w:val="none" w:sz="0" w:space="0" w:color="auto"/>
        <w:left w:val="none" w:sz="0" w:space="0" w:color="auto"/>
        <w:bottom w:val="none" w:sz="0" w:space="0" w:color="auto"/>
        <w:right w:val="none" w:sz="0" w:space="0" w:color="auto"/>
      </w:divBdr>
    </w:div>
    <w:div w:id="1002126593">
      <w:bodyDiv w:val="1"/>
      <w:marLeft w:val="0"/>
      <w:marRight w:val="0"/>
      <w:marTop w:val="0"/>
      <w:marBottom w:val="0"/>
      <w:divBdr>
        <w:top w:val="none" w:sz="0" w:space="0" w:color="auto"/>
        <w:left w:val="none" w:sz="0" w:space="0" w:color="auto"/>
        <w:bottom w:val="none" w:sz="0" w:space="0" w:color="auto"/>
        <w:right w:val="none" w:sz="0" w:space="0" w:color="auto"/>
      </w:divBdr>
    </w:div>
    <w:div w:id="1002397133">
      <w:bodyDiv w:val="1"/>
      <w:marLeft w:val="0"/>
      <w:marRight w:val="0"/>
      <w:marTop w:val="0"/>
      <w:marBottom w:val="0"/>
      <w:divBdr>
        <w:top w:val="none" w:sz="0" w:space="0" w:color="auto"/>
        <w:left w:val="none" w:sz="0" w:space="0" w:color="auto"/>
        <w:bottom w:val="none" w:sz="0" w:space="0" w:color="auto"/>
        <w:right w:val="none" w:sz="0" w:space="0" w:color="auto"/>
      </w:divBdr>
    </w:div>
    <w:div w:id="1011688445">
      <w:bodyDiv w:val="1"/>
      <w:marLeft w:val="0"/>
      <w:marRight w:val="0"/>
      <w:marTop w:val="0"/>
      <w:marBottom w:val="0"/>
      <w:divBdr>
        <w:top w:val="none" w:sz="0" w:space="0" w:color="auto"/>
        <w:left w:val="none" w:sz="0" w:space="0" w:color="auto"/>
        <w:bottom w:val="none" w:sz="0" w:space="0" w:color="auto"/>
        <w:right w:val="none" w:sz="0" w:space="0" w:color="auto"/>
      </w:divBdr>
    </w:div>
    <w:div w:id="1013145736">
      <w:bodyDiv w:val="1"/>
      <w:marLeft w:val="0"/>
      <w:marRight w:val="0"/>
      <w:marTop w:val="0"/>
      <w:marBottom w:val="0"/>
      <w:divBdr>
        <w:top w:val="none" w:sz="0" w:space="0" w:color="auto"/>
        <w:left w:val="none" w:sz="0" w:space="0" w:color="auto"/>
        <w:bottom w:val="none" w:sz="0" w:space="0" w:color="auto"/>
        <w:right w:val="none" w:sz="0" w:space="0" w:color="auto"/>
      </w:divBdr>
    </w:div>
    <w:div w:id="1016346725">
      <w:bodyDiv w:val="1"/>
      <w:marLeft w:val="0"/>
      <w:marRight w:val="0"/>
      <w:marTop w:val="0"/>
      <w:marBottom w:val="0"/>
      <w:divBdr>
        <w:top w:val="none" w:sz="0" w:space="0" w:color="auto"/>
        <w:left w:val="none" w:sz="0" w:space="0" w:color="auto"/>
        <w:bottom w:val="none" w:sz="0" w:space="0" w:color="auto"/>
        <w:right w:val="none" w:sz="0" w:space="0" w:color="auto"/>
      </w:divBdr>
    </w:div>
    <w:div w:id="1028214153">
      <w:bodyDiv w:val="1"/>
      <w:marLeft w:val="0"/>
      <w:marRight w:val="0"/>
      <w:marTop w:val="0"/>
      <w:marBottom w:val="0"/>
      <w:divBdr>
        <w:top w:val="none" w:sz="0" w:space="0" w:color="auto"/>
        <w:left w:val="none" w:sz="0" w:space="0" w:color="auto"/>
        <w:bottom w:val="none" w:sz="0" w:space="0" w:color="auto"/>
        <w:right w:val="none" w:sz="0" w:space="0" w:color="auto"/>
      </w:divBdr>
      <w:divsChild>
        <w:div w:id="284318304">
          <w:marLeft w:val="0"/>
          <w:marRight w:val="0"/>
          <w:marTop w:val="0"/>
          <w:marBottom w:val="0"/>
          <w:divBdr>
            <w:top w:val="none" w:sz="0" w:space="0" w:color="auto"/>
            <w:left w:val="none" w:sz="0" w:space="0" w:color="auto"/>
            <w:bottom w:val="none" w:sz="0" w:space="0" w:color="auto"/>
            <w:right w:val="none" w:sz="0" w:space="0" w:color="auto"/>
          </w:divBdr>
          <w:divsChild>
            <w:div w:id="1854416689">
              <w:marLeft w:val="0"/>
              <w:marRight w:val="0"/>
              <w:marTop w:val="0"/>
              <w:marBottom w:val="0"/>
              <w:divBdr>
                <w:top w:val="none" w:sz="0" w:space="0" w:color="auto"/>
                <w:left w:val="none" w:sz="0" w:space="0" w:color="auto"/>
                <w:bottom w:val="none" w:sz="0" w:space="0" w:color="auto"/>
                <w:right w:val="none" w:sz="0" w:space="0" w:color="auto"/>
              </w:divBdr>
              <w:divsChild>
                <w:div w:id="9461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9461">
      <w:bodyDiv w:val="1"/>
      <w:marLeft w:val="0"/>
      <w:marRight w:val="0"/>
      <w:marTop w:val="0"/>
      <w:marBottom w:val="0"/>
      <w:divBdr>
        <w:top w:val="none" w:sz="0" w:space="0" w:color="auto"/>
        <w:left w:val="none" w:sz="0" w:space="0" w:color="auto"/>
        <w:bottom w:val="none" w:sz="0" w:space="0" w:color="auto"/>
        <w:right w:val="none" w:sz="0" w:space="0" w:color="auto"/>
      </w:divBdr>
      <w:divsChild>
        <w:div w:id="1849102135">
          <w:marLeft w:val="0"/>
          <w:marRight w:val="0"/>
          <w:marTop w:val="0"/>
          <w:marBottom w:val="0"/>
          <w:divBdr>
            <w:top w:val="none" w:sz="0" w:space="0" w:color="auto"/>
            <w:left w:val="none" w:sz="0" w:space="0" w:color="auto"/>
            <w:bottom w:val="none" w:sz="0" w:space="0" w:color="auto"/>
            <w:right w:val="none" w:sz="0" w:space="0" w:color="auto"/>
          </w:divBdr>
          <w:divsChild>
            <w:div w:id="883324068">
              <w:marLeft w:val="0"/>
              <w:marRight w:val="0"/>
              <w:marTop w:val="0"/>
              <w:marBottom w:val="0"/>
              <w:divBdr>
                <w:top w:val="none" w:sz="0" w:space="0" w:color="auto"/>
                <w:left w:val="none" w:sz="0" w:space="0" w:color="auto"/>
                <w:bottom w:val="none" w:sz="0" w:space="0" w:color="auto"/>
                <w:right w:val="none" w:sz="0" w:space="0" w:color="auto"/>
              </w:divBdr>
              <w:divsChild>
                <w:div w:id="132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2373">
      <w:bodyDiv w:val="1"/>
      <w:marLeft w:val="0"/>
      <w:marRight w:val="0"/>
      <w:marTop w:val="0"/>
      <w:marBottom w:val="0"/>
      <w:divBdr>
        <w:top w:val="none" w:sz="0" w:space="0" w:color="auto"/>
        <w:left w:val="none" w:sz="0" w:space="0" w:color="auto"/>
        <w:bottom w:val="none" w:sz="0" w:space="0" w:color="auto"/>
        <w:right w:val="none" w:sz="0" w:space="0" w:color="auto"/>
      </w:divBdr>
      <w:divsChild>
        <w:div w:id="393819397">
          <w:marLeft w:val="274"/>
          <w:marRight w:val="0"/>
          <w:marTop w:val="75"/>
          <w:marBottom w:val="0"/>
          <w:divBdr>
            <w:top w:val="none" w:sz="0" w:space="0" w:color="auto"/>
            <w:left w:val="none" w:sz="0" w:space="0" w:color="auto"/>
            <w:bottom w:val="none" w:sz="0" w:space="0" w:color="auto"/>
            <w:right w:val="none" w:sz="0" w:space="0" w:color="auto"/>
          </w:divBdr>
        </w:div>
        <w:div w:id="408189029">
          <w:marLeft w:val="806"/>
          <w:marRight w:val="0"/>
          <w:marTop w:val="75"/>
          <w:marBottom w:val="0"/>
          <w:divBdr>
            <w:top w:val="none" w:sz="0" w:space="0" w:color="auto"/>
            <w:left w:val="none" w:sz="0" w:space="0" w:color="auto"/>
            <w:bottom w:val="none" w:sz="0" w:space="0" w:color="auto"/>
            <w:right w:val="none" w:sz="0" w:space="0" w:color="auto"/>
          </w:divBdr>
        </w:div>
        <w:div w:id="440302262">
          <w:marLeft w:val="274"/>
          <w:marRight w:val="0"/>
          <w:marTop w:val="75"/>
          <w:marBottom w:val="0"/>
          <w:divBdr>
            <w:top w:val="none" w:sz="0" w:space="0" w:color="auto"/>
            <w:left w:val="none" w:sz="0" w:space="0" w:color="auto"/>
            <w:bottom w:val="none" w:sz="0" w:space="0" w:color="auto"/>
            <w:right w:val="none" w:sz="0" w:space="0" w:color="auto"/>
          </w:divBdr>
        </w:div>
        <w:div w:id="872159282">
          <w:marLeft w:val="274"/>
          <w:marRight w:val="0"/>
          <w:marTop w:val="75"/>
          <w:marBottom w:val="0"/>
          <w:divBdr>
            <w:top w:val="none" w:sz="0" w:space="0" w:color="auto"/>
            <w:left w:val="none" w:sz="0" w:space="0" w:color="auto"/>
            <w:bottom w:val="none" w:sz="0" w:space="0" w:color="auto"/>
            <w:right w:val="none" w:sz="0" w:space="0" w:color="auto"/>
          </w:divBdr>
        </w:div>
        <w:div w:id="959188195">
          <w:marLeft w:val="274"/>
          <w:marRight w:val="0"/>
          <w:marTop w:val="75"/>
          <w:marBottom w:val="0"/>
          <w:divBdr>
            <w:top w:val="none" w:sz="0" w:space="0" w:color="auto"/>
            <w:left w:val="none" w:sz="0" w:space="0" w:color="auto"/>
            <w:bottom w:val="none" w:sz="0" w:space="0" w:color="auto"/>
            <w:right w:val="none" w:sz="0" w:space="0" w:color="auto"/>
          </w:divBdr>
        </w:div>
        <w:div w:id="1038822868">
          <w:marLeft w:val="274"/>
          <w:marRight w:val="0"/>
          <w:marTop w:val="75"/>
          <w:marBottom w:val="0"/>
          <w:divBdr>
            <w:top w:val="none" w:sz="0" w:space="0" w:color="auto"/>
            <w:left w:val="none" w:sz="0" w:space="0" w:color="auto"/>
            <w:bottom w:val="none" w:sz="0" w:space="0" w:color="auto"/>
            <w:right w:val="none" w:sz="0" w:space="0" w:color="auto"/>
          </w:divBdr>
        </w:div>
        <w:div w:id="1350258828">
          <w:marLeft w:val="274"/>
          <w:marRight w:val="0"/>
          <w:marTop w:val="75"/>
          <w:marBottom w:val="0"/>
          <w:divBdr>
            <w:top w:val="none" w:sz="0" w:space="0" w:color="auto"/>
            <w:left w:val="none" w:sz="0" w:space="0" w:color="auto"/>
            <w:bottom w:val="none" w:sz="0" w:space="0" w:color="auto"/>
            <w:right w:val="none" w:sz="0" w:space="0" w:color="auto"/>
          </w:divBdr>
        </w:div>
      </w:divsChild>
    </w:div>
    <w:div w:id="1063069473">
      <w:bodyDiv w:val="1"/>
      <w:marLeft w:val="0"/>
      <w:marRight w:val="0"/>
      <w:marTop w:val="0"/>
      <w:marBottom w:val="0"/>
      <w:divBdr>
        <w:top w:val="none" w:sz="0" w:space="0" w:color="auto"/>
        <w:left w:val="none" w:sz="0" w:space="0" w:color="auto"/>
        <w:bottom w:val="none" w:sz="0" w:space="0" w:color="auto"/>
        <w:right w:val="none" w:sz="0" w:space="0" w:color="auto"/>
      </w:divBdr>
      <w:divsChild>
        <w:div w:id="231818410">
          <w:marLeft w:val="0"/>
          <w:marRight w:val="0"/>
          <w:marTop w:val="0"/>
          <w:marBottom w:val="0"/>
          <w:divBdr>
            <w:top w:val="none" w:sz="0" w:space="0" w:color="auto"/>
            <w:left w:val="none" w:sz="0" w:space="0" w:color="auto"/>
            <w:bottom w:val="none" w:sz="0" w:space="0" w:color="auto"/>
            <w:right w:val="none" w:sz="0" w:space="0" w:color="auto"/>
          </w:divBdr>
          <w:divsChild>
            <w:div w:id="862330225">
              <w:marLeft w:val="0"/>
              <w:marRight w:val="0"/>
              <w:marTop w:val="0"/>
              <w:marBottom w:val="0"/>
              <w:divBdr>
                <w:top w:val="none" w:sz="0" w:space="0" w:color="auto"/>
                <w:left w:val="none" w:sz="0" w:space="0" w:color="auto"/>
                <w:bottom w:val="none" w:sz="0" w:space="0" w:color="auto"/>
                <w:right w:val="none" w:sz="0" w:space="0" w:color="auto"/>
              </w:divBdr>
              <w:divsChild>
                <w:div w:id="15656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922">
      <w:bodyDiv w:val="1"/>
      <w:marLeft w:val="0"/>
      <w:marRight w:val="0"/>
      <w:marTop w:val="0"/>
      <w:marBottom w:val="0"/>
      <w:divBdr>
        <w:top w:val="none" w:sz="0" w:space="0" w:color="auto"/>
        <w:left w:val="none" w:sz="0" w:space="0" w:color="auto"/>
        <w:bottom w:val="none" w:sz="0" w:space="0" w:color="auto"/>
        <w:right w:val="none" w:sz="0" w:space="0" w:color="auto"/>
      </w:divBdr>
    </w:div>
    <w:div w:id="1080375142">
      <w:bodyDiv w:val="1"/>
      <w:marLeft w:val="0"/>
      <w:marRight w:val="0"/>
      <w:marTop w:val="0"/>
      <w:marBottom w:val="0"/>
      <w:divBdr>
        <w:top w:val="none" w:sz="0" w:space="0" w:color="auto"/>
        <w:left w:val="none" w:sz="0" w:space="0" w:color="auto"/>
        <w:bottom w:val="none" w:sz="0" w:space="0" w:color="auto"/>
        <w:right w:val="none" w:sz="0" w:space="0" w:color="auto"/>
      </w:divBdr>
      <w:divsChild>
        <w:div w:id="91554224">
          <w:marLeft w:val="0"/>
          <w:marRight w:val="0"/>
          <w:marTop w:val="0"/>
          <w:marBottom w:val="0"/>
          <w:divBdr>
            <w:top w:val="none" w:sz="0" w:space="0" w:color="auto"/>
            <w:left w:val="none" w:sz="0" w:space="0" w:color="auto"/>
            <w:bottom w:val="none" w:sz="0" w:space="0" w:color="auto"/>
            <w:right w:val="none" w:sz="0" w:space="0" w:color="auto"/>
          </w:divBdr>
          <w:divsChild>
            <w:div w:id="2119832084">
              <w:marLeft w:val="0"/>
              <w:marRight w:val="0"/>
              <w:marTop w:val="0"/>
              <w:marBottom w:val="0"/>
              <w:divBdr>
                <w:top w:val="none" w:sz="0" w:space="0" w:color="auto"/>
                <w:left w:val="none" w:sz="0" w:space="0" w:color="auto"/>
                <w:bottom w:val="none" w:sz="0" w:space="0" w:color="auto"/>
                <w:right w:val="none" w:sz="0" w:space="0" w:color="auto"/>
              </w:divBdr>
              <w:divsChild>
                <w:div w:id="1951427728">
                  <w:marLeft w:val="0"/>
                  <w:marRight w:val="0"/>
                  <w:marTop w:val="0"/>
                  <w:marBottom w:val="0"/>
                  <w:divBdr>
                    <w:top w:val="none" w:sz="0" w:space="0" w:color="auto"/>
                    <w:left w:val="none" w:sz="0" w:space="0" w:color="auto"/>
                    <w:bottom w:val="none" w:sz="0" w:space="0" w:color="auto"/>
                    <w:right w:val="none" w:sz="0" w:space="0" w:color="auto"/>
                  </w:divBdr>
                  <w:divsChild>
                    <w:div w:id="1405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554828">
      <w:bodyDiv w:val="1"/>
      <w:marLeft w:val="0"/>
      <w:marRight w:val="0"/>
      <w:marTop w:val="0"/>
      <w:marBottom w:val="0"/>
      <w:divBdr>
        <w:top w:val="none" w:sz="0" w:space="0" w:color="auto"/>
        <w:left w:val="none" w:sz="0" w:space="0" w:color="auto"/>
        <w:bottom w:val="none" w:sz="0" w:space="0" w:color="auto"/>
        <w:right w:val="none" w:sz="0" w:space="0" w:color="auto"/>
      </w:divBdr>
    </w:div>
    <w:div w:id="1096897807">
      <w:bodyDiv w:val="1"/>
      <w:marLeft w:val="0"/>
      <w:marRight w:val="0"/>
      <w:marTop w:val="0"/>
      <w:marBottom w:val="0"/>
      <w:divBdr>
        <w:top w:val="none" w:sz="0" w:space="0" w:color="auto"/>
        <w:left w:val="none" w:sz="0" w:space="0" w:color="auto"/>
        <w:bottom w:val="none" w:sz="0" w:space="0" w:color="auto"/>
        <w:right w:val="none" w:sz="0" w:space="0" w:color="auto"/>
      </w:divBdr>
      <w:divsChild>
        <w:div w:id="791442131">
          <w:marLeft w:val="0"/>
          <w:marRight w:val="0"/>
          <w:marTop w:val="0"/>
          <w:marBottom w:val="0"/>
          <w:divBdr>
            <w:top w:val="none" w:sz="0" w:space="0" w:color="auto"/>
            <w:left w:val="none" w:sz="0" w:space="0" w:color="auto"/>
            <w:bottom w:val="none" w:sz="0" w:space="0" w:color="auto"/>
            <w:right w:val="none" w:sz="0" w:space="0" w:color="auto"/>
          </w:divBdr>
        </w:div>
        <w:div w:id="904950920">
          <w:marLeft w:val="0"/>
          <w:marRight w:val="0"/>
          <w:marTop w:val="0"/>
          <w:marBottom w:val="0"/>
          <w:divBdr>
            <w:top w:val="none" w:sz="0" w:space="0" w:color="auto"/>
            <w:left w:val="none" w:sz="0" w:space="0" w:color="auto"/>
            <w:bottom w:val="none" w:sz="0" w:space="0" w:color="auto"/>
            <w:right w:val="none" w:sz="0" w:space="0" w:color="auto"/>
          </w:divBdr>
        </w:div>
      </w:divsChild>
    </w:div>
    <w:div w:id="1112481006">
      <w:bodyDiv w:val="1"/>
      <w:marLeft w:val="0"/>
      <w:marRight w:val="0"/>
      <w:marTop w:val="0"/>
      <w:marBottom w:val="0"/>
      <w:divBdr>
        <w:top w:val="none" w:sz="0" w:space="0" w:color="auto"/>
        <w:left w:val="none" w:sz="0" w:space="0" w:color="auto"/>
        <w:bottom w:val="none" w:sz="0" w:space="0" w:color="auto"/>
        <w:right w:val="none" w:sz="0" w:space="0" w:color="auto"/>
      </w:divBdr>
    </w:div>
    <w:div w:id="1127236822">
      <w:bodyDiv w:val="1"/>
      <w:marLeft w:val="0"/>
      <w:marRight w:val="0"/>
      <w:marTop w:val="0"/>
      <w:marBottom w:val="0"/>
      <w:divBdr>
        <w:top w:val="none" w:sz="0" w:space="0" w:color="auto"/>
        <w:left w:val="none" w:sz="0" w:space="0" w:color="auto"/>
        <w:bottom w:val="none" w:sz="0" w:space="0" w:color="auto"/>
        <w:right w:val="none" w:sz="0" w:space="0" w:color="auto"/>
      </w:divBdr>
    </w:div>
    <w:div w:id="1133521226">
      <w:bodyDiv w:val="1"/>
      <w:marLeft w:val="0"/>
      <w:marRight w:val="0"/>
      <w:marTop w:val="0"/>
      <w:marBottom w:val="0"/>
      <w:divBdr>
        <w:top w:val="none" w:sz="0" w:space="0" w:color="auto"/>
        <w:left w:val="none" w:sz="0" w:space="0" w:color="auto"/>
        <w:bottom w:val="none" w:sz="0" w:space="0" w:color="auto"/>
        <w:right w:val="none" w:sz="0" w:space="0" w:color="auto"/>
      </w:divBdr>
    </w:div>
    <w:div w:id="1139035309">
      <w:bodyDiv w:val="1"/>
      <w:marLeft w:val="0"/>
      <w:marRight w:val="0"/>
      <w:marTop w:val="0"/>
      <w:marBottom w:val="0"/>
      <w:divBdr>
        <w:top w:val="none" w:sz="0" w:space="0" w:color="auto"/>
        <w:left w:val="none" w:sz="0" w:space="0" w:color="auto"/>
        <w:bottom w:val="none" w:sz="0" w:space="0" w:color="auto"/>
        <w:right w:val="none" w:sz="0" w:space="0" w:color="auto"/>
      </w:divBdr>
    </w:div>
    <w:div w:id="1140414461">
      <w:bodyDiv w:val="1"/>
      <w:marLeft w:val="0"/>
      <w:marRight w:val="0"/>
      <w:marTop w:val="0"/>
      <w:marBottom w:val="0"/>
      <w:divBdr>
        <w:top w:val="none" w:sz="0" w:space="0" w:color="auto"/>
        <w:left w:val="none" w:sz="0" w:space="0" w:color="auto"/>
        <w:bottom w:val="none" w:sz="0" w:space="0" w:color="auto"/>
        <w:right w:val="none" w:sz="0" w:space="0" w:color="auto"/>
      </w:divBdr>
    </w:div>
    <w:div w:id="1153256733">
      <w:bodyDiv w:val="1"/>
      <w:marLeft w:val="0"/>
      <w:marRight w:val="0"/>
      <w:marTop w:val="0"/>
      <w:marBottom w:val="0"/>
      <w:divBdr>
        <w:top w:val="none" w:sz="0" w:space="0" w:color="auto"/>
        <w:left w:val="none" w:sz="0" w:space="0" w:color="auto"/>
        <w:bottom w:val="none" w:sz="0" w:space="0" w:color="auto"/>
        <w:right w:val="none" w:sz="0" w:space="0" w:color="auto"/>
      </w:divBdr>
    </w:div>
    <w:div w:id="1163084415">
      <w:bodyDiv w:val="1"/>
      <w:marLeft w:val="0"/>
      <w:marRight w:val="0"/>
      <w:marTop w:val="0"/>
      <w:marBottom w:val="0"/>
      <w:divBdr>
        <w:top w:val="none" w:sz="0" w:space="0" w:color="auto"/>
        <w:left w:val="none" w:sz="0" w:space="0" w:color="auto"/>
        <w:bottom w:val="none" w:sz="0" w:space="0" w:color="auto"/>
        <w:right w:val="none" w:sz="0" w:space="0" w:color="auto"/>
      </w:divBdr>
    </w:div>
    <w:div w:id="1173106410">
      <w:bodyDiv w:val="1"/>
      <w:marLeft w:val="0"/>
      <w:marRight w:val="0"/>
      <w:marTop w:val="0"/>
      <w:marBottom w:val="0"/>
      <w:divBdr>
        <w:top w:val="none" w:sz="0" w:space="0" w:color="auto"/>
        <w:left w:val="none" w:sz="0" w:space="0" w:color="auto"/>
        <w:bottom w:val="none" w:sz="0" w:space="0" w:color="auto"/>
        <w:right w:val="none" w:sz="0" w:space="0" w:color="auto"/>
      </w:divBdr>
    </w:div>
    <w:div w:id="1178081021">
      <w:bodyDiv w:val="1"/>
      <w:marLeft w:val="0"/>
      <w:marRight w:val="0"/>
      <w:marTop w:val="0"/>
      <w:marBottom w:val="0"/>
      <w:divBdr>
        <w:top w:val="none" w:sz="0" w:space="0" w:color="auto"/>
        <w:left w:val="none" w:sz="0" w:space="0" w:color="auto"/>
        <w:bottom w:val="none" w:sz="0" w:space="0" w:color="auto"/>
        <w:right w:val="none" w:sz="0" w:space="0" w:color="auto"/>
      </w:divBdr>
    </w:div>
    <w:div w:id="1178226813">
      <w:bodyDiv w:val="1"/>
      <w:marLeft w:val="0"/>
      <w:marRight w:val="0"/>
      <w:marTop w:val="0"/>
      <w:marBottom w:val="0"/>
      <w:divBdr>
        <w:top w:val="none" w:sz="0" w:space="0" w:color="auto"/>
        <w:left w:val="none" w:sz="0" w:space="0" w:color="auto"/>
        <w:bottom w:val="none" w:sz="0" w:space="0" w:color="auto"/>
        <w:right w:val="none" w:sz="0" w:space="0" w:color="auto"/>
      </w:divBdr>
    </w:div>
    <w:div w:id="1200973630">
      <w:bodyDiv w:val="1"/>
      <w:marLeft w:val="0"/>
      <w:marRight w:val="0"/>
      <w:marTop w:val="0"/>
      <w:marBottom w:val="0"/>
      <w:divBdr>
        <w:top w:val="none" w:sz="0" w:space="0" w:color="auto"/>
        <w:left w:val="none" w:sz="0" w:space="0" w:color="auto"/>
        <w:bottom w:val="none" w:sz="0" w:space="0" w:color="auto"/>
        <w:right w:val="none" w:sz="0" w:space="0" w:color="auto"/>
      </w:divBdr>
    </w:div>
    <w:div w:id="1209679414">
      <w:bodyDiv w:val="1"/>
      <w:marLeft w:val="0"/>
      <w:marRight w:val="0"/>
      <w:marTop w:val="0"/>
      <w:marBottom w:val="0"/>
      <w:divBdr>
        <w:top w:val="none" w:sz="0" w:space="0" w:color="auto"/>
        <w:left w:val="none" w:sz="0" w:space="0" w:color="auto"/>
        <w:bottom w:val="none" w:sz="0" w:space="0" w:color="auto"/>
        <w:right w:val="none" w:sz="0" w:space="0" w:color="auto"/>
      </w:divBdr>
      <w:divsChild>
        <w:div w:id="4133771">
          <w:marLeft w:val="0"/>
          <w:marRight w:val="0"/>
          <w:marTop w:val="0"/>
          <w:marBottom w:val="0"/>
          <w:divBdr>
            <w:top w:val="none" w:sz="0" w:space="0" w:color="auto"/>
            <w:left w:val="none" w:sz="0" w:space="0" w:color="auto"/>
            <w:bottom w:val="none" w:sz="0" w:space="0" w:color="auto"/>
            <w:right w:val="none" w:sz="0" w:space="0" w:color="auto"/>
          </w:divBdr>
        </w:div>
        <w:div w:id="1035808099">
          <w:marLeft w:val="0"/>
          <w:marRight w:val="0"/>
          <w:marTop w:val="0"/>
          <w:marBottom w:val="0"/>
          <w:divBdr>
            <w:top w:val="none" w:sz="0" w:space="0" w:color="auto"/>
            <w:left w:val="none" w:sz="0" w:space="0" w:color="auto"/>
            <w:bottom w:val="none" w:sz="0" w:space="0" w:color="auto"/>
            <w:right w:val="none" w:sz="0" w:space="0" w:color="auto"/>
          </w:divBdr>
        </w:div>
        <w:div w:id="1206404510">
          <w:marLeft w:val="0"/>
          <w:marRight w:val="0"/>
          <w:marTop w:val="0"/>
          <w:marBottom w:val="0"/>
          <w:divBdr>
            <w:top w:val="none" w:sz="0" w:space="0" w:color="auto"/>
            <w:left w:val="none" w:sz="0" w:space="0" w:color="auto"/>
            <w:bottom w:val="none" w:sz="0" w:space="0" w:color="auto"/>
            <w:right w:val="none" w:sz="0" w:space="0" w:color="auto"/>
          </w:divBdr>
        </w:div>
      </w:divsChild>
    </w:div>
    <w:div w:id="1215970742">
      <w:bodyDiv w:val="1"/>
      <w:marLeft w:val="0"/>
      <w:marRight w:val="0"/>
      <w:marTop w:val="0"/>
      <w:marBottom w:val="0"/>
      <w:divBdr>
        <w:top w:val="none" w:sz="0" w:space="0" w:color="auto"/>
        <w:left w:val="none" w:sz="0" w:space="0" w:color="auto"/>
        <w:bottom w:val="none" w:sz="0" w:space="0" w:color="auto"/>
        <w:right w:val="none" w:sz="0" w:space="0" w:color="auto"/>
      </w:divBdr>
      <w:divsChild>
        <w:div w:id="624197609">
          <w:marLeft w:val="533"/>
          <w:marRight w:val="0"/>
          <w:marTop w:val="150"/>
          <w:marBottom w:val="0"/>
          <w:divBdr>
            <w:top w:val="none" w:sz="0" w:space="0" w:color="auto"/>
            <w:left w:val="none" w:sz="0" w:space="0" w:color="auto"/>
            <w:bottom w:val="none" w:sz="0" w:space="0" w:color="auto"/>
            <w:right w:val="none" w:sz="0" w:space="0" w:color="auto"/>
          </w:divBdr>
        </w:div>
        <w:div w:id="830368856">
          <w:marLeft w:val="533"/>
          <w:marRight w:val="0"/>
          <w:marTop w:val="150"/>
          <w:marBottom w:val="0"/>
          <w:divBdr>
            <w:top w:val="none" w:sz="0" w:space="0" w:color="auto"/>
            <w:left w:val="none" w:sz="0" w:space="0" w:color="auto"/>
            <w:bottom w:val="none" w:sz="0" w:space="0" w:color="auto"/>
            <w:right w:val="none" w:sz="0" w:space="0" w:color="auto"/>
          </w:divBdr>
        </w:div>
        <w:div w:id="913860049">
          <w:marLeft w:val="806"/>
          <w:marRight w:val="0"/>
          <w:marTop w:val="75"/>
          <w:marBottom w:val="0"/>
          <w:divBdr>
            <w:top w:val="none" w:sz="0" w:space="0" w:color="auto"/>
            <w:left w:val="none" w:sz="0" w:space="0" w:color="auto"/>
            <w:bottom w:val="none" w:sz="0" w:space="0" w:color="auto"/>
            <w:right w:val="none" w:sz="0" w:space="0" w:color="auto"/>
          </w:divBdr>
        </w:div>
        <w:div w:id="1236554563">
          <w:marLeft w:val="806"/>
          <w:marRight w:val="0"/>
          <w:marTop w:val="75"/>
          <w:marBottom w:val="0"/>
          <w:divBdr>
            <w:top w:val="none" w:sz="0" w:space="0" w:color="auto"/>
            <w:left w:val="none" w:sz="0" w:space="0" w:color="auto"/>
            <w:bottom w:val="none" w:sz="0" w:space="0" w:color="auto"/>
            <w:right w:val="none" w:sz="0" w:space="0" w:color="auto"/>
          </w:divBdr>
        </w:div>
        <w:div w:id="1256019163">
          <w:marLeft w:val="806"/>
          <w:marRight w:val="0"/>
          <w:marTop w:val="75"/>
          <w:marBottom w:val="0"/>
          <w:divBdr>
            <w:top w:val="none" w:sz="0" w:space="0" w:color="auto"/>
            <w:left w:val="none" w:sz="0" w:space="0" w:color="auto"/>
            <w:bottom w:val="none" w:sz="0" w:space="0" w:color="auto"/>
            <w:right w:val="none" w:sz="0" w:space="0" w:color="auto"/>
          </w:divBdr>
        </w:div>
        <w:div w:id="1341393813">
          <w:marLeft w:val="533"/>
          <w:marRight w:val="0"/>
          <w:marTop w:val="150"/>
          <w:marBottom w:val="0"/>
          <w:divBdr>
            <w:top w:val="none" w:sz="0" w:space="0" w:color="auto"/>
            <w:left w:val="none" w:sz="0" w:space="0" w:color="auto"/>
            <w:bottom w:val="none" w:sz="0" w:space="0" w:color="auto"/>
            <w:right w:val="none" w:sz="0" w:space="0" w:color="auto"/>
          </w:divBdr>
        </w:div>
        <w:div w:id="1554123255">
          <w:marLeft w:val="533"/>
          <w:marRight w:val="0"/>
          <w:marTop w:val="150"/>
          <w:marBottom w:val="0"/>
          <w:divBdr>
            <w:top w:val="none" w:sz="0" w:space="0" w:color="auto"/>
            <w:left w:val="none" w:sz="0" w:space="0" w:color="auto"/>
            <w:bottom w:val="none" w:sz="0" w:space="0" w:color="auto"/>
            <w:right w:val="none" w:sz="0" w:space="0" w:color="auto"/>
          </w:divBdr>
        </w:div>
        <w:div w:id="1839147393">
          <w:marLeft w:val="533"/>
          <w:marRight w:val="0"/>
          <w:marTop w:val="150"/>
          <w:marBottom w:val="0"/>
          <w:divBdr>
            <w:top w:val="none" w:sz="0" w:space="0" w:color="auto"/>
            <w:left w:val="none" w:sz="0" w:space="0" w:color="auto"/>
            <w:bottom w:val="none" w:sz="0" w:space="0" w:color="auto"/>
            <w:right w:val="none" w:sz="0" w:space="0" w:color="auto"/>
          </w:divBdr>
        </w:div>
      </w:divsChild>
    </w:div>
    <w:div w:id="1246303728">
      <w:bodyDiv w:val="1"/>
      <w:marLeft w:val="0"/>
      <w:marRight w:val="0"/>
      <w:marTop w:val="0"/>
      <w:marBottom w:val="0"/>
      <w:divBdr>
        <w:top w:val="none" w:sz="0" w:space="0" w:color="auto"/>
        <w:left w:val="none" w:sz="0" w:space="0" w:color="auto"/>
        <w:bottom w:val="none" w:sz="0" w:space="0" w:color="auto"/>
        <w:right w:val="none" w:sz="0" w:space="0" w:color="auto"/>
      </w:divBdr>
    </w:div>
    <w:div w:id="1247378534">
      <w:bodyDiv w:val="1"/>
      <w:marLeft w:val="0"/>
      <w:marRight w:val="0"/>
      <w:marTop w:val="0"/>
      <w:marBottom w:val="0"/>
      <w:divBdr>
        <w:top w:val="none" w:sz="0" w:space="0" w:color="auto"/>
        <w:left w:val="none" w:sz="0" w:space="0" w:color="auto"/>
        <w:bottom w:val="none" w:sz="0" w:space="0" w:color="auto"/>
        <w:right w:val="none" w:sz="0" w:space="0" w:color="auto"/>
      </w:divBdr>
      <w:divsChild>
        <w:div w:id="129633139">
          <w:marLeft w:val="0"/>
          <w:marRight w:val="0"/>
          <w:marTop w:val="0"/>
          <w:marBottom w:val="0"/>
          <w:divBdr>
            <w:top w:val="none" w:sz="0" w:space="0" w:color="auto"/>
            <w:left w:val="none" w:sz="0" w:space="0" w:color="auto"/>
            <w:bottom w:val="none" w:sz="0" w:space="0" w:color="auto"/>
            <w:right w:val="none" w:sz="0" w:space="0" w:color="auto"/>
          </w:divBdr>
          <w:divsChild>
            <w:div w:id="168181334">
              <w:marLeft w:val="0"/>
              <w:marRight w:val="0"/>
              <w:marTop w:val="0"/>
              <w:marBottom w:val="0"/>
              <w:divBdr>
                <w:top w:val="none" w:sz="0" w:space="0" w:color="auto"/>
                <w:left w:val="none" w:sz="0" w:space="0" w:color="auto"/>
                <w:bottom w:val="none" w:sz="0" w:space="0" w:color="auto"/>
                <w:right w:val="none" w:sz="0" w:space="0" w:color="auto"/>
              </w:divBdr>
              <w:divsChild>
                <w:div w:id="17617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9377">
      <w:bodyDiv w:val="1"/>
      <w:marLeft w:val="0"/>
      <w:marRight w:val="0"/>
      <w:marTop w:val="0"/>
      <w:marBottom w:val="0"/>
      <w:divBdr>
        <w:top w:val="none" w:sz="0" w:space="0" w:color="auto"/>
        <w:left w:val="none" w:sz="0" w:space="0" w:color="auto"/>
        <w:bottom w:val="none" w:sz="0" w:space="0" w:color="auto"/>
        <w:right w:val="none" w:sz="0" w:space="0" w:color="auto"/>
      </w:divBdr>
    </w:div>
    <w:div w:id="1278684473">
      <w:bodyDiv w:val="1"/>
      <w:marLeft w:val="0"/>
      <w:marRight w:val="0"/>
      <w:marTop w:val="0"/>
      <w:marBottom w:val="0"/>
      <w:divBdr>
        <w:top w:val="none" w:sz="0" w:space="0" w:color="auto"/>
        <w:left w:val="none" w:sz="0" w:space="0" w:color="auto"/>
        <w:bottom w:val="none" w:sz="0" w:space="0" w:color="auto"/>
        <w:right w:val="none" w:sz="0" w:space="0" w:color="auto"/>
      </w:divBdr>
    </w:div>
    <w:div w:id="1279606281">
      <w:bodyDiv w:val="1"/>
      <w:marLeft w:val="0"/>
      <w:marRight w:val="0"/>
      <w:marTop w:val="0"/>
      <w:marBottom w:val="0"/>
      <w:divBdr>
        <w:top w:val="none" w:sz="0" w:space="0" w:color="auto"/>
        <w:left w:val="none" w:sz="0" w:space="0" w:color="auto"/>
        <w:bottom w:val="none" w:sz="0" w:space="0" w:color="auto"/>
        <w:right w:val="none" w:sz="0" w:space="0" w:color="auto"/>
      </w:divBdr>
    </w:div>
    <w:div w:id="1288003596">
      <w:bodyDiv w:val="1"/>
      <w:marLeft w:val="0"/>
      <w:marRight w:val="0"/>
      <w:marTop w:val="0"/>
      <w:marBottom w:val="0"/>
      <w:divBdr>
        <w:top w:val="none" w:sz="0" w:space="0" w:color="auto"/>
        <w:left w:val="none" w:sz="0" w:space="0" w:color="auto"/>
        <w:bottom w:val="none" w:sz="0" w:space="0" w:color="auto"/>
        <w:right w:val="none" w:sz="0" w:space="0" w:color="auto"/>
      </w:divBdr>
    </w:div>
    <w:div w:id="1289966405">
      <w:bodyDiv w:val="1"/>
      <w:marLeft w:val="0"/>
      <w:marRight w:val="0"/>
      <w:marTop w:val="0"/>
      <w:marBottom w:val="0"/>
      <w:divBdr>
        <w:top w:val="none" w:sz="0" w:space="0" w:color="auto"/>
        <w:left w:val="none" w:sz="0" w:space="0" w:color="auto"/>
        <w:bottom w:val="none" w:sz="0" w:space="0" w:color="auto"/>
        <w:right w:val="none" w:sz="0" w:space="0" w:color="auto"/>
      </w:divBdr>
    </w:div>
    <w:div w:id="1296641091">
      <w:bodyDiv w:val="1"/>
      <w:marLeft w:val="0"/>
      <w:marRight w:val="0"/>
      <w:marTop w:val="0"/>
      <w:marBottom w:val="0"/>
      <w:divBdr>
        <w:top w:val="none" w:sz="0" w:space="0" w:color="auto"/>
        <w:left w:val="none" w:sz="0" w:space="0" w:color="auto"/>
        <w:bottom w:val="none" w:sz="0" w:space="0" w:color="auto"/>
        <w:right w:val="none" w:sz="0" w:space="0" w:color="auto"/>
      </w:divBdr>
    </w:div>
    <w:div w:id="1316225344">
      <w:bodyDiv w:val="1"/>
      <w:marLeft w:val="0"/>
      <w:marRight w:val="0"/>
      <w:marTop w:val="0"/>
      <w:marBottom w:val="0"/>
      <w:divBdr>
        <w:top w:val="none" w:sz="0" w:space="0" w:color="auto"/>
        <w:left w:val="none" w:sz="0" w:space="0" w:color="auto"/>
        <w:bottom w:val="none" w:sz="0" w:space="0" w:color="auto"/>
        <w:right w:val="none" w:sz="0" w:space="0" w:color="auto"/>
      </w:divBdr>
    </w:div>
    <w:div w:id="1317950298">
      <w:bodyDiv w:val="1"/>
      <w:marLeft w:val="0"/>
      <w:marRight w:val="0"/>
      <w:marTop w:val="0"/>
      <w:marBottom w:val="0"/>
      <w:divBdr>
        <w:top w:val="none" w:sz="0" w:space="0" w:color="auto"/>
        <w:left w:val="none" w:sz="0" w:space="0" w:color="auto"/>
        <w:bottom w:val="none" w:sz="0" w:space="0" w:color="auto"/>
        <w:right w:val="none" w:sz="0" w:space="0" w:color="auto"/>
      </w:divBdr>
      <w:divsChild>
        <w:div w:id="279000192">
          <w:marLeft w:val="1354"/>
          <w:marRight w:val="0"/>
          <w:marTop w:val="75"/>
          <w:marBottom w:val="40"/>
          <w:divBdr>
            <w:top w:val="none" w:sz="0" w:space="0" w:color="auto"/>
            <w:left w:val="none" w:sz="0" w:space="0" w:color="auto"/>
            <w:bottom w:val="none" w:sz="0" w:space="0" w:color="auto"/>
            <w:right w:val="none" w:sz="0" w:space="0" w:color="auto"/>
          </w:divBdr>
        </w:div>
        <w:div w:id="677781104">
          <w:marLeft w:val="1354"/>
          <w:marRight w:val="0"/>
          <w:marTop w:val="75"/>
          <w:marBottom w:val="40"/>
          <w:divBdr>
            <w:top w:val="none" w:sz="0" w:space="0" w:color="auto"/>
            <w:left w:val="none" w:sz="0" w:space="0" w:color="auto"/>
            <w:bottom w:val="none" w:sz="0" w:space="0" w:color="auto"/>
            <w:right w:val="none" w:sz="0" w:space="0" w:color="auto"/>
          </w:divBdr>
        </w:div>
      </w:divsChild>
    </w:div>
    <w:div w:id="1321618176">
      <w:bodyDiv w:val="1"/>
      <w:marLeft w:val="0"/>
      <w:marRight w:val="0"/>
      <w:marTop w:val="0"/>
      <w:marBottom w:val="0"/>
      <w:divBdr>
        <w:top w:val="none" w:sz="0" w:space="0" w:color="auto"/>
        <w:left w:val="none" w:sz="0" w:space="0" w:color="auto"/>
        <w:bottom w:val="none" w:sz="0" w:space="0" w:color="auto"/>
        <w:right w:val="none" w:sz="0" w:space="0" w:color="auto"/>
      </w:divBdr>
    </w:div>
    <w:div w:id="1323583539">
      <w:bodyDiv w:val="1"/>
      <w:marLeft w:val="0"/>
      <w:marRight w:val="0"/>
      <w:marTop w:val="0"/>
      <w:marBottom w:val="0"/>
      <w:divBdr>
        <w:top w:val="none" w:sz="0" w:space="0" w:color="auto"/>
        <w:left w:val="none" w:sz="0" w:space="0" w:color="auto"/>
        <w:bottom w:val="none" w:sz="0" w:space="0" w:color="auto"/>
        <w:right w:val="none" w:sz="0" w:space="0" w:color="auto"/>
      </w:divBdr>
    </w:div>
    <w:div w:id="1324549147">
      <w:bodyDiv w:val="1"/>
      <w:marLeft w:val="0"/>
      <w:marRight w:val="0"/>
      <w:marTop w:val="0"/>
      <w:marBottom w:val="0"/>
      <w:divBdr>
        <w:top w:val="none" w:sz="0" w:space="0" w:color="auto"/>
        <w:left w:val="none" w:sz="0" w:space="0" w:color="auto"/>
        <w:bottom w:val="none" w:sz="0" w:space="0" w:color="auto"/>
        <w:right w:val="none" w:sz="0" w:space="0" w:color="auto"/>
      </w:divBdr>
    </w:div>
    <w:div w:id="1325277577">
      <w:bodyDiv w:val="1"/>
      <w:marLeft w:val="0"/>
      <w:marRight w:val="0"/>
      <w:marTop w:val="0"/>
      <w:marBottom w:val="0"/>
      <w:divBdr>
        <w:top w:val="none" w:sz="0" w:space="0" w:color="auto"/>
        <w:left w:val="none" w:sz="0" w:space="0" w:color="auto"/>
        <w:bottom w:val="none" w:sz="0" w:space="0" w:color="auto"/>
        <w:right w:val="none" w:sz="0" w:space="0" w:color="auto"/>
      </w:divBdr>
    </w:div>
    <w:div w:id="1328360586">
      <w:bodyDiv w:val="1"/>
      <w:marLeft w:val="0"/>
      <w:marRight w:val="0"/>
      <w:marTop w:val="0"/>
      <w:marBottom w:val="0"/>
      <w:divBdr>
        <w:top w:val="none" w:sz="0" w:space="0" w:color="auto"/>
        <w:left w:val="none" w:sz="0" w:space="0" w:color="auto"/>
        <w:bottom w:val="none" w:sz="0" w:space="0" w:color="auto"/>
        <w:right w:val="none" w:sz="0" w:space="0" w:color="auto"/>
      </w:divBdr>
    </w:div>
    <w:div w:id="1333753025">
      <w:bodyDiv w:val="1"/>
      <w:marLeft w:val="0"/>
      <w:marRight w:val="0"/>
      <w:marTop w:val="0"/>
      <w:marBottom w:val="0"/>
      <w:divBdr>
        <w:top w:val="none" w:sz="0" w:space="0" w:color="auto"/>
        <w:left w:val="none" w:sz="0" w:space="0" w:color="auto"/>
        <w:bottom w:val="none" w:sz="0" w:space="0" w:color="auto"/>
        <w:right w:val="none" w:sz="0" w:space="0" w:color="auto"/>
      </w:divBdr>
      <w:divsChild>
        <w:div w:id="49501202">
          <w:marLeft w:val="533"/>
          <w:marRight w:val="0"/>
          <w:marTop w:val="150"/>
          <w:marBottom w:val="0"/>
          <w:divBdr>
            <w:top w:val="none" w:sz="0" w:space="0" w:color="auto"/>
            <w:left w:val="none" w:sz="0" w:space="0" w:color="auto"/>
            <w:bottom w:val="none" w:sz="0" w:space="0" w:color="auto"/>
            <w:right w:val="none" w:sz="0" w:space="0" w:color="auto"/>
          </w:divBdr>
        </w:div>
        <w:div w:id="1784500115">
          <w:marLeft w:val="533"/>
          <w:marRight w:val="0"/>
          <w:marTop w:val="150"/>
          <w:marBottom w:val="0"/>
          <w:divBdr>
            <w:top w:val="none" w:sz="0" w:space="0" w:color="auto"/>
            <w:left w:val="none" w:sz="0" w:space="0" w:color="auto"/>
            <w:bottom w:val="none" w:sz="0" w:space="0" w:color="auto"/>
            <w:right w:val="none" w:sz="0" w:space="0" w:color="auto"/>
          </w:divBdr>
        </w:div>
        <w:div w:id="1788961877">
          <w:marLeft w:val="533"/>
          <w:marRight w:val="0"/>
          <w:marTop w:val="150"/>
          <w:marBottom w:val="0"/>
          <w:divBdr>
            <w:top w:val="none" w:sz="0" w:space="0" w:color="auto"/>
            <w:left w:val="none" w:sz="0" w:space="0" w:color="auto"/>
            <w:bottom w:val="none" w:sz="0" w:space="0" w:color="auto"/>
            <w:right w:val="none" w:sz="0" w:space="0" w:color="auto"/>
          </w:divBdr>
        </w:div>
        <w:div w:id="2101019077">
          <w:marLeft w:val="533"/>
          <w:marRight w:val="0"/>
          <w:marTop w:val="150"/>
          <w:marBottom w:val="0"/>
          <w:divBdr>
            <w:top w:val="none" w:sz="0" w:space="0" w:color="auto"/>
            <w:left w:val="none" w:sz="0" w:space="0" w:color="auto"/>
            <w:bottom w:val="none" w:sz="0" w:space="0" w:color="auto"/>
            <w:right w:val="none" w:sz="0" w:space="0" w:color="auto"/>
          </w:divBdr>
        </w:div>
      </w:divsChild>
    </w:div>
    <w:div w:id="1334526588">
      <w:bodyDiv w:val="1"/>
      <w:marLeft w:val="0"/>
      <w:marRight w:val="0"/>
      <w:marTop w:val="0"/>
      <w:marBottom w:val="0"/>
      <w:divBdr>
        <w:top w:val="none" w:sz="0" w:space="0" w:color="auto"/>
        <w:left w:val="none" w:sz="0" w:space="0" w:color="auto"/>
        <w:bottom w:val="none" w:sz="0" w:space="0" w:color="auto"/>
        <w:right w:val="none" w:sz="0" w:space="0" w:color="auto"/>
      </w:divBdr>
    </w:div>
    <w:div w:id="1334793721">
      <w:bodyDiv w:val="1"/>
      <w:marLeft w:val="0"/>
      <w:marRight w:val="0"/>
      <w:marTop w:val="0"/>
      <w:marBottom w:val="0"/>
      <w:divBdr>
        <w:top w:val="none" w:sz="0" w:space="0" w:color="auto"/>
        <w:left w:val="none" w:sz="0" w:space="0" w:color="auto"/>
        <w:bottom w:val="none" w:sz="0" w:space="0" w:color="auto"/>
        <w:right w:val="none" w:sz="0" w:space="0" w:color="auto"/>
      </w:divBdr>
    </w:div>
    <w:div w:id="1340890885">
      <w:bodyDiv w:val="1"/>
      <w:marLeft w:val="0"/>
      <w:marRight w:val="0"/>
      <w:marTop w:val="0"/>
      <w:marBottom w:val="0"/>
      <w:divBdr>
        <w:top w:val="none" w:sz="0" w:space="0" w:color="auto"/>
        <w:left w:val="none" w:sz="0" w:space="0" w:color="auto"/>
        <w:bottom w:val="none" w:sz="0" w:space="0" w:color="auto"/>
        <w:right w:val="none" w:sz="0" w:space="0" w:color="auto"/>
      </w:divBdr>
    </w:div>
    <w:div w:id="1350064348">
      <w:bodyDiv w:val="1"/>
      <w:marLeft w:val="0"/>
      <w:marRight w:val="0"/>
      <w:marTop w:val="0"/>
      <w:marBottom w:val="0"/>
      <w:divBdr>
        <w:top w:val="none" w:sz="0" w:space="0" w:color="auto"/>
        <w:left w:val="none" w:sz="0" w:space="0" w:color="auto"/>
        <w:bottom w:val="none" w:sz="0" w:space="0" w:color="auto"/>
        <w:right w:val="none" w:sz="0" w:space="0" w:color="auto"/>
      </w:divBdr>
      <w:divsChild>
        <w:div w:id="1823035310">
          <w:marLeft w:val="0"/>
          <w:marRight w:val="0"/>
          <w:marTop w:val="0"/>
          <w:marBottom w:val="0"/>
          <w:divBdr>
            <w:top w:val="none" w:sz="0" w:space="0" w:color="auto"/>
            <w:left w:val="none" w:sz="0" w:space="0" w:color="auto"/>
            <w:bottom w:val="none" w:sz="0" w:space="0" w:color="auto"/>
            <w:right w:val="none" w:sz="0" w:space="0" w:color="auto"/>
          </w:divBdr>
        </w:div>
        <w:div w:id="2079933729">
          <w:marLeft w:val="0"/>
          <w:marRight w:val="0"/>
          <w:marTop w:val="0"/>
          <w:marBottom w:val="0"/>
          <w:divBdr>
            <w:top w:val="none" w:sz="0" w:space="0" w:color="auto"/>
            <w:left w:val="none" w:sz="0" w:space="0" w:color="auto"/>
            <w:bottom w:val="none" w:sz="0" w:space="0" w:color="auto"/>
            <w:right w:val="none" w:sz="0" w:space="0" w:color="auto"/>
          </w:divBdr>
        </w:div>
        <w:div w:id="2116779589">
          <w:marLeft w:val="0"/>
          <w:marRight w:val="0"/>
          <w:marTop w:val="0"/>
          <w:marBottom w:val="0"/>
          <w:divBdr>
            <w:top w:val="none" w:sz="0" w:space="0" w:color="auto"/>
            <w:left w:val="none" w:sz="0" w:space="0" w:color="auto"/>
            <w:bottom w:val="none" w:sz="0" w:space="0" w:color="auto"/>
            <w:right w:val="none" w:sz="0" w:space="0" w:color="auto"/>
          </w:divBdr>
        </w:div>
      </w:divsChild>
    </w:div>
    <w:div w:id="1355033096">
      <w:bodyDiv w:val="1"/>
      <w:marLeft w:val="0"/>
      <w:marRight w:val="0"/>
      <w:marTop w:val="0"/>
      <w:marBottom w:val="0"/>
      <w:divBdr>
        <w:top w:val="none" w:sz="0" w:space="0" w:color="auto"/>
        <w:left w:val="none" w:sz="0" w:space="0" w:color="auto"/>
        <w:bottom w:val="none" w:sz="0" w:space="0" w:color="auto"/>
        <w:right w:val="none" w:sz="0" w:space="0" w:color="auto"/>
      </w:divBdr>
      <w:divsChild>
        <w:div w:id="407272921">
          <w:marLeft w:val="806"/>
          <w:marRight w:val="0"/>
          <w:marTop w:val="75"/>
          <w:marBottom w:val="0"/>
          <w:divBdr>
            <w:top w:val="none" w:sz="0" w:space="0" w:color="auto"/>
            <w:left w:val="none" w:sz="0" w:space="0" w:color="auto"/>
            <w:bottom w:val="none" w:sz="0" w:space="0" w:color="auto"/>
            <w:right w:val="none" w:sz="0" w:space="0" w:color="auto"/>
          </w:divBdr>
        </w:div>
        <w:div w:id="430854098">
          <w:marLeft w:val="806"/>
          <w:marRight w:val="0"/>
          <w:marTop w:val="75"/>
          <w:marBottom w:val="0"/>
          <w:divBdr>
            <w:top w:val="none" w:sz="0" w:space="0" w:color="auto"/>
            <w:left w:val="none" w:sz="0" w:space="0" w:color="auto"/>
            <w:bottom w:val="none" w:sz="0" w:space="0" w:color="auto"/>
            <w:right w:val="none" w:sz="0" w:space="0" w:color="auto"/>
          </w:divBdr>
        </w:div>
        <w:div w:id="686293136">
          <w:marLeft w:val="533"/>
          <w:marRight w:val="0"/>
          <w:marTop w:val="150"/>
          <w:marBottom w:val="0"/>
          <w:divBdr>
            <w:top w:val="none" w:sz="0" w:space="0" w:color="auto"/>
            <w:left w:val="none" w:sz="0" w:space="0" w:color="auto"/>
            <w:bottom w:val="none" w:sz="0" w:space="0" w:color="auto"/>
            <w:right w:val="none" w:sz="0" w:space="0" w:color="auto"/>
          </w:divBdr>
        </w:div>
        <w:div w:id="1196624714">
          <w:marLeft w:val="806"/>
          <w:marRight w:val="0"/>
          <w:marTop w:val="75"/>
          <w:marBottom w:val="0"/>
          <w:divBdr>
            <w:top w:val="none" w:sz="0" w:space="0" w:color="auto"/>
            <w:left w:val="none" w:sz="0" w:space="0" w:color="auto"/>
            <w:bottom w:val="none" w:sz="0" w:space="0" w:color="auto"/>
            <w:right w:val="none" w:sz="0" w:space="0" w:color="auto"/>
          </w:divBdr>
        </w:div>
        <w:div w:id="1304460843">
          <w:marLeft w:val="806"/>
          <w:marRight w:val="0"/>
          <w:marTop w:val="75"/>
          <w:marBottom w:val="0"/>
          <w:divBdr>
            <w:top w:val="none" w:sz="0" w:space="0" w:color="auto"/>
            <w:left w:val="none" w:sz="0" w:space="0" w:color="auto"/>
            <w:bottom w:val="none" w:sz="0" w:space="0" w:color="auto"/>
            <w:right w:val="none" w:sz="0" w:space="0" w:color="auto"/>
          </w:divBdr>
        </w:div>
        <w:div w:id="1306353724">
          <w:marLeft w:val="533"/>
          <w:marRight w:val="0"/>
          <w:marTop w:val="150"/>
          <w:marBottom w:val="0"/>
          <w:divBdr>
            <w:top w:val="none" w:sz="0" w:space="0" w:color="auto"/>
            <w:left w:val="none" w:sz="0" w:space="0" w:color="auto"/>
            <w:bottom w:val="none" w:sz="0" w:space="0" w:color="auto"/>
            <w:right w:val="none" w:sz="0" w:space="0" w:color="auto"/>
          </w:divBdr>
        </w:div>
        <w:div w:id="1544251994">
          <w:marLeft w:val="533"/>
          <w:marRight w:val="0"/>
          <w:marTop w:val="150"/>
          <w:marBottom w:val="0"/>
          <w:divBdr>
            <w:top w:val="none" w:sz="0" w:space="0" w:color="auto"/>
            <w:left w:val="none" w:sz="0" w:space="0" w:color="auto"/>
            <w:bottom w:val="none" w:sz="0" w:space="0" w:color="auto"/>
            <w:right w:val="none" w:sz="0" w:space="0" w:color="auto"/>
          </w:divBdr>
        </w:div>
        <w:div w:id="1726561231">
          <w:marLeft w:val="806"/>
          <w:marRight w:val="0"/>
          <w:marTop w:val="75"/>
          <w:marBottom w:val="0"/>
          <w:divBdr>
            <w:top w:val="none" w:sz="0" w:space="0" w:color="auto"/>
            <w:left w:val="none" w:sz="0" w:space="0" w:color="auto"/>
            <w:bottom w:val="none" w:sz="0" w:space="0" w:color="auto"/>
            <w:right w:val="none" w:sz="0" w:space="0" w:color="auto"/>
          </w:divBdr>
        </w:div>
        <w:div w:id="1741829851">
          <w:marLeft w:val="533"/>
          <w:marRight w:val="0"/>
          <w:marTop w:val="150"/>
          <w:marBottom w:val="0"/>
          <w:divBdr>
            <w:top w:val="none" w:sz="0" w:space="0" w:color="auto"/>
            <w:left w:val="none" w:sz="0" w:space="0" w:color="auto"/>
            <w:bottom w:val="none" w:sz="0" w:space="0" w:color="auto"/>
            <w:right w:val="none" w:sz="0" w:space="0" w:color="auto"/>
          </w:divBdr>
        </w:div>
        <w:div w:id="1982271685">
          <w:marLeft w:val="533"/>
          <w:marRight w:val="0"/>
          <w:marTop w:val="150"/>
          <w:marBottom w:val="0"/>
          <w:divBdr>
            <w:top w:val="none" w:sz="0" w:space="0" w:color="auto"/>
            <w:left w:val="none" w:sz="0" w:space="0" w:color="auto"/>
            <w:bottom w:val="none" w:sz="0" w:space="0" w:color="auto"/>
            <w:right w:val="none" w:sz="0" w:space="0" w:color="auto"/>
          </w:divBdr>
        </w:div>
        <w:div w:id="2060012182">
          <w:marLeft w:val="533"/>
          <w:marRight w:val="0"/>
          <w:marTop w:val="150"/>
          <w:marBottom w:val="0"/>
          <w:divBdr>
            <w:top w:val="none" w:sz="0" w:space="0" w:color="auto"/>
            <w:left w:val="none" w:sz="0" w:space="0" w:color="auto"/>
            <w:bottom w:val="none" w:sz="0" w:space="0" w:color="auto"/>
            <w:right w:val="none" w:sz="0" w:space="0" w:color="auto"/>
          </w:divBdr>
        </w:div>
      </w:divsChild>
    </w:div>
    <w:div w:id="1355421751">
      <w:bodyDiv w:val="1"/>
      <w:marLeft w:val="0"/>
      <w:marRight w:val="0"/>
      <w:marTop w:val="0"/>
      <w:marBottom w:val="0"/>
      <w:divBdr>
        <w:top w:val="none" w:sz="0" w:space="0" w:color="auto"/>
        <w:left w:val="none" w:sz="0" w:space="0" w:color="auto"/>
        <w:bottom w:val="none" w:sz="0" w:space="0" w:color="auto"/>
        <w:right w:val="none" w:sz="0" w:space="0" w:color="auto"/>
      </w:divBdr>
    </w:div>
    <w:div w:id="1361249353">
      <w:bodyDiv w:val="1"/>
      <w:marLeft w:val="0"/>
      <w:marRight w:val="0"/>
      <w:marTop w:val="0"/>
      <w:marBottom w:val="0"/>
      <w:divBdr>
        <w:top w:val="none" w:sz="0" w:space="0" w:color="auto"/>
        <w:left w:val="none" w:sz="0" w:space="0" w:color="auto"/>
        <w:bottom w:val="none" w:sz="0" w:space="0" w:color="auto"/>
        <w:right w:val="none" w:sz="0" w:space="0" w:color="auto"/>
      </w:divBdr>
    </w:div>
    <w:div w:id="1388647298">
      <w:bodyDiv w:val="1"/>
      <w:marLeft w:val="0"/>
      <w:marRight w:val="0"/>
      <w:marTop w:val="0"/>
      <w:marBottom w:val="0"/>
      <w:divBdr>
        <w:top w:val="none" w:sz="0" w:space="0" w:color="auto"/>
        <w:left w:val="none" w:sz="0" w:space="0" w:color="auto"/>
        <w:bottom w:val="none" w:sz="0" w:space="0" w:color="auto"/>
        <w:right w:val="none" w:sz="0" w:space="0" w:color="auto"/>
      </w:divBdr>
    </w:div>
    <w:div w:id="1390229272">
      <w:bodyDiv w:val="1"/>
      <w:marLeft w:val="0"/>
      <w:marRight w:val="0"/>
      <w:marTop w:val="0"/>
      <w:marBottom w:val="0"/>
      <w:divBdr>
        <w:top w:val="none" w:sz="0" w:space="0" w:color="auto"/>
        <w:left w:val="none" w:sz="0" w:space="0" w:color="auto"/>
        <w:bottom w:val="none" w:sz="0" w:space="0" w:color="auto"/>
        <w:right w:val="none" w:sz="0" w:space="0" w:color="auto"/>
      </w:divBdr>
      <w:divsChild>
        <w:div w:id="49234884">
          <w:marLeft w:val="0"/>
          <w:marRight w:val="0"/>
          <w:marTop w:val="0"/>
          <w:marBottom w:val="0"/>
          <w:divBdr>
            <w:top w:val="none" w:sz="0" w:space="0" w:color="auto"/>
            <w:left w:val="none" w:sz="0" w:space="0" w:color="auto"/>
            <w:bottom w:val="none" w:sz="0" w:space="0" w:color="auto"/>
            <w:right w:val="none" w:sz="0" w:space="0" w:color="auto"/>
          </w:divBdr>
          <w:divsChild>
            <w:div w:id="2095130453">
              <w:marLeft w:val="0"/>
              <w:marRight w:val="0"/>
              <w:marTop w:val="0"/>
              <w:marBottom w:val="0"/>
              <w:divBdr>
                <w:top w:val="none" w:sz="0" w:space="0" w:color="auto"/>
                <w:left w:val="none" w:sz="0" w:space="0" w:color="auto"/>
                <w:bottom w:val="none" w:sz="0" w:space="0" w:color="auto"/>
                <w:right w:val="none" w:sz="0" w:space="0" w:color="auto"/>
              </w:divBdr>
              <w:divsChild>
                <w:div w:id="808859268">
                  <w:marLeft w:val="0"/>
                  <w:marRight w:val="0"/>
                  <w:marTop w:val="0"/>
                  <w:marBottom w:val="0"/>
                  <w:divBdr>
                    <w:top w:val="none" w:sz="0" w:space="0" w:color="auto"/>
                    <w:left w:val="none" w:sz="0" w:space="0" w:color="auto"/>
                    <w:bottom w:val="none" w:sz="0" w:space="0" w:color="auto"/>
                    <w:right w:val="none" w:sz="0" w:space="0" w:color="auto"/>
                  </w:divBdr>
                  <w:divsChild>
                    <w:div w:id="2390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65349">
      <w:bodyDiv w:val="1"/>
      <w:marLeft w:val="0"/>
      <w:marRight w:val="0"/>
      <w:marTop w:val="0"/>
      <w:marBottom w:val="0"/>
      <w:divBdr>
        <w:top w:val="none" w:sz="0" w:space="0" w:color="auto"/>
        <w:left w:val="none" w:sz="0" w:space="0" w:color="auto"/>
        <w:bottom w:val="none" w:sz="0" w:space="0" w:color="auto"/>
        <w:right w:val="none" w:sz="0" w:space="0" w:color="auto"/>
      </w:divBdr>
    </w:div>
    <w:div w:id="1398429746">
      <w:bodyDiv w:val="1"/>
      <w:marLeft w:val="0"/>
      <w:marRight w:val="0"/>
      <w:marTop w:val="0"/>
      <w:marBottom w:val="0"/>
      <w:divBdr>
        <w:top w:val="none" w:sz="0" w:space="0" w:color="auto"/>
        <w:left w:val="none" w:sz="0" w:space="0" w:color="auto"/>
        <w:bottom w:val="none" w:sz="0" w:space="0" w:color="auto"/>
        <w:right w:val="none" w:sz="0" w:space="0" w:color="auto"/>
      </w:divBdr>
    </w:div>
    <w:div w:id="1407217222">
      <w:bodyDiv w:val="1"/>
      <w:marLeft w:val="0"/>
      <w:marRight w:val="0"/>
      <w:marTop w:val="0"/>
      <w:marBottom w:val="0"/>
      <w:divBdr>
        <w:top w:val="none" w:sz="0" w:space="0" w:color="auto"/>
        <w:left w:val="none" w:sz="0" w:space="0" w:color="auto"/>
        <w:bottom w:val="none" w:sz="0" w:space="0" w:color="auto"/>
        <w:right w:val="none" w:sz="0" w:space="0" w:color="auto"/>
      </w:divBdr>
    </w:div>
    <w:div w:id="1408575783">
      <w:bodyDiv w:val="1"/>
      <w:marLeft w:val="0"/>
      <w:marRight w:val="0"/>
      <w:marTop w:val="0"/>
      <w:marBottom w:val="0"/>
      <w:divBdr>
        <w:top w:val="none" w:sz="0" w:space="0" w:color="auto"/>
        <w:left w:val="none" w:sz="0" w:space="0" w:color="auto"/>
        <w:bottom w:val="none" w:sz="0" w:space="0" w:color="auto"/>
        <w:right w:val="none" w:sz="0" w:space="0" w:color="auto"/>
      </w:divBdr>
    </w:div>
    <w:div w:id="1415474564">
      <w:bodyDiv w:val="1"/>
      <w:marLeft w:val="0"/>
      <w:marRight w:val="0"/>
      <w:marTop w:val="0"/>
      <w:marBottom w:val="0"/>
      <w:divBdr>
        <w:top w:val="none" w:sz="0" w:space="0" w:color="auto"/>
        <w:left w:val="none" w:sz="0" w:space="0" w:color="auto"/>
        <w:bottom w:val="none" w:sz="0" w:space="0" w:color="auto"/>
        <w:right w:val="none" w:sz="0" w:space="0" w:color="auto"/>
      </w:divBdr>
    </w:div>
    <w:div w:id="1420633883">
      <w:bodyDiv w:val="1"/>
      <w:marLeft w:val="0"/>
      <w:marRight w:val="0"/>
      <w:marTop w:val="0"/>
      <w:marBottom w:val="0"/>
      <w:divBdr>
        <w:top w:val="none" w:sz="0" w:space="0" w:color="auto"/>
        <w:left w:val="none" w:sz="0" w:space="0" w:color="auto"/>
        <w:bottom w:val="none" w:sz="0" w:space="0" w:color="auto"/>
        <w:right w:val="none" w:sz="0" w:space="0" w:color="auto"/>
      </w:divBdr>
    </w:div>
    <w:div w:id="1431075994">
      <w:bodyDiv w:val="1"/>
      <w:marLeft w:val="0"/>
      <w:marRight w:val="0"/>
      <w:marTop w:val="0"/>
      <w:marBottom w:val="0"/>
      <w:divBdr>
        <w:top w:val="none" w:sz="0" w:space="0" w:color="auto"/>
        <w:left w:val="none" w:sz="0" w:space="0" w:color="auto"/>
        <w:bottom w:val="none" w:sz="0" w:space="0" w:color="auto"/>
        <w:right w:val="none" w:sz="0" w:space="0" w:color="auto"/>
      </w:divBdr>
    </w:div>
    <w:div w:id="1443577068">
      <w:bodyDiv w:val="1"/>
      <w:marLeft w:val="0"/>
      <w:marRight w:val="0"/>
      <w:marTop w:val="0"/>
      <w:marBottom w:val="0"/>
      <w:divBdr>
        <w:top w:val="none" w:sz="0" w:space="0" w:color="auto"/>
        <w:left w:val="none" w:sz="0" w:space="0" w:color="auto"/>
        <w:bottom w:val="none" w:sz="0" w:space="0" w:color="auto"/>
        <w:right w:val="none" w:sz="0" w:space="0" w:color="auto"/>
      </w:divBdr>
    </w:div>
    <w:div w:id="1447432411">
      <w:bodyDiv w:val="1"/>
      <w:marLeft w:val="0"/>
      <w:marRight w:val="0"/>
      <w:marTop w:val="0"/>
      <w:marBottom w:val="0"/>
      <w:divBdr>
        <w:top w:val="none" w:sz="0" w:space="0" w:color="auto"/>
        <w:left w:val="none" w:sz="0" w:space="0" w:color="auto"/>
        <w:bottom w:val="none" w:sz="0" w:space="0" w:color="auto"/>
        <w:right w:val="none" w:sz="0" w:space="0" w:color="auto"/>
      </w:divBdr>
    </w:div>
    <w:div w:id="1454637063">
      <w:bodyDiv w:val="1"/>
      <w:marLeft w:val="0"/>
      <w:marRight w:val="0"/>
      <w:marTop w:val="0"/>
      <w:marBottom w:val="0"/>
      <w:divBdr>
        <w:top w:val="none" w:sz="0" w:space="0" w:color="auto"/>
        <w:left w:val="none" w:sz="0" w:space="0" w:color="auto"/>
        <w:bottom w:val="none" w:sz="0" w:space="0" w:color="auto"/>
        <w:right w:val="none" w:sz="0" w:space="0" w:color="auto"/>
      </w:divBdr>
    </w:div>
    <w:div w:id="1457138359">
      <w:bodyDiv w:val="1"/>
      <w:marLeft w:val="0"/>
      <w:marRight w:val="0"/>
      <w:marTop w:val="0"/>
      <w:marBottom w:val="0"/>
      <w:divBdr>
        <w:top w:val="none" w:sz="0" w:space="0" w:color="auto"/>
        <w:left w:val="none" w:sz="0" w:space="0" w:color="auto"/>
        <w:bottom w:val="none" w:sz="0" w:space="0" w:color="auto"/>
        <w:right w:val="none" w:sz="0" w:space="0" w:color="auto"/>
      </w:divBdr>
      <w:divsChild>
        <w:div w:id="1604612516">
          <w:marLeft w:val="0"/>
          <w:marRight w:val="0"/>
          <w:marTop w:val="0"/>
          <w:marBottom w:val="0"/>
          <w:divBdr>
            <w:top w:val="none" w:sz="0" w:space="0" w:color="auto"/>
            <w:left w:val="none" w:sz="0" w:space="0" w:color="auto"/>
            <w:bottom w:val="none" w:sz="0" w:space="0" w:color="auto"/>
            <w:right w:val="none" w:sz="0" w:space="0" w:color="auto"/>
          </w:divBdr>
          <w:divsChild>
            <w:div w:id="924265251">
              <w:marLeft w:val="0"/>
              <w:marRight w:val="0"/>
              <w:marTop w:val="0"/>
              <w:marBottom w:val="0"/>
              <w:divBdr>
                <w:top w:val="none" w:sz="0" w:space="0" w:color="auto"/>
                <w:left w:val="none" w:sz="0" w:space="0" w:color="auto"/>
                <w:bottom w:val="none" w:sz="0" w:space="0" w:color="auto"/>
                <w:right w:val="none" w:sz="0" w:space="0" w:color="auto"/>
              </w:divBdr>
              <w:divsChild>
                <w:div w:id="15281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3943">
      <w:bodyDiv w:val="1"/>
      <w:marLeft w:val="0"/>
      <w:marRight w:val="0"/>
      <w:marTop w:val="0"/>
      <w:marBottom w:val="0"/>
      <w:divBdr>
        <w:top w:val="none" w:sz="0" w:space="0" w:color="auto"/>
        <w:left w:val="none" w:sz="0" w:space="0" w:color="auto"/>
        <w:bottom w:val="none" w:sz="0" w:space="0" w:color="auto"/>
        <w:right w:val="none" w:sz="0" w:space="0" w:color="auto"/>
      </w:divBdr>
      <w:divsChild>
        <w:div w:id="1006206800">
          <w:marLeft w:val="1354"/>
          <w:marRight w:val="0"/>
          <w:marTop w:val="75"/>
          <w:marBottom w:val="60"/>
          <w:divBdr>
            <w:top w:val="none" w:sz="0" w:space="0" w:color="auto"/>
            <w:left w:val="none" w:sz="0" w:space="0" w:color="auto"/>
            <w:bottom w:val="none" w:sz="0" w:space="0" w:color="auto"/>
            <w:right w:val="none" w:sz="0" w:space="0" w:color="auto"/>
          </w:divBdr>
        </w:div>
      </w:divsChild>
    </w:div>
    <w:div w:id="1464881364">
      <w:bodyDiv w:val="1"/>
      <w:marLeft w:val="0"/>
      <w:marRight w:val="0"/>
      <w:marTop w:val="0"/>
      <w:marBottom w:val="0"/>
      <w:divBdr>
        <w:top w:val="none" w:sz="0" w:space="0" w:color="auto"/>
        <w:left w:val="none" w:sz="0" w:space="0" w:color="auto"/>
        <w:bottom w:val="none" w:sz="0" w:space="0" w:color="auto"/>
        <w:right w:val="none" w:sz="0" w:space="0" w:color="auto"/>
      </w:divBdr>
      <w:divsChild>
        <w:div w:id="1899972849">
          <w:marLeft w:val="0"/>
          <w:marRight w:val="0"/>
          <w:marTop w:val="0"/>
          <w:marBottom w:val="0"/>
          <w:divBdr>
            <w:top w:val="none" w:sz="0" w:space="0" w:color="auto"/>
            <w:left w:val="none" w:sz="0" w:space="0" w:color="auto"/>
            <w:bottom w:val="none" w:sz="0" w:space="0" w:color="auto"/>
            <w:right w:val="none" w:sz="0" w:space="0" w:color="auto"/>
          </w:divBdr>
          <w:divsChild>
            <w:div w:id="1697340685">
              <w:marLeft w:val="0"/>
              <w:marRight w:val="0"/>
              <w:marTop w:val="0"/>
              <w:marBottom w:val="0"/>
              <w:divBdr>
                <w:top w:val="none" w:sz="0" w:space="0" w:color="auto"/>
                <w:left w:val="none" w:sz="0" w:space="0" w:color="auto"/>
                <w:bottom w:val="none" w:sz="0" w:space="0" w:color="auto"/>
                <w:right w:val="none" w:sz="0" w:space="0" w:color="auto"/>
              </w:divBdr>
              <w:divsChild>
                <w:div w:id="16497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24789">
      <w:bodyDiv w:val="1"/>
      <w:marLeft w:val="0"/>
      <w:marRight w:val="0"/>
      <w:marTop w:val="0"/>
      <w:marBottom w:val="0"/>
      <w:divBdr>
        <w:top w:val="none" w:sz="0" w:space="0" w:color="auto"/>
        <w:left w:val="none" w:sz="0" w:space="0" w:color="auto"/>
        <w:bottom w:val="none" w:sz="0" w:space="0" w:color="auto"/>
        <w:right w:val="none" w:sz="0" w:space="0" w:color="auto"/>
      </w:divBdr>
    </w:div>
    <w:div w:id="1469132217">
      <w:bodyDiv w:val="1"/>
      <w:marLeft w:val="0"/>
      <w:marRight w:val="0"/>
      <w:marTop w:val="0"/>
      <w:marBottom w:val="0"/>
      <w:divBdr>
        <w:top w:val="none" w:sz="0" w:space="0" w:color="auto"/>
        <w:left w:val="none" w:sz="0" w:space="0" w:color="auto"/>
        <w:bottom w:val="none" w:sz="0" w:space="0" w:color="auto"/>
        <w:right w:val="none" w:sz="0" w:space="0" w:color="auto"/>
      </w:divBdr>
    </w:div>
    <w:div w:id="1469317933">
      <w:bodyDiv w:val="1"/>
      <w:marLeft w:val="0"/>
      <w:marRight w:val="0"/>
      <w:marTop w:val="0"/>
      <w:marBottom w:val="0"/>
      <w:divBdr>
        <w:top w:val="none" w:sz="0" w:space="0" w:color="auto"/>
        <w:left w:val="none" w:sz="0" w:space="0" w:color="auto"/>
        <w:bottom w:val="none" w:sz="0" w:space="0" w:color="auto"/>
        <w:right w:val="none" w:sz="0" w:space="0" w:color="auto"/>
      </w:divBdr>
    </w:div>
    <w:div w:id="1482963532">
      <w:bodyDiv w:val="1"/>
      <w:marLeft w:val="0"/>
      <w:marRight w:val="0"/>
      <w:marTop w:val="0"/>
      <w:marBottom w:val="0"/>
      <w:divBdr>
        <w:top w:val="none" w:sz="0" w:space="0" w:color="auto"/>
        <w:left w:val="none" w:sz="0" w:space="0" w:color="auto"/>
        <w:bottom w:val="none" w:sz="0" w:space="0" w:color="auto"/>
        <w:right w:val="none" w:sz="0" w:space="0" w:color="auto"/>
      </w:divBdr>
    </w:div>
    <w:div w:id="1485463217">
      <w:bodyDiv w:val="1"/>
      <w:marLeft w:val="0"/>
      <w:marRight w:val="0"/>
      <w:marTop w:val="0"/>
      <w:marBottom w:val="0"/>
      <w:divBdr>
        <w:top w:val="none" w:sz="0" w:space="0" w:color="auto"/>
        <w:left w:val="none" w:sz="0" w:space="0" w:color="auto"/>
        <w:bottom w:val="none" w:sz="0" w:space="0" w:color="auto"/>
        <w:right w:val="none" w:sz="0" w:space="0" w:color="auto"/>
      </w:divBdr>
    </w:div>
    <w:div w:id="1492326756">
      <w:bodyDiv w:val="1"/>
      <w:marLeft w:val="0"/>
      <w:marRight w:val="0"/>
      <w:marTop w:val="0"/>
      <w:marBottom w:val="0"/>
      <w:divBdr>
        <w:top w:val="none" w:sz="0" w:space="0" w:color="auto"/>
        <w:left w:val="none" w:sz="0" w:space="0" w:color="auto"/>
        <w:bottom w:val="none" w:sz="0" w:space="0" w:color="auto"/>
        <w:right w:val="none" w:sz="0" w:space="0" w:color="auto"/>
      </w:divBdr>
    </w:div>
    <w:div w:id="1512792744">
      <w:bodyDiv w:val="1"/>
      <w:marLeft w:val="0"/>
      <w:marRight w:val="0"/>
      <w:marTop w:val="0"/>
      <w:marBottom w:val="0"/>
      <w:divBdr>
        <w:top w:val="none" w:sz="0" w:space="0" w:color="auto"/>
        <w:left w:val="none" w:sz="0" w:space="0" w:color="auto"/>
        <w:bottom w:val="none" w:sz="0" w:space="0" w:color="auto"/>
        <w:right w:val="none" w:sz="0" w:space="0" w:color="auto"/>
      </w:divBdr>
    </w:div>
    <w:div w:id="1518083249">
      <w:bodyDiv w:val="1"/>
      <w:marLeft w:val="0"/>
      <w:marRight w:val="0"/>
      <w:marTop w:val="0"/>
      <w:marBottom w:val="0"/>
      <w:divBdr>
        <w:top w:val="none" w:sz="0" w:space="0" w:color="auto"/>
        <w:left w:val="none" w:sz="0" w:space="0" w:color="auto"/>
        <w:bottom w:val="none" w:sz="0" w:space="0" w:color="auto"/>
        <w:right w:val="none" w:sz="0" w:space="0" w:color="auto"/>
      </w:divBdr>
    </w:div>
    <w:div w:id="1519269039">
      <w:bodyDiv w:val="1"/>
      <w:marLeft w:val="0"/>
      <w:marRight w:val="0"/>
      <w:marTop w:val="0"/>
      <w:marBottom w:val="0"/>
      <w:divBdr>
        <w:top w:val="none" w:sz="0" w:space="0" w:color="auto"/>
        <w:left w:val="none" w:sz="0" w:space="0" w:color="auto"/>
        <w:bottom w:val="none" w:sz="0" w:space="0" w:color="auto"/>
        <w:right w:val="none" w:sz="0" w:space="0" w:color="auto"/>
      </w:divBdr>
    </w:div>
    <w:div w:id="1521236245">
      <w:bodyDiv w:val="1"/>
      <w:marLeft w:val="0"/>
      <w:marRight w:val="0"/>
      <w:marTop w:val="0"/>
      <w:marBottom w:val="0"/>
      <w:divBdr>
        <w:top w:val="none" w:sz="0" w:space="0" w:color="auto"/>
        <w:left w:val="none" w:sz="0" w:space="0" w:color="auto"/>
        <w:bottom w:val="none" w:sz="0" w:space="0" w:color="auto"/>
        <w:right w:val="none" w:sz="0" w:space="0" w:color="auto"/>
      </w:divBdr>
    </w:div>
    <w:div w:id="1522739586">
      <w:bodyDiv w:val="1"/>
      <w:marLeft w:val="0"/>
      <w:marRight w:val="0"/>
      <w:marTop w:val="0"/>
      <w:marBottom w:val="0"/>
      <w:divBdr>
        <w:top w:val="none" w:sz="0" w:space="0" w:color="auto"/>
        <w:left w:val="none" w:sz="0" w:space="0" w:color="auto"/>
        <w:bottom w:val="none" w:sz="0" w:space="0" w:color="auto"/>
        <w:right w:val="none" w:sz="0" w:space="0" w:color="auto"/>
      </w:divBdr>
    </w:div>
    <w:div w:id="1528758481">
      <w:bodyDiv w:val="1"/>
      <w:marLeft w:val="0"/>
      <w:marRight w:val="0"/>
      <w:marTop w:val="0"/>
      <w:marBottom w:val="0"/>
      <w:divBdr>
        <w:top w:val="none" w:sz="0" w:space="0" w:color="auto"/>
        <w:left w:val="none" w:sz="0" w:space="0" w:color="auto"/>
        <w:bottom w:val="none" w:sz="0" w:space="0" w:color="auto"/>
        <w:right w:val="none" w:sz="0" w:space="0" w:color="auto"/>
      </w:divBdr>
    </w:div>
    <w:div w:id="1536652423">
      <w:bodyDiv w:val="1"/>
      <w:marLeft w:val="0"/>
      <w:marRight w:val="0"/>
      <w:marTop w:val="0"/>
      <w:marBottom w:val="0"/>
      <w:divBdr>
        <w:top w:val="none" w:sz="0" w:space="0" w:color="auto"/>
        <w:left w:val="none" w:sz="0" w:space="0" w:color="auto"/>
        <w:bottom w:val="none" w:sz="0" w:space="0" w:color="auto"/>
        <w:right w:val="none" w:sz="0" w:space="0" w:color="auto"/>
      </w:divBdr>
    </w:div>
    <w:div w:id="1565487415">
      <w:bodyDiv w:val="1"/>
      <w:marLeft w:val="0"/>
      <w:marRight w:val="0"/>
      <w:marTop w:val="0"/>
      <w:marBottom w:val="0"/>
      <w:divBdr>
        <w:top w:val="none" w:sz="0" w:space="0" w:color="auto"/>
        <w:left w:val="none" w:sz="0" w:space="0" w:color="auto"/>
        <w:bottom w:val="none" w:sz="0" w:space="0" w:color="auto"/>
        <w:right w:val="none" w:sz="0" w:space="0" w:color="auto"/>
      </w:divBdr>
      <w:divsChild>
        <w:div w:id="783618811">
          <w:marLeft w:val="0"/>
          <w:marRight w:val="0"/>
          <w:marTop w:val="0"/>
          <w:marBottom w:val="0"/>
          <w:divBdr>
            <w:top w:val="none" w:sz="0" w:space="0" w:color="auto"/>
            <w:left w:val="none" w:sz="0" w:space="0" w:color="auto"/>
            <w:bottom w:val="none" w:sz="0" w:space="0" w:color="auto"/>
            <w:right w:val="none" w:sz="0" w:space="0" w:color="auto"/>
          </w:divBdr>
        </w:div>
        <w:div w:id="1100488021">
          <w:marLeft w:val="0"/>
          <w:marRight w:val="0"/>
          <w:marTop w:val="0"/>
          <w:marBottom w:val="0"/>
          <w:divBdr>
            <w:top w:val="none" w:sz="0" w:space="0" w:color="auto"/>
            <w:left w:val="none" w:sz="0" w:space="0" w:color="auto"/>
            <w:bottom w:val="none" w:sz="0" w:space="0" w:color="auto"/>
            <w:right w:val="none" w:sz="0" w:space="0" w:color="auto"/>
          </w:divBdr>
        </w:div>
        <w:div w:id="1190875691">
          <w:marLeft w:val="0"/>
          <w:marRight w:val="0"/>
          <w:marTop w:val="0"/>
          <w:marBottom w:val="0"/>
          <w:divBdr>
            <w:top w:val="none" w:sz="0" w:space="0" w:color="auto"/>
            <w:left w:val="none" w:sz="0" w:space="0" w:color="auto"/>
            <w:bottom w:val="none" w:sz="0" w:space="0" w:color="auto"/>
            <w:right w:val="none" w:sz="0" w:space="0" w:color="auto"/>
          </w:divBdr>
        </w:div>
      </w:divsChild>
    </w:div>
    <w:div w:id="1577588069">
      <w:bodyDiv w:val="1"/>
      <w:marLeft w:val="0"/>
      <w:marRight w:val="0"/>
      <w:marTop w:val="0"/>
      <w:marBottom w:val="0"/>
      <w:divBdr>
        <w:top w:val="none" w:sz="0" w:space="0" w:color="auto"/>
        <w:left w:val="none" w:sz="0" w:space="0" w:color="auto"/>
        <w:bottom w:val="none" w:sz="0" w:space="0" w:color="auto"/>
        <w:right w:val="none" w:sz="0" w:space="0" w:color="auto"/>
      </w:divBdr>
      <w:divsChild>
        <w:div w:id="398793818">
          <w:marLeft w:val="806"/>
          <w:marRight w:val="0"/>
          <w:marTop w:val="75"/>
          <w:marBottom w:val="0"/>
          <w:divBdr>
            <w:top w:val="none" w:sz="0" w:space="0" w:color="auto"/>
            <w:left w:val="none" w:sz="0" w:space="0" w:color="auto"/>
            <w:bottom w:val="none" w:sz="0" w:space="0" w:color="auto"/>
            <w:right w:val="none" w:sz="0" w:space="0" w:color="auto"/>
          </w:divBdr>
        </w:div>
        <w:div w:id="573123420">
          <w:marLeft w:val="274"/>
          <w:marRight w:val="0"/>
          <w:marTop w:val="75"/>
          <w:marBottom w:val="0"/>
          <w:divBdr>
            <w:top w:val="none" w:sz="0" w:space="0" w:color="auto"/>
            <w:left w:val="none" w:sz="0" w:space="0" w:color="auto"/>
            <w:bottom w:val="none" w:sz="0" w:space="0" w:color="auto"/>
            <w:right w:val="none" w:sz="0" w:space="0" w:color="auto"/>
          </w:divBdr>
        </w:div>
        <w:div w:id="1528643304">
          <w:marLeft w:val="274"/>
          <w:marRight w:val="0"/>
          <w:marTop w:val="75"/>
          <w:marBottom w:val="0"/>
          <w:divBdr>
            <w:top w:val="none" w:sz="0" w:space="0" w:color="auto"/>
            <w:left w:val="none" w:sz="0" w:space="0" w:color="auto"/>
            <w:bottom w:val="none" w:sz="0" w:space="0" w:color="auto"/>
            <w:right w:val="none" w:sz="0" w:space="0" w:color="auto"/>
          </w:divBdr>
        </w:div>
        <w:div w:id="1866946773">
          <w:marLeft w:val="274"/>
          <w:marRight w:val="0"/>
          <w:marTop w:val="75"/>
          <w:marBottom w:val="0"/>
          <w:divBdr>
            <w:top w:val="none" w:sz="0" w:space="0" w:color="auto"/>
            <w:left w:val="none" w:sz="0" w:space="0" w:color="auto"/>
            <w:bottom w:val="none" w:sz="0" w:space="0" w:color="auto"/>
            <w:right w:val="none" w:sz="0" w:space="0" w:color="auto"/>
          </w:divBdr>
        </w:div>
      </w:divsChild>
    </w:div>
    <w:div w:id="1580023718">
      <w:bodyDiv w:val="1"/>
      <w:marLeft w:val="0"/>
      <w:marRight w:val="0"/>
      <w:marTop w:val="0"/>
      <w:marBottom w:val="0"/>
      <w:divBdr>
        <w:top w:val="none" w:sz="0" w:space="0" w:color="auto"/>
        <w:left w:val="none" w:sz="0" w:space="0" w:color="auto"/>
        <w:bottom w:val="none" w:sz="0" w:space="0" w:color="auto"/>
        <w:right w:val="none" w:sz="0" w:space="0" w:color="auto"/>
      </w:divBdr>
      <w:divsChild>
        <w:div w:id="1462725809">
          <w:marLeft w:val="274"/>
          <w:marRight w:val="0"/>
          <w:marTop w:val="75"/>
          <w:marBottom w:val="0"/>
          <w:divBdr>
            <w:top w:val="none" w:sz="0" w:space="0" w:color="auto"/>
            <w:left w:val="none" w:sz="0" w:space="0" w:color="auto"/>
            <w:bottom w:val="none" w:sz="0" w:space="0" w:color="auto"/>
            <w:right w:val="none" w:sz="0" w:space="0" w:color="auto"/>
          </w:divBdr>
        </w:div>
        <w:div w:id="1555193509">
          <w:marLeft w:val="274"/>
          <w:marRight w:val="0"/>
          <w:marTop w:val="75"/>
          <w:marBottom w:val="0"/>
          <w:divBdr>
            <w:top w:val="none" w:sz="0" w:space="0" w:color="auto"/>
            <w:left w:val="none" w:sz="0" w:space="0" w:color="auto"/>
            <w:bottom w:val="none" w:sz="0" w:space="0" w:color="auto"/>
            <w:right w:val="none" w:sz="0" w:space="0" w:color="auto"/>
          </w:divBdr>
        </w:div>
        <w:div w:id="1593276278">
          <w:marLeft w:val="274"/>
          <w:marRight w:val="0"/>
          <w:marTop w:val="75"/>
          <w:marBottom w:val="0"/>
          <w:divBdr>
            <w:top w:val="none" w:sz="0" w:space="0" w:color="auto"/>
            <w:left w:val="none" w:sz="0" w:space="0" w:color="auto"/>
            <w:bottom w:val="none" w:sz="0" w:space="0" w:color="auto"/>
            <w:right w:val="none" w:sz="0" w:space="0" w:color="auto"/>
          </w:divBdr>
        </w:div>
      </w:divsChild>
    </w:div>
    <w:div w:id="1581015018">
      <w:bodyDiv w:val="1"/>
      <w:marLeft w:val="0"/>
      <w:marRight w:val="0"/>
      <w:marTop w:val="0"/>
      <w:marBottom w:val="0"/>
      <w:divBdr>
        <w:top w:val="none" w:sz="0" w:space="0" w:color="auto"/>
        <w:left w:val="none" w:sz="0" w:space="0" w:color="auto"/>
        <w:bottom w:val="none" w:sz="0" w:space="0" w:color="auto"/>
        <w:right w:val="none" w:sz="0" w:space="0" w:color="auto"/>
      </w:divBdr>
    </w:div>
    <w:div w:id="1585265087">
      <w:bodyDiv w:val="1"/>
      <w:marLeft w:val="0"/>
      <w:marRight w:val="0"/>
      <w:marTop w:val="0"/>
      <w:marBottom w:val="0"/>
      <w:divBdr>
        <w:top w:val="none" w:sz="0" w:space="0" w:color="auto"/>
        <w:left w:val="none" w:sz="0" w:space="0" w:color="auto"/>
        <w:bottom w:val="none" w:sz="0" w:space="0" w:color="auto"/>
        <w:right w:val="none" w:sz="0" w:space="0" w:color="auto"/>
      </w:divBdr>
    </w:div>
    <w:div w:id="1586501336">
      <w:bodyDiv w:val="1"/>
      <w:marLeft w:val="0"/>
      <w:marRight w:val="0"/>
      <w:marTop w:val="0"/>
      <w:marBottom w:val="0"/>
      <w:divBdr>
        <w:top w:val="none" w:sz="0" w:space="0" w:color="auto"/>
        <w:left w:val="none" w:sz="0" w:space="0" w:color="auto"/>
        <w:bottom w:val="none" w:sz="0" w:space="0" w:color="auto"/>
        <w:right w:val="none" w:sz="0" w:space="0" w:color="auto"/>
      </w:divBdr>
    </w:div>
    <w:div w:id="1586692909">
      <w:bodyDiv w:val="1"/>
      <w:marLeft w:val="0"/>
      <w:marRight w:val="0"/>
      <w:marTop w:val="0"/>
      <w:marBottom w:val="0"/>
      <w:divBdr>
        <w:top w:val="none" w:sz="0" w:space="0" w:color="auto"/>
        <w:left w:val="none" w:sz="0" w:space="0" w:color="auto"/>
        <w:bottom w:val="none" w:sz="0" w:space="0" w:color="auto"/>
        <w:right w:val="none" w:sz="0" w:space="0" w:color="auto"/>
      </w:divBdr>
      <w:divsChild>
        <w:div w:id="1938364737">
          <w:marLeft w:val="0"/>
          <w:marRight w:val="0"/>
          <w:marTop w:val="0"/>
          <w:marBottom w:val="0"/>
          <w:divBdr>
            <w:top w:val="none" w:sz="0" w:space="0" w:color="auto"/>
            <w:left w:val="none" w:sz="0" w:space="0" w:color="auto"/>
            <w:bottom w:val="none" w:sz="0" w:space="0" w:color="auto"/>
            <w:right w:val="none" w:sz="0" w:space="0" w:color="auto"/>
          </w:divBdr>
          <w:divsChild>
            <w:div w:id="204028852">
              <w:marLeft w:val="0"/>
              <w:marRight w:val="0"/>
              <w:marTop w:val="0"/>
              <w:marBottom w:val="0"/>
              <w:divBdr>
                <w:top w:val="none" w:sz="0" w:space="0" w:color="auto"/>
                <w:left w:val="none" w:sz="0" w:space="0" w:color="auto"/>
                <w:bottom w:val="none" w:sz="0" w:space="0" w:color="auto"/>
                <w:right w:val="none" w:sz="0" w:space="0" w:color="auto"/>
              </w:divBdr>
              <w:divsChild>
                <w:div w:id="8402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41905">
      <w:bodyDiv w:val="1"/>
      <w:marLeft w:val="0"/>
      <w:marRight w:val="0"/>
      <w:marTop w:val="0"/>
      <w:marBottom w:val="0"/>
      <w:divBdr>
        <w:top w:val="none" w:sz="0" w:space="0" w:color="auto"/>
        <w:left w:val="none" w:sz="0" w:space="0" w:color="auto"/>
        <w:bottom w:val="none" w:sz="0" w:space="0" w:color="auto"/>
        <w:right w:val="none" w:sz="0" w:space="0" w:color="auto"/>
      </w:divBdr>
      <w:divsChild>
        <w:div w:id="1786121179">
          <w:marLeft w:val="0"/>
          <w:marRight w:val="0"/>
          <w:marTop w:val="0"/>
          <w:marBottom w:val="0"/>
          <w:divBdr>
            <w:top w:val="none" w:sz="0" w:space="0" w:color="auto"/>
            <w:left w:val="none" w:sz="0" w:space="0" w:color="auto"/>
            <w:bottom w:val="none" w:sz="0" w:space="0" w:color="auto"/>
            <w:right w:val="none" w:sz="0" w:space="0" w:color="auto"/>
          </w:divBdr>
          <w:divsChild>
            <w:div w:id="277032455">
              <w:marLeft w:val="0"/>
              <w:marRight w:val="0"/>
              <w:marTop w:val="0"/>
              <w:marBottom w:val="0"/>
              <w:divBdr>
                <w:top w:val="none" w:sz="0" w:space="0" w:color="auto"/>
                <w:left w:val="none" w:sz="0" w:space="0" w:color="auto"/>
                <w:bottom w:val="none" w:sz="0" w:space="0" w:color="auto"/>
                <w:right w:val="none" w:sz="0" w:space="0" w:color="auto"/>
              </w:divBdr>
              <w:divsChild>
                <w:div w:id="133110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96523">
      <w:bodyDiv w:val="1"/>
      <w:marLeft w:val="0"/>
      <w:marRight w:val="0"/>
      <w:marTop w:val="0"/>
      <w:marBottom w:val="0"/>
      <w:divBdr>
        <w:top w:val="none" w:sz="0" w:space="0" w:color="auto"/>
        <w:left w:val="none" w:sz="0" w:space="0" w:color="auto"/>
        <w:bottom w:val="none" w:sz="0" w:space="0" w:color="auto"/>
        <w:right w:val="none" w:sz="0" w:space="0" w:color="auto"/>
      </w:divBdr>
    </w:div>
    <w:div w:id="1604997606">
      <w:bodyDiv w:val="1"/>
      <w:marLeft w:val="0"/>
      <w:marRight w:val="0"/>
      <w:marTop w:val="0"/>
      <w:marBottom w:val="0"/>
      <w:divBdr>
        <w:top w:val="none" w:sz="0" w:space="0" w:color="auto"/>
        <w:left w:val="none" w:sz="0" w:space="0" w:color="auto"/>
        <w:bottom w:val="none" w:sz="0" w:space="0" w:color="auto"/>
        <w:right w:val="none" w:sz="0" w:space="0" w:color="auto"/>
      </w:divBdr>
      <w:divsChild>
        <w:div w:id="248000264">
          <w:marLeft w:val="274"/>
          <w:marRight w:val="0"/>
          <w:marTop w:val="75"/>
          <w:marBottom w:val="0"/>
          <w:divBdr>
            <w:top w:val="none" w:sz="0" w:space="0" w:color="auto"/>
            <w:left w:val="none" w:sz="0" w:space="0" w:color="auto"/>
            <w:bottom w:val="none" w:sz="0" w:space="0" w:color="auto"/>
            <w:right w:val="none" w:sz="0" w:space="0" w:color="auto"/>
          </w:divBdr>
        </w:div>
        <w:div w:id="387849548">
          <w:marLeft w:val="274"/>
          <w:marRight w:val="0"/>
          <w:marTop w:val="75"/>
          <w:marBottom w:val="0"/>
          <w:divBdr>
            <w:top w:val="none" w:sz="0" w:space="0" w:color="auto"/>
            <w:left w:val="none" w:sz="0" w:space="0" w:color="auto"/>
            <w:bottom w:val="none" w:sz="0" w:space="0" w:color="auto"/>
            <w:right w:val="none" w:sz="0" w:space="0" w:color="auto"/>
          </w:divBdr>
        </w:div>
        <w:div w:id="1229075925">
          <w:marLeft w:val="274"/>
          <w:marRight w:val="0"/>
          <w:marTop w:val="75"/>
          <w:marBottom w:val="0"/>
          <w:divBdr>
            <w:top w:val="none" w:sz="0" w:space="0" w:color="auto"/>
            <w:left w:val="none" w:sz="0" w:space="0" w:color="auto"/>
            <w:bottom w:val="none" w:sz="0" w:space="0" w:color="auto"/>
            <w:right w:val="none" w:sz="0" w:space="0" w:color="auto"/>
          </w:divBdr>
        </w:div>
        <w:div w:id="1779790515">
          <w:marLeft w:val="274"/>
          <w:marRight w:val="0"/>
          <w:marTop w:val="75"/>
          <w:marBottom w:val="0"/>
          <w:divBdr>
            <w:top w:val="none" w:sz="0" w:space="0" w:color="auto"/>
            <w:left w:val="none" w:sz="0" w:space="0" w:color="auto"/>
            <w:bottom w:val="none" w:sz="0" w:space="0" w:color="auto"/>
            <w:right w:val="none" w:sz="0" w:space="0" w:color="auto"/>
          </w:divBdr>
        </w:div>
      </w:divsChild>
    </w:div>
    <w:div w:id="1607035730">
      <w:bodyDiv w:val="1"/>
      <w:marLeft w:val="0"/>
      <w:marRight w:val="0"/>
      <w:marTop w:val="0"/>
      <w:marBottom w:val="0"/>
      <w:divBdr>
        <w:top w:val="none" w:sz="0" w:space="0" w:color="auto"/>
        <w:left w:val="none" w:sz="0" w:space="0" w:color="auto"/>
        <w:bottom w:val="none" w:sz="0" w:space="0" w:color="auto"/>
        <w:right w:val="none" w:sz="0" w:space="0" w:color="auto"/>
      </w:divBdr>
      <w:divsChild>
        <w:div w:id="1606501483">
          <w:marLeft w:val="0"/>
          <w:marRight w:val="0"/>
          <w:marTop w:val="0"/>
          <w:marBottom w:val="0"/>
          <w:divBdr>
            <w:top w:val="none" w:sz="0" w:space="0" w:color="auto"/>
            <w:left w:val="none" w:sz="0" w:space="0" w:color="auto"/>
            <w:bottom w:val="none" w:sz="0" w:space="0" w:color="auto"/>
            <w:right w:val="none" w:sz="0" w:space="0" w:color="auto"/>
          </w:divBdr>
          <w:divsChild>
            <w:div w:id="1999766053">
              <w:marLeft w:val="0"/>
              <w:marRight w:val="0"/>
              <w:marTop w:val="0"/>
              <w:marBottom w:val="0"/>
              <w:divBdr>
                <w:top w:val="none" w:sz="0" w:space="0" w:color="auto"/>
                <w:left w:val="none" w:sz="0" w:space="0" w:color="auto"/>
                <w:bottom w:val="none" w:sz="0" w:space="0" w:color="auto"/>
                <w:right w:val="none" w:sz="0" w:space="0" w:color="auto"/>
              </w:divBdr>
              <w:divsChild>
                <w:div w:id="11801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1732">
      <w:bodyDiv w:val="1"/>
      <w:marLeft w:val="0"/>
      <w:marRight w:val="0"/>
      <w:marTop w:val="0"/>
      <w:marBottom w:val="0"/>
      <w:divBdr>
        <w:top w:val="none" w:sz="0" w:space="0" w:color="auto"/>
        <w:left w:val="none" w:sz="0" w:space="0" w:color="auto"/>
        <w:bottom w:val="none" w:sz="0" w:space="0" w:color="auto"/>
        <w:right w:val="none" w:sz="0" w:space="0" w:color="auto"/>
      </w:divBdr>
    </w:div>
    <w:div w:id="1612517915">
      <w:bodyDiv w:val="1"/>
      <w:marLeft w:val="0"/>
      <w:marRight w:val="0"/>
      <w:marTop w:val="0"/>
      <w:marBottom w:val="0"/>
      <w:divBdr>
        <w:top w:val="none" w:sz="0" w:space="0" w:color="auto"/>
        <w:left w:val="none" w:sz="0" w:space="0" w:color="auto"/>
        <w:bottom w:val="none" w:sz="0" w:space="0" w:color="auto"/>
        <w:right w:val="none" w:sz="0" w:space="0" w:color="auto"/>
      </w:divBdr>
    </w:div>
    <w:div w:id="1614314710">
      <w:bodyDiv w:val="1"/>
      <w:marLeft w:val="0"/>
      <w:marRight w:val="0"/>
      <w:marTop w:val="0"/>
      <w:marBottom w:val="0"/>
      <w:divBdr>
        <w:top w:val="none" w:sz="0" w:space="0" w:color="auto"/>
        <w:left w:val="none" w:sz="0" w:space="0" w:color="auto"/>
        <w:bottom w:val="none" w:sz="0" w:space="0" w:color="auto"/>
        <w:right w:val="none" w:sz="0" w:space="0" w:color="auto"/>
      </w:divBdr>
    </w:div>
    <w:div w:id="1621112406">
      <w:bodyDiv w:val="1"/>
      <w:marLeft w:val="0"/>
      <w:marRight w:val="0"/>
      <w:marTop w:val="0"/>
      <w:marBottom w:val="0"/>
      <w:divBdr>
        <w:top w:val="none" w:sz="0" w:space="0" w:color="auto"/>
        <w:left w:val="none" w:sz="0" w:space="0" w:color="auto"/>
        <w:bottom w:val="none" w:sz="0" w:space="0" w:color="auto"/>
        <w:right w:val="none" w:sz="0" w:space="0" w:color="auto"/>
      </w:divBdr>
    </w:div>
    <w:div w:id="1631085233">
      <w:bodyDiv w:val="1"/>
      <w:marLeft w:val="0"/>
      <w:marRight w:val="0"/>
      <w:marTop w:val="0"/>
      <w:marBottom w:val="0"/>
      <w:divBdr>
        <w:top w:val="none" w:sz="0" w:space="0" w:color="auto"/>
        <w:left w:val="none" w:sz="0" w:space="0" w:color="auto"/>
        <w:bottom w:val="none" w:sz="0" w:space="0" w:color="auto"/>
        <w:right w:val="none" w:sz="0" w:space="0" w:color="auto"/>
      </w:divBdr>
    </w:div>
    <w:div w:id="1632396488">
      <w:bodyDiv w:val="1"/>
      <w:marLeft w:val="0"/>
      <w:marRight w:val="0"/>
      <w:marTop w:val="0"/>
      <w:marBottom w:val="0"/>
      <w:divBdr>
        <w:top w:val="none" w:sz="0" w:space="0" w:color="auto"/>
        <w:left w:val="none" w:sz="0" w:space="0" w:color="auto"/>
        <w:bottom w:val="none" w:sz="0" w:space="0" w:color="auto"/>
        <w:right w:val="none" w:sz="0" w:space="0" w:color="auto"/>
      </w:divBdr>
      <w:divsChild>
        <w:div w:id="713239958">
          <w:marLeft w:val="0"/>
          <w:marRight w:val="0"/>
          <w:marTop w:val="0"/>
          <w:marBottom w:val="0"/>
          <w:divBdr>
            <w:top w:val="none" w:sz="0" w:space="0" w:color="auto"/>
            <w:left w:val="none" w:sz="0" w:space="0" w:color="auto"/>
            <w:bottom w:val="none" w:sz="0" w:space="0" w:color="auto"/>
            <w:right w:val="none" w:sz="0" w:space="0" w:color="auto"/>
          </w:divBdr>
          <w:divsChild>
            <w:div w:id="1965766661">
              <w:marLeft w:val="0"/>
              <w:marRight w:val="0"/>
              <w:marTop w:val="0"/>
              <w:marBottom w:val="0"/>
              <w:divBdr>
                <w:top w:val="none" w:sz="0" w:space="0" w:color="auto"/>
                <w:left w:val="none" w:sz="0" w:space="0" w:color="auto"/>
                <w:bottom w:val="none" w:sz="0" w:space="0" w:color="auto"/>
                <w:right w:val="none" w:sz="0" w:space="0" w:color="auto"/>
              </w:divBdr>
              <w:divsChild>
                <w:div w:id="193034145">
                  <w:marLeft w:val="0"/>
                  <w:marRight w:val="0"/>
                  <w:marTop w:val="0"/>
                  <w:marBottom w:val="0"/>
                  <w:divBdr>
                    <w:top w:val="none" w:sz="0" w:space="0" w:color="auto"/>
                    <w:left w:val="none" w:sz="0" w:space="0" w:color="auto"/>
                    <w:bottom w:val="none" w:sz="0" w:space="0" w:color="auto"/>
                    <w:right w:val="none" w:sz="0" w:space="0" w:color="auto"/>
                  </w:divBdr>
                  <w:divsChild>
                    <w:div w:id="12899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00184">
      <w:bodyDiv w:val="1"/>
      <w:marLeft w:val="0"/>
      <w:marRight w:val="0"/>
      <w:marTop w:val="0"/>
      <w:marBottom w:val="0"/>
      <w:divBdr>
        <w:top w:val="none" w:sz="0" w:space="0" w:color="auto"/>
        <w:left w:val="none" w:sz="0" w:space="0" w:color="auto"/>
        <w:bottom w:val="none" w:sz="0" w:space="0" w:color="auto"/>
        <w:right w:val="none" w:sz="0" w:space="0" w:color="auto"/>
      </w:divBdr>
    </w:div>
    <w:div w:id="1636177568">
      <w:bodyDiv w:val="1"/>
      <w:marLeft w:val="0"/>
      <w:marRight w:val="0"/>
      <w:marTop w:val="0"/>
      <w:marBottom w:val="0"/>
      <w:divBdr>
        <w:top w:val="none" w:sz="0" w:space="0" w:color="auto"/>
        <w:left w:val="none" w:sz="0" w:space="0" w:color="auto"/>
        <w:bottom w:val="none" w:sz="0" w:space="0" w:color="auto"/>
        <w:right w:val="none" w:sz="0" w:space="0" w:color="auto"/>
      </w:divBdr>
      <w:divsChild>
        <w:div w:id="1148130895">
          <w:marLeft w:val="0"/>
          <w:marRight w:val="0"/>
          <w:marTop w:val="0"/>
          <w:marBottom w:val="0"/>
          <w:divBdr>
            <w:top w:val="none" w:sz="0" w:space="0" w:color="auto"/>
            <w:left w:val="none" w:sz="0" w:space="0" w:color="auto"/>
            <w:bottom w:val="none" w:sz="0" w:space="0" w:color="auto"/>
            <w:right w:val="none" w:sz="0" w:space="0" w:color="auto"/>
          </w:divBdr>
          <w:divsChild>
            <w:div w:id="587808247">
              <w:marLeft w:val="0"/>
              <w:marRight w:val="0"/>
              <w:marTop w:val="0"/>
              <w:marBottom w:val="0"/>
              <w:divBdr>
                <w:top w:val="none" w:sz="0" w:space="0" w:color="auto"/>
                <w:left w:val="none" w:sz="0" w:space="0" w:color="auto"/>
                <w:bottom w:val="none" w:sz="0" w:space="0" w:color="auto"/>
                <w:right w:val="none" w:sz="0" w:space="0" w:color="auto"/>
              </w:divBdr>
              <w:divsChild>
                <w:div w:id="2379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1916">
      <w:bodyDiv w:val="1"/>
      <w:marLeft w:val="0"/>
      <w:marRight w:val="0"/>
      <w:marTop w:val="0"/>
      <w:marBottom w:val="0"/>
      <w:divBdr>
        <w:top w:val="none" w:sz="0" w:space="0" w:color="auto"/>
        <w:left w:val="none" w:sz="0" w:space="0" w:color="auto"/>
        <w:bottom w:val="none" w:sz="0" w:space="0" w:color="auto"/>
        <w:right w:val="none" w:sz="0" w:space="0" w:color="auto"/>
      </w:divBdr>
      <w:divsChild>
        <w:div w:id="535122059">
          <w:marLeft w:val="0"/>
          <w:marRight w:val="0"/>
          <w:marTop w:val="0"/>
          <w:marBottom w:val="0"/>
          <w:divBdr>
            <w:top w:val="none" w:sz="0" w:space="0" w:color="auto"/>
            <w:left w:val="none" w:sz="0" w:space="0" w:color="auto"/>
            <w:bottom w:val="none" w:sz="0" w:space="0" w:color="auto"/>
            <w:right w:val="none" w:sz="0" w:space="0" w:color="auto"/>
          </w:divBdr>
        </w:div>
        <w:div w:id="550767419">
          <w:marLeft w:val="0"/>
          <w:marRight w:val="0"/>
          <w:marTop w:val="0"/>
          <w:marBottom w:val="0"/>
          <w:divBdr>
            <w:top w:val="none" w:sz="0" w:space="0" w:color="auto"/>
            <w:left w:val="none" w:sz="0" w:space="0" w:color="auto"/>
            <w:bottom w:val="none" w:sz="0" w:space="0" w:color="auto"/>
            <w:right w:val="none" w:sz="0" w:space="0" w:color="auto"/>
          </w:divBdr>
        </w:div>
        <w:div w:id="1908031780">
          <w:marLeft w:val="0"/>
          <w:marRight w:val="0"/>
          <w:marTop w:val="0"/>
          <w:marBottom w:val="0"/>
          <w:divBdr>
            <w:top w:val="none" w:sz="0" w:space="0" w:color="auto"/>
            <w:left w:val="none" w:sz="0" w:space="0" w:color="auto"/>
            <w:bottom w:val="none" w:sz="0" w:space="0" w:color="auto"/>
            <w:right w:val="none" w:sz="0" w:space="0" w:color="auto"/>
          </w:divBdr>
        </w:div>
      </w:divsChild>
    </w:div>
    <w:div w:id="1646275658">
      <w:bodyDiv w:val="1"/>
      <w:marLeft w:val="0"/>
      <w:marRight w:val="0"/>
      <w:marTop w:val="0"/>
      <w:marBottom w:val="0"/>
      <w:divBdr>
        <w:top w:val="none" w:sz="0" w:space="0" w:color="auto"/>
        <w:left w:val="none" w:sz="0" w:space="0" w:color="auto"/>
        <w:bottom w:val="none" w:sz="0" w:space="0" w:color="auto"/>
        <w:right w:val="none" w:sz="0" w:space="0" w:color="auto"/>
      </w:divBdr>
      <w:divsChild>
        <w:div w:id="1185167336">
          <w:marLeft w:val="0"/>
          <w:marRight w:val="0"/>
          <w:marTop w:val="0"/>
          <w:marBottom w:val="0"/>
          <w:divBdr>
            <w:top w:val="none" w:sz="0" w:space="0" w:color="auto"/>
            <w:left w:val="none" w:sz="0" w:space="0" w:color="auto"/>
            <w:bottom w:val="none" w:sz="0" w:space="0" w:color="auto"/>
            <w:right w:val="none" w:sz="0" w:space="0" w:color="auto"/>
          </w:divBdr>
          <w:divsChild>
            <w:div w:id="316882089">
              <w:marLeft w:val="0"/>
              <w:marRight w:val="0"/>
              <w:marTop w:val="0"/>
              <w:marBottom w:val="0"/>
              <w:divBdr>
                <w:top w:val="none" w:sz="0" w:space="0" w:color="auto"/>
                <w:left w:val="none" w:sz="0" w:space="0" w:color="auto"/>
                <w:bottom w:val="none" w:sz="0" w:space="0" w:color="auto"/>
                <w:right w:val="none" w:sz="0" w:space="0" w:color="auto"/>
              </w:divBdr>
              <w:divsChild>
                <w:div w:id="12111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41552">
      <w:bodyDiv w:val="1"/>
      <w:marLeft w:val="0"/>
      <w:marRight w:val="0"/>
      <w:marTop w:val="0"/>
      <w:marBottom w:val="0"/>
      <w:divBdr>
        <w:top w:val="none" w:sz="0" w:space="0" w:color="auto"/>
        <w:left w:val="none" w:sz="0" w:space="0" w:color="auto"/>
        <w:bottom w:val="none" w:sz="0" w:space="0" w:color="auto"/>
        <w:right w:val="none" w:sz="0" w:space="0" w:color="auto"/>
      </w:divBdr>
    </w:div>
    <w:div w:id="1650210595">
      <w:bodyDiv w:val="1"/>
      <w:marLeft w:val="0"/>
      <w:marRight w:val="0"/>
      <w:marTop w:val="0"/>
      <w:marBottom w:val="0"/>
      <w:divBdr>
        <w:top w:val="none" w:sz="0" w:space="0" w:color="auto"/>
        <w:left w:val="none" w:sz="0" w:space="0" w:color="auto"/>
        <w:bottom w:val="none" w:sz="0" w:space="0" w:color="auto"/>
        <w:right w:val="none" w:sz="0" w:space="0" w:color="auto"/>
      </w:divBdr>
    </w:div>
    <w:div w:id="1650354643">
      <w:bodyDiv w:val="1"/>
      <w:marLeft w:val="0"/>
      <w:marRight w:val="0"/>
      <w:marTop w:val="0"/>
      <w:marBottom w:val="0"/>
      <w:divBdr>
        <w:top w:val="none" w:sz="0" w:space="0" w:color="auto"/>
        <w:left w:val="none" w:sz="0" w:space="0" w:color="auto"/>
        <w:bottom w:val="none" w:sz="0" w:space="0" w:color="auto"/>
        <w:right w:val="none" w:sz="0" w:space="0" w:color="auto"/>
      </w:divBdr>
    </w:div>
    <w:div w:id="1652563573">
      <w:bodyDiv w:val="1"/>
      <w:marLeft w:val="0"/>
      <w:marRight w:val="0"/>
      <w:marTop w:val="0"/>
      <w:marBottom w:val="0"/>
      <w:divBdr>
        <w:top w:val="none" w:sz="0" w:space="0" w:color="auto"/>
        <w:left w:val="none" w:sz="0" w:space="0" w:color="auto"/>
        <w:bottom w:val="none" w:sz="0" w:space="0" w:color="auto"/>
        <w:right w:val="none" w:sz="0" w:space="0" w:color="auto"/>
      </w:divBdr>
    </w:div>
    <w:div w:id="1653833439">
      <w:bodyDiv w:val="1"/>
      <w:marLeft w:val="0"/>
      <w:marRight w:val="0"/>
      <w:marTop w:val="0"/>
      <w:marBottom w:val="0"/>
      <w:divBdr>
        <w:top w:val="none" w:sz="0" w:space="0" w:color="auto"/>
        <w:left w:val="none" w:sz="0" w:space="0" w:color="auto"/>
        <w:bottom w:val="none" w:sz="0" w:space="0" w:color="auto"/>
        <w:right w:val="none" w:sz="0" w:space="0" w:color="auto"/>
      </w:divBdr>
    </w:div>
    <w:div w:id="1654217925">
      <w:bodyDiv w:val="1"/>
      <w:marLeft w:val="0"/>
      <w:marRight w:val="0"/>
      <w:marTop w:val="0"/>
      <w:marBottom w:val="0"/>
      <w:divBdr>
        <w:top w:val="none" w:sz="0" w:space="0" w:color="auto"/>
        <w:left w:val="none" w:sz="0" w:space="0" w:color="auto"/>
        <w:bottom w:val="none" w:sz="0" w:space="0" w:color="auto"/>
        <w:right w:val="none" w:sz="0" w:space="0" w:color="auto"/>
      </w:divBdr>
    </w:div>
    <w:div w:id="1654992208">
      <w:bodyDiv w:val="1"/>
      <w:marLeft w:val="0"/>
      <w:marRight w:val="0"/>
      <w:marTop w:val="0"/>
      <w:marBottom w:val="0"/>
      <w:divBdr>
        <w:top w:val="none" w:sz="0" w:space="0" w:color="auto"/>
        <w:left w:val="none" w:sz="0" w:space="0" w:color="auto"/>
        <w:bottom w:val="none" w:sz="0" w:space="0" w:color="auto"/>
        <w:right w:val="none" w:sz="0" w:space="0" w:color="auto"/>
      </w:divBdr>
    </w:div>
    <w:div w:id="1683389226">
      <w:bodyDiv w:val="1"/>
      <w:marLeft w:val="0"/>
      <w:marRight w:val="0"/>
      <w:marTop w:val="0"/>
      <w:marBottom w:val="0"/>
      <w:divBdr>
        <w:top w:val="none" w:sz="0" w:space="0" w:color="auto"/>
        <w:left w:val="none" w:sz="0" w:space="0" w:color="auto"/>
        <w:bottom w:val="none" w:sz="0" w:space="0" w:color="auto"/>
        <w:right w:val="none" w:sz="0" w:space="0" w:color="auto"/>
      </w:divBdr>
    </w:div>
    <w:div w:id="1694304741">
      <w:bodyDiv w:val="1"/>
      <w:marLeft w:val="0"/>
      <w:marRight w:val="0"/>
      <w:marTop w:val="0"/>
      <w:marBottom w:val="0"/>
      <w:divBdr>
        <w:top w:val="none" w:sz="0" w:space="0" w:color="auto"/>
        <w:left w:val="none" w:sz="0" w:space="0" w:color="auto"/>
        <w:bottom w:val="none" w:sz="0" w:space="0" w:color="auto"/>
        <w:right w:val="none" w:sz="0" w:space="0" w:color="auto"/>
      </w:divBdr>
    </w:div>
    <w:div w:id="1697997832">
      <w:bodyDiv w:val="1"/>
      <w:marLeft w:val="0"/>
      <w:marRight w:val="0"/>
      <w:marTop w:val="0"/>
      <w:marBottom w:val="0"/>
      <w:divBdr>
        <w:top w:val="none" w:sz="0" w:space="0" w:color="auto"/>
        <w:left w:val="none" w:sz="0" w:space="0" w:color="auto"/>
        <w:bottom w:val="none" w:sz="0" w:space="0" w:color="auto"/>
        <w:right w:val="none" w:sz="0" w:space="0" w:color="auto"/>
      </w:divBdr>
    </w:div>
    <w:div w:id="1702243064">
      <w:bodyDiv w:val="1"/>
      <w:marLeft w:val="0"/>
      <w:marRight w:val="0"/>
      <w:marTop w:val="0"/>
      <w:marBottom w:val="0"/>
      <w:divBdr>
        <w:top w:val="none" w:sz="0" w:space="0" w:color="auto"/>
        <w:left w:val="none" w:sz="0" w:space="0" w:color="auto"/>
        <w:bottom w:val="none" w:sz="0" w:space="0" w:color="auto"/>
        <w:right w:val="none" w:sz="0" w:space="0" w:color="auto"/>
      </w:divBdr>
    </w:div>
    <w:div w:id="1719818390">
      <w:bodyDiv w:val="1"/>
      <w:marLeft w:val="0"/>
      <w:marRight w:val="0"/>
      <w:marTop w:val="0"/>
      <w:marBottom w:val="0"/>
      <w:divBdr>
        <w:top w:val="none" w:sz="0" w:space="0" w:color="auto"/>
        <w:left w:val="none" w:sz="0" w:space="0" w:color="auto"/>
        <w:bottom w:val="none" w:sz="0" w:space="0" w:color="auto"/>
        <w:right w:val="none" w:sz="0" w:space="0" w:color="auto"/>
      </w:divBdr>
    </w:div>
    <w:div w:id="1737166710">
      <w:bodyDiv w:val="1"/>
      <w:marLeft w:val="0"/>
      <w:marRight w:val="0"/>
      <w:marTop w:val="0"/>
      <w:marBottom w:val="0"/>
      <w:divBdr>
        <w:top w:val="none" w:sz="0" w:space="0" w:color="auto"/>
        <w:left w:val="none" w:sz="0" w:space="0" w:color="auto"/>
        <w:bottom w:val="none" w:sz="0" w:space="0" w:color="auto"/>
        <w:right w:val="none" w:sz="0" w:space="0" w:color="auto"/>
      </w:divBdr>
    </w:div>
    <w:div w:id="1744377300">
      <w:bodyDiv w:val="1"/>
      <w:marLeft w:val="0"/>
      <w:marRight w:val="0"/>
      <w:marTop w:val="0"/>
      <w:marBottom w:val="0"/>
      <w:divBdr>
        <w:top w:val="none" w:sz="0" w:space="0" w:color="auto"/>
        <w:left w:val="none" w:sz="0" w:space="0" w:color="auto"/>
        <w:bottom w:val="none" w:sz="0" w:space="0" w:color="auto"/>
        <w:right w:val="none" w:sz="0" w:space="0" w:color="auto"/>
      </w:divBdr>
    </w:div>
    <w:div w:id="1750424365">
      <w:bodyDiv w:val="1"/>
      <w:marLeft w:val="0"/>
      <w:marRight w:val="0"/>
      <w:marTop w:val="0"/>
      <w:marBottom w:val="0"/>
      <w:divBdr>
        <w:top w:val="none" w:sz="0" w:space="0" w:color="auto"/>
        <w:left w:val="none" w:sz="0" w:space="0" w:color="auto"/>
        <w:bottom w:val="none" w:sz="0" w:space="0" w:color="auto"/>
        <w:right w:val="none" w:sz="0" w:space="0" w:color="auto"/>
      </w:divBdr>
    </w:div>
    <w:div w:id="1775326411">
      <w:bodyDiv w:val="1"/>
      <w:marLeft w:val="0"/>
      <w:marRight w:val="0"/>
      <w:marTop w:val="0"/>
      <w:marBottom w:val="0"/>
      <w:divBdr>
        <w:top w:val="none" w:sz="0" w:space="0" w:color="auto"/>
        <w:left w:val="none" w:sz="0" w:space="0" w:color="auto"/>
        <w:bottom w:val="none" w:sz="0" w:space="0" w:color="auto"/>
        <w:right w:val="none" w:sz="0" w:space="0" w:color="auto"/>
      </w:divBdr>
      <w:divsChild>
        <w:div w:id="204876339">
          <w:marLeft w:val="0"/>
          <w:marRight w:val="0"/>
          <w:marTop w:val="0"/>
          <w:marBottom w:val="0"/>
          <w:divBdr>
            <w:top w:val="none" w:sz="0" w:space="0" w:color="auto"/>
            <w:left w:val="none" w:sz="0" w:space="0" w:color="auto"/>
            <w:bottom w:val="none" w:sz="0" w:space="0" w:color="auto"/>
            <w:right w:val="none" w:sz="0" w:space="0" w:color="auto"/>
          </w:divBdr>
          <w:divsChild>
            <w:div w:id="1987468748">
              <w:marLeft w:val="0"/>
              <w:marRight w:val="0"/>
              <w:marTop w:val="0"/>
              <w:marBottom w:val="0"/>
              <w:divBdr>
                <w:top w:val="none" w:sz="0" w:space="0" w:color="auto"/>
                <w:left w:val="none" w:sz="0" w:space="0" w:color="auto"/>
                <w:bottom w:val="none" w:sz="0" w:space="0" w:color="auto"/>
                <w:right w:val="none" w:sz="0" w:space="0" w:color="auto"/>
              </w:divBdr>
              <w:divsChild>
                <w:div w:id="1568879042">
                  <w:marLeft w:val="0"/>
                  <w:marRight w:val="0"/>
                  <w:marTop w:val="0"/>
                  <w:marBottom w:val="0"/>
                  <w:divBdr>
                    <w:top w:val="none" w:sz="0" w:space="0" w:color="auto"/>
                    <w:left w:val="none" w:sz="0" w:space="0" w:color="auto"/>
                    <w:bottom w:val="none" w:sz="0" w:space="0" w:color="auto"/>
                    <w:right w:val="none" w:sz="0" w:space="0" w:color="auto"/>
                  </w:divBdr>
                  <w:divsChild>
                    <w:div w:id="12614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666211">
      <w:bodyDiv w:val="1"/>
      <w:marLeft w:val="0"/>
      <w:marRight w:val="0"/>
      <w:marTop w:val="0"/>
      <w:marBottom w:val="0"/>
      <w:divBdr>
        <w:top w:val="none" w:sz="0" w:space="0" w:color="auto"/>
        <w:left w:val="none" w:sz="0" w:space="0" w:color="auto"/>
        <w:bottom w:val="none" w:sz="0" w:space="0" w:color="auto"/>
        <w:right w:val="none" w:sz="0" w:space="0" w:color="auto"/>
      </w:divBdr>
    </w:div>
    <w:div w:id="1803845239">
      <w:bodyDiv w:val="1"/>
      <w:marLeft w:val="0"/>
      <w:marRight w:val="0"/>
      <w:marTop w:val="0"/>
      <w:marBottom w:val="0"/>
      <w:divBdr>
        <w:top w:val="none" w:sz="0" w:space="0" w:color="auto"/>
        <w:left w:val="none" w:sz="0" w:space="0" w:color="auto"/>
        <w:bottom w:val="none" w:sz="0" w:space="0" w:color="auto"/>
        <w:right w:val="none" w:sz="0" w:space="0" w:color="auto"/>
      </w:divBdr>
      <w:divsChild>
        <w:div w:id="1777599794">
          <w:marLeft w:val="0"/>
          <w:marRight w:val="0"/>
          <w:marTop w:val="0"/>
          <w:marBottom w:val="0"/>
          <w:divBdr>
            <w:top w:val="none" w:sz="0" w:space="0" w:color="auto"/>
            <w:left w:val="none" w:sz="0" w:space="0" w:color="auto"/>
            <w:bottom w:val="none" w:sz="0" w:space="0" w:color="auto"/>
            <w:right w:val="none" w:sz="0" w:space="0" w:color="auto"/>
          </w:divBdr>
          <w:divsChild>
            <w:div w:id="1692411763">
              <w:marLeft w:val="0"/>
              <w:marRight w:val="0"/>
              <w:marTop w:val="0"/>
              <w:marBottom w:val="0"/>
              <w:divBdr>
                <w:top w:val="none" w:sz="0" w:space="0" w:color="auto"/>
                <w:left w:val="none" w:sz="0" w:space="0" w:color="auto"/>
                <w:bottom w:val="none" w:sz="0" w:space="0" w:color="auto"/>
                <w:right w:val="none" w:sz="0" w:space="0" w:color="auto"/>
              </w:divBdr>
              <w:divsChild>
                <w:div w:id="12717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29710">
      <w:bodyDiv w:val="1"/>
      <w:marLeft w:val="0"/>
      <w:marRight w:val="0"/>
      <w:marTop w:val="0"/>
      <w:marBottom w:val="0"/>
      <w:divBdr>
        <w:top w:val="none" w:sz="0" w:space="0" w:color="auto"/>
        <w:left w:val="none" w:sz="0" w:space="0" w:color="auto"/>
        <w:bottom w:val="none" w:sz="0" w:space="0" w:color="auto"/>
        <w:right w:val="none" w:sz="0" w:space="0" w:color="auto"/>
      </w:divBdr>
    </w:div>
    <w:div w:id="1809587761">
      <w:bodyDiv w:val="1"/>
      <w:marLeft w:val="0"/>
      <w:marRight w:val="0"/>
      <w:marTop w:val="0"/>
      <w:marBottom w:val="0"/>
      <w:divBdr>
        <w:top w:val="none" w:sz="0" w:space="0" w:color="auto"/>
        <w:left w:val="none" w:sz="0" w:space="0" w:color="auto"/>
        <w:bottom w:val="none" w:sz="0" w:space="0" w:color="auto"/>
        <w:right w:val="none" w:sz="0" w:space="0" w:color="auto"/>
      </w:divBdr>
    </w:div>
    <w:div w:id="1818721368">
      <w:bodyDiv w:val="1"/>
      <w:marLeft w:val="0"/>
      <w:marRight w:val="0"/>
      <w:marTop w:val="0"/>
      <w:marBottom w:val="0"/>
      <w:divBdr>
        <w:top w:val="none" w:sz="0" w:space="0" w:color="auto"/>
        <w:left w:val="none" w:sz="0" w:space="0" w:color="auto"/>
        <w:bottom w:val="none" w:sz="0" w:space="0" w:color="auto"/>
        <w:right w:val="none" w:sz="0" w:space="0" w:color="auto"/>
      </w:divBdr>
    </w:div>
    <w:div w:id="1819762008">
      <w:bodyDiv w:val="1"/>
      <w:marLeft w:val="0"/>
      <w:marRight w:val="0"/>
      <w:marTop w:val="0"/>
      <w:marBottom w:val="0"/>
      <w:divBdr>
        <w:top w:val="none" w:sz="0" w:space="0" w:color="auto"/>
        <w:left w:val="none" w:sz="0" w:space="0" w:color="auto"/>
        <w:bottom w:val="none" w:sz="0" w:space="0" w:color="auto"/>
        <w:right w:val="none" w:sz="0" w:space="0" w:color="auto"/>
      </w:divBdr>
    </w:div>
    <w:div w:id="1824007389">
      <w:bodyDiv w:val="1"/>
      <w:marLeft w:val="0"/>
      <w:marRight w:val="0"/>
      <w:marTop w:val="0"/>
      <w:marBottom w:val="0"/>
      <w:divBdr>
        <w:top w:val="none" w:sz="0" w:space="0" w:color="auto"/>
        <w:left w:val="none" w:sz="0" w:space="0" w:color="auto"/>
        <w:bottom w:val="none" w:sz="0" w:space="0" w:color="auto"/>
        <w:right w:val="none" w:sz="0" w:space="0" w:color="auto"/>
      </w:divBdr>
    </w:div>
    <w:div w:id="1851676794">
      <w:bodyDiv w:val="1"/>
      <w:marLeft w:val="0"/>
      <w:marRight w:val="0"/>
      <w:marTop w:val="0"/>
      <w:marBottom w:val="0"/>
      <w:divBdr>
        <w:top w:val="none" w:sz="0" w:space="0" w:color="auto"/>
        <w:left w:val="none" w:sz="0" w:space="0" w:color="auto"/>
        <w:bottom w:val="none" w:sz="0" w:space="0" w:color="auto"/>
        <w:right w:val="none" w:sz="0" w:space="0" w:color="auto"/>
      </w:divBdr>
      <w:divsChild>
        <w:div w:id="1046831831">
          <w:marLeft w:val="0"/>
          <w:marRight w:val="0"/>
          <w:marTop w:val="0"/>
          <w:marBottom w:val="0"/>
          <w:divBdr>
            <w:top w:val="none" w:sz="0" w:space="0" w:color="auto"/>
            <w:left w:val="none" w:sz="0" w:space="0" w:color="auto"/>
            <w:bottom w:val="none" w:sz="0" w:space="0" w:color="auto"/>
            <w:right w:val="none" w:sz="0" w:space="0" w:color="auto"/>
          </w:divBdr>
          <w:divsChild>
            <w:div w:id="2050765916">
              <w:marLeft w:val="0"/>
              <w:marRight w:val="0"/>
              <w:marTop w:val="0"/>
              <w:marBottom w:val="0"/>
              <w:divBdr>
                <w:top w:val="none" w:sz="0" w:space="0" w:color="auto"/>
                <w:left w:val="none" w:sz="0" w:space="0" w:color="auto"/>
                <w:bottom w:val="none" w:sz="0" w:space="0" w:color="auto"/>
                <w:right w:val="none" w:sz="0" w:space="0" w:color="auto"/>
              </w:divBdr>
              <w:divsChild>
                <w:div w:id="15660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80968">
      <w:bodyDiv w:val="1"/>
      <w:marLeft w:val="0"/>
      <w:marRight w:val="0"/>
      <w:marTop w:val="0"/>
      <w:marBottom w:val="0"/>
      <w:divBdr>
        <w:top w:val="none" w:sz="0" w:space="0" w:color="auto"/>
        <w:left w:val="none" w:sz="0" w:space="0" w:color="auto"/>
        <w:bottom w:val="none" w:sz="0" w:space="0" w:color="auto"/>
        <w:right w:val="none" w:sz="0" w:space="0" w:color="auto"/>
      </w:divBdr>
    </w:div>
    <w:div w:id="1852990530">
      <w:bodyDiv w:val="1"/>
      <w:marLeft w:val="0"/>
      <w:marRight w:val="0"/>
      <w:marTop w:val="0"/>
      <w:marBottom w:val="0"/>
      <w:divBdr>
        <w:top w:val="none" w:sz="0" w:space="0" w:color="auto"/>
        <w:left w:val="none" w:sz="0" w:space="0" w:color="auto"/>
        <w:bottom w:val="none" w:sz="0" w:space="0" w:color="auto"/>
        <w:right w:val="none" w:sz="0" w:space="0" w:color="auto"/>
      </w:divBdr>
    </w:div>
    <w:div w:id="1860729228">
      <w:bodyDiv w:val="1"/>
      <w:marLeft w:val="0"/>
      <w:marRight w:val="0"/>
      <w:marTop w:val="0"/>
      <w:marBottom w:val="0"/>
      <w:divBdr>
        <w:top w:val="none" w:sz="0" w:space="0" w:color="auto"/>
        <w:left w:val="none" w:sz="0" w:space="0" w:color="auto"/>
        <w:bottom w:val="none" w:sz="0" w:space="0" w:color="auto"/>
        <w:right w:val="none" w:sz="0" w:space="0" w:color="auto"/>
      </w:divBdr>
    </w:div>
    <w:div w:id="1863929893">
      <w:bodyDiv w:val="1"/>
      <w:marLeft w:val="0"/>
      <w:marRight w:val="0"/>
      <w:marTop w:val="0"/>
      <w:marBottom w:val="0"/>
      <w:divBdr>
        <w:top w:val="none" w:sz="0" w:space="0" w:color="auto"/>
        <w:left w:val="none" w:sz="0" w:space="0" w:color="auto"/>
        <w:bottom w:val="none" w:sz="0" w:space="0" w:color="auto"/>
        <w:right w:val="none" w:sz="0" w:space="0" w:color="auto"/>
      </w:divBdr>
    </w:div>
    <w:div w:id="1864201529">
      <w:bodyDiv w:val="1"/>
      <w:marLeft w:val="0"/>
      <w:marRight w:val="0"/>
      <w:marTop w:val="0"/>
      <w:marBottom w:val="0"/>
      <w:divBdr>
        <w:top w:val="none" w:sz="0" w:space="0" w:color="auto"/>
        <w:left w:val="none" w:sz="0" w:space="0" w:color="auto"/>
        <w:bottom w:val="none" w:sz="0" w:space="0" w:color="auto"/>
        <w:right w:val="none" w:sz="0" w:space="0" w:color="auto"/>
      </w:divBdr>
    </w:div>
    <w:div w:id="1865551511">
      <w:bodyDiv w:val="1"/>
      <w:marLeft w:val="0"/>
      <w:marRight w:val="0"/>
      <w:marTop w:val="0"/>
      <w:marBottom w:val="0"/>
      <w:divBdr>
        <w:top w:val="none" w:sz="0" w:space="0" w:color="auto"/>
        <w:left w:val="none" w:sz="0" w:space="0" w:color="auto"/>
        <w:bottom w:val="none" w:sz="0" w:space="0" w:color="auto"/>
        <w:right w:val="none" w:sz="0" w:space="0" w:color="auto"/>
      </w:divBdr>
    </w:div>
    <w:div w:id="1866020258">
      <w:bodyDiv w:val="1"/>
      <w:marLeft w:val="0"/>
      <w:marRight w:val="0"/>
      <w:marTop w:val="0"/>
      <w:marBottom w:val="0"/>
      <w:divBdr>
        <w:top w:val="none" w:sz="0" w:space="0" w:color="auto"/>
        <w:left w:val="none" w:sz="0" w:space="0" w:color="auto"/>
        <w:bottom w:val="none" w:sz="0" w:space="0" w:color="auto"/>
        <w:right w:val="none" w:sz="0" w:space="0" w:color="auto"/>
      </w:divBdr>
    </w:div>
    <w:div w:id="1866097753">
      <w:bodyDiv w:val="1"/>
      <w:marLeft w:val="0"/>
      <w:marRight w:val="0"/>
      <w:marTop w:val="0"/>
      <w:marBottom w:val="0"/>
      <w:divBdr>
        <w:top w:val="none" w:sz="0" w:space="0" w:color="auto"/>
        <w:left w:val="none" w:sz="0" w:space="0" w:color="auto"/>
        <w:bottom w:val="none" w:sz="0" w:space="0" w:color="auto"/>
        <w:right w:val="none" w:sz="0" w:space="0" w:color="auto"/>
      </w:divBdr>
      <w:divsChild>
        <w:div w:id="340936915">
          <w:marLeft w:val="0"/>
          <w:marRight w:val="0"/>
          <w:marTop w:val="0"/>
          <w:marBottom w:val="0"/>
          <w:divBdr>
            <w:top w:val="none" w:sz="0" w:space="0" w:color="auto"/>
            <w:left w:val="none" w:sz="0" w:space="0" w:color="auto"/>
            <w:bottom w:val="none" w:sz="0" w:space="0" w:color="auto"/>
            <w:right w:val="none" w:sz="0" w:space="0" w:color="auto"/>
          </w:divBdr>
          <w:divsChild>
            <w:div w:id="34042051">
              <w:marLeft w:val="0"/>
              <w:marRight w:val="0"/>
              <w:marTop w:val="0"/>
              <w:marBottom w:val="0"/>
              <w:divBdr>
                <w:top w:val="none" w:sz="0" w:space="0" w:color="auto"/>
                <w:left w:val="none" w:sz="0" w:space="0" w:color="auto"/>
                <w:bottom w:val="none" w:sz="0" w:space="0" w:color="auto"/>
                <w:right w:val="none" w:sz="0" w:space="0" w:color="auto"/>
              </w:divBdr>
              <w:divsChild>
                <w:div w:id="2106490265">
                  <w:marLeft w:val="0"/>
                  <w:marRight w:val="0"/>
                  <w:marTop w:val="0"/>
                  <w:marBottom w:val="0"/>
                  <w:divBdr>
                    <w:top w:val="none" w:sz="0" w:space="0" w:color="auto"/>
                    <w:left w:val="none" w:sz="0" w:space="0" w:color="auto"/>
                    <w:bottom w:val="none" w:sz="0" w:space="0" w:color="auto"/>
                    <w:right w:val="none" w:sz="0" w:space="0" w:color="auto"/>
                  </w:divBdr>
                  <w:divsChild>
                    <w:div w:id="3311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19945">
      <w:bodyDiv w:val="1"/>
      <w:marLeft w:val="0"/>
      <w:marRight w:val="0"/>
      <w:marTop w:val="0"/>
      <w:marBottom w:val="0"/>
      <w:divBdr>
        <w:top w:val="none" w:sz="0" w:space="0" w:color="auto"/>
        <w:left w:val="none" w:sz="0" w:space="0" w:color="auto"/>
        <w:bottom w:val="none" w:sz="0" w:space="0" w:color="auto"/>
        <w:right w:val="none" w:sz="0" w:space="0" w:color="auto"/>
      </w:divBdr>
    </w:div>
    <w:div w:id="1881282176">
      <w:bodyDiv w:val="1"/>
      <w:marLeft w:val="0"/>
      <w:marRight w:val="0"/>
      <w:marTop w:val="0"/>
      <w:marBottom w:val="0"/>
      <w:divBdr>
        <w:top w:val="none" w:sz="0" w:space="0" w:color="auto"/>
        <w:left w:val="none" w:sz="0" w:space="0" w:color="auto"/>
        <w:bottom w:val="none" w:sz="0" w:space="0" w:color="auto"/>
        <w:right w:val="none" w:sz="0" w:space="0" w:color="auto"/>
      </w:divBdr>
      <w:divsChild>
        <w:div w:id="2043361941">
          <w:marLeft w:val="0"/>
          <w:marRight w:val="0"/>
          <w:marTop w:val="0"/>
          <w:marBottom w:val="0"/>
          <w:divBdr>
            <w:top w:val="none" w:sz="0" w:space="0" w:color="auto"/>
            <w:left w:val="none" w:sz="0" w:space="0" w:color="auto"/>
            <w:bottom w:val="none" w:sz="0" w:space="0" w:color="auto"/>
            <w:right w:val="none" w:sz="0" w:space="0" w:color="auto"/>
          </w:divBdr>
          <w:divsChild>
            <w:div w:id="435563746">
              <w:marLeft w:val="0"/>
              <w:marRight w:val="0"/>
              <w:marTop w:val="0"/>
              <w:marBottom w:val="0"/>
              <w:divBdr>
                <w:top w:val="none" w:sz="0" w:space="0" w:color="auto"/>
                <w:left w:val="none" w:sz="0" w:space="0" w:color="auto"/>
                <w:bottom w:val="none" w:sz="0" w:space="0" w:color="auto"/>
                <w:right w:val="none" w:sz="0" w:space="0" w:color="auto"/>
              </w:divBdr>
              <w:divsChild>
                <w:div w:id="1405299646">
                  <w:marLeft w:val="0"/>
                  <w:marRight w:val="0"/>
                  <w:marTop w:val="0"/>
                  <w:marBottom w:val="0"/>
                  <w:divBdr>
                    <w:top w:val="none" w:sz="0" w:space="0" w:color="auto"/>
                    <w:left w:val="none" w:sz="0" w:space="0" w:color="auto"/>
                    <w:bottom w:val="none" w:sz="0" w:space="0" w:color="auto"/>
                    <w:right w:val="none" w:sz="0" w:space="0" w:color="auto"/>
                  </w:divBdr>
                  <w:divsChild>
                    <w:div w:id="3360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677760">
      <w:bodyDiv w:val="1"/>
      <w:marLeft w:val="0"/>
      <w:marRight w:val="0"/>
      <w:marTop w:val="0"/>
      <w:marBottom w:val="0"/>
      <w:divBdr>
        <w:top w:val="none" w:sz="0" w:space="0" w:color="auto"/>
        <w:left w:val="none" w:sz="0" w:space="0" w:color="auto"/>
        <w:bottom w:val="none" w:sz="0" w:space="0" w:color="auto"/>
        <w:right w:val="none" w:sz="0" w:space="0" w:color="auto"/>
      </w:divBdr>
    </w:div>
    <w:div w:id="1890876296">
      <w:bodyDiv w:val="1"/>
      <w:marLeft w:val="0"/>
      <w:marRight w:val="0"/>
      <w:marTop w:val="0"/>
      <w:marBottom w:val="0"/>
      <w:divBdr>
        <w:top w:val="none" w:sz="0" w:space="0" w:color="auto"/>
        <w:left w:val="none" w:sz="0" w:space="0" w:color="auto"/>
        <w:bottom w:val="none" w:sz="0" w:space="0" w:color="auto"/>
        <w:right w:val="none" w:sz="0" w:space="0" w:color="auto"/>
      </w:divBdr>
    </w:div>
    <w:div w:id="1895509744">
      <w:bodyDiv w:val="1"/>
      <w:marLeft w:val="0"/>
      <w:marRight w:val="0"/>
      <w:marTop w:val="0"/>
      <w:marBottom w:val="0"/>
      <w:divBdr>
        <w:top w:val="none" w:sz="0" w:space="0" w:color="auto"/>
        <w:left w:val="none" w:sz="0" w:space="0" w:color="auto"/>
        <w:bottom w:val="none" w:sz="0" w:space="0" w:color="auto"/>
        <w:right w:val="none" w:sz="0" w:space="0" w:color="auto"/>
      </w:divBdr>
      <w:divsChild>
        <w:div w:id="760415145">
          <w:marLeft w:val="0"/>
          <w:marRight w:val="0"/>
          <w:marTop w:val="0"/>
          <w:marBottom w:val="0"/>
          <w:divBdr>
            <w:top w:val="none" w:sz="0" w:space="0" w:color="auto"/>
            <w:left w:val="none" w:sz="0" w:space="0" w:color="auto"/>
            <w:bottom w:val="none" w:sz="0" w:space="0" w:color="auto"/>
            <w:right w:val="none" w:sz="0" w:space="0" w:color="auto"/>
          </w:divBdr>
        </w:div>
        <w:div w:id="939411442">
          <w:marLeft w:val="0"/>
          <w:marRight w:val="0"/>
          <w:marTop w:val="0"/>
          <w:marBottom w:val="0"/>
          <w:divBdr>
            <w:top w:val="none" w:sz="0" w:space="0" w:color="auto"/>
            <w:left w:val="none" w:sz="0" w:space="0" w:color="auto"/>
            <w:bottom w:val="none" w:sz="0" w:space="0" w:color="auto"/>
            <w:right w:val="none" w:sz="0" w:space="0" w:color="auto"/>
          </w:divBdr>
        </w:div>
        <w:div w:id="1493138632">
          <w:marLeft w:val="0"/>
          <w:marRight w:val="0"/>
          <w:marTop w:val="0"/>
          <w:marBottom w:val="0"/>
          <w:divBdr>
            <w:top w:val="none" w:sz="0" w:space="0" w:color="auto"/>
            <w:left w:val="none" w:sz="0" w:space="0" w:color="auto"/>
            <w:bottom w:val="none" w:sz="0" w:space="0" w:color="auto"/>
            <w:right w:val="none" w:sz="0" w:space="0" w:color="auto"/>
          </w:divBdr>
        </w:div>
        <w:div w:id="1519734618">
          <w:marLeft w:val="0"/>
          <w:marRight w:val="0"/>
          <w:marTop w:val="0"/>
          <w:marBottom w:val="0"/>
          <w:divBdr>
            <w:top w:val="none" w:sz="0" w:space="0" w:color="auto"/>
            <w:left w:val="none" w:sz="0" w:space="0" w:color="auto"/>
            <w:bottom w:val="none" w:sz="0" w:space="0" w:color="auto"/>
            <w:right w:val="none" w:sz="0" w:space="0" w:color="auto"/>
          </w:divBdr>
        </w:div>
        <w:div w:id="1925530584">
          <w:marLeft w:val="0"/>
          <w:marRight w:val="0"/>
          <w:marTop w:val="0"/>
          <w:marBottom w:val="0"/>
          <w:divBdr>
            <w:top w:val="none" w:sz="0" w:space="0" w:color="auto"/>
            <w:left w:val="none" w:sz="0" w:space="0" w:color="auto"/>
            <w:bottom w:val="none" w:sz="0" w:space="0" w:color="auto"/>
            <w:right w:val="none" w:sz="0" w:space="0" w:color="auto"/>
          </w:divBdr>
        </w:div>
      </w:divsChild>
    </w:div>
    <w:div w:id="1911229248">
      <w:bodyDiv w:val="1"/>
      <w:marLeft w:val="0"/>
      <w:marRight w:val="0"/>
      <w:marTop w:val="0"/>
      <w:marBottom w:val="0"/>
      <w:divBdr>
        <w:top w:val="none" w:sz="0" w:space="0" w:color="auto"/>
        <w:left w:val="none" w:sz="0" w:space="0" w:color="auto"/>
        <w:bottom w:val="none" w:sz="0" w:space="0" w:color="auto"/>
        <w:right w:val="none" w:sz="0" w:space="0" w:color="auto"/>
      </w:divBdr>
    </w:div>
    <w:div w:id="1911379323">
      <w:bodyDiv w:val="1"/>
      <w:marLeft w:val="0"/>
      <w:marRight w:val="0"/>
      <w:marTop w:val="0"/>
      <w:marBottom w:val="0"/>
      <w:divBdr>
        <w:top w:val="none" w:sz="0" w:space="0" w:color="auto"/>
        <w:left w:val="none" w:sz="0" w:space="0" w:color="auto"/>
        <w:bottom w:val="none" w:sz="0" w:space="0" w:color="auto"/>
        <w:right w:val="none" w:sz="0" w:space="0" w:color="auto"/>
      </w:divBdr>
      <w:divsChild>
        <w:div w:id="1136752348">
          <w:marLeft w:val="0"/>
          <w:marRight w:val="0"/>
          <w:marTop w:val="0"/>
          <w:marBottom w:val="0"/>
          <w:divBdr>
            <w:top w:val="none" w:sz="0" w:space="0" w:color="auto"/>
            <w:left w:val="none" w:sz="0" w:space="0" w:color="auto"/>
            <w:bottom w:val="none" w:sz="0" w:space="0" w:color="auto"/>
            <w:right w:val="none" w:sz="0" w:space="0" w:color="auto"/>
          </w:divBdr>
          <w:divsChild>
            <w:div w:id="1590501764">
              <w:marLeft w:val="0"/>
              <w:marRight w:val="0"/>
              <w:marTop w:val="0"/>
              <w:marBottom w:val="0"/>
              <w:divBdr>
                <w:top w:val="none" w:sz="0" w:space="0" w:color="auto"/>
                <w:left w:val="none" w:sz="0" w:space="0" w:color="auto"/>
                <w:bottom w:val="none" w:sz="0" w:space="0" w:color="auto"/>
                <w:right w:val="none" w:sz="0" w:space="0" w:color="auto"/>
              </w:divBdr>
              <w:divsChild>
                <w:div w:id="14678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99343">
      <w:bodyDiv w:val="1"/>
      <w:marLeft w:val="0"/>
      <w:marRight w:val="0"/>
      <w:marTop w:val="0"/>
      <w:marBottom w:val="0"/>
      <w:divBdr>
        <w:top w:val="none" w:sz="0" w:space="0" w:color="auto"/>
        <w:left w:val="none" w:sz="0" w:space="0" w:color="auto"/>
        <w:bottom w:val="none" w:sz="0" w:space="0" w:color="auto"/>
        <w:right w:val="none" w:sz="0" w:space="0" w:color="auto"/>
      </w:divBdr>
    </w:div>
    <w:div w:id="1918712102">
      <w:bodyDiv w:val="1"/>
      <w:marLeft w:val="0"/>
      <w:marRight w:val="0"/>
      <w:marTop w:val="0"/>
      <w:marBottom w:val="0"/>
      <w:divBdr>
        <w:top w:val="none" w:sz="0" w:space="0" w:color="auto"/>
        <w:left w:val="none" w:sz="0" w:space="0" w:color="auto"/>
        <w:bottom w:val="none" w:sz="0" w:space="0" w:color="auto"/>
        <w:right w:val="none" w:sz="0" w:space="0" w:color="auto"/>
      </w:divBdr>
    </w:div>
    <w:div w:id="1932884283">
      <w:bodyDiv w:val="1"/>
      <w:marLeft w:val="0"/>
      <w:marRight w:val="0"/>
      <w:marTop w:val="0"/>
      <w:marBottom w:val="0"/>
      <w:divBdr>
        <w:top w:val="none" w:sz="0" w:space="0" w:color="auto"/>
        <w:left w:val="none" w:sz="0" w:space="0" w:color="auto"/>
        <w:bottom w:val="none" w:sz="0" w:space="0" w:color="auto"/>
        <w:right w:val="none" w:sz="0" w:space="0" w:color="auto"/>
      </w:divBdr>
      <w:divsChild>
        <w:div w:id="12657623">
          <w:marLeft w:val="0"/>
          <w:marRight w:val="0"/>
          <w:marTop w:val="0"/>
          <w:marBottom w:val="0"/>
          <w:divBdr>
            <w:top w:val="none" w:sz="0" w:space="0" w:color="auto"/>
            <w:left w:val="none" w:sz="0" w:space="0" w:color="auto"/>
            <w:bottom w:val="none" w:sz="0" w:space="0" w:color="auto"/>
            <w:right w:val="none" w:sz="0" w:space="0" w:color="auto"/>
          </w:divBdr>
          <w:divsChild>
            <w:div w:id="442574987">
              <w:marLeft w:val="0"/>
              <w:marRight w:val="0"/>
              <w:marTop w:val="0"/>
              <w:marBottom w:val="0"/>
              <w:divBdr>
                <w:top w:val="none" w:sz="0" w:space="0" w:color="auto"/>
                <w:left w:val="none" w:sz="0" w:space="0" w:color="auto"/>
                <w:bottom w:val="none" w:sz="0" w:space="0" w:color="auto"/>
                <w:right w:val="none" w:sz="0" w:space="0" w:color="auto"/>
              </w:divBdr>
              <w:divsChild>
                <w:div w:id="20422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1220">
      <w:bodyDiv w:val="1"/>
      <w:marLeft w:val="0"/>
      <w:marRight w:val="0"/>
      <w:marTop w:val="0"/>
      <w:marBottom w:val="0"/>
      <w:divBdr>
        <w:top w:val="none" w:sz="0" w:space="0" w:color="auto"/>
        <w:left w:val="none" w:sz="0" w:space="0" w:color="auto"/>
        <w:bottom w:val="none" w:sz="0" w:space="0" w:color="auto"/>
        <w:right w:val="none" w:sz="0" w:space="0" w:color="auto"/>
      </w:divBdr>
    </w:div>
    <w:div w:id="1970814070">
      <w:bodyDiv w:val="1"/>
      <w:marLeft w:val="0"/>
      <w:marRight w:val="0"/>
      <w:marTop w:val="0"/>
      <w:marBottom w:val="0"/>
      <w:divBdr>
        <w:top w:val="none" w:sz="0" w:space="0" w:color="auto"/>
        <w:left w:val="none" w:sz="0" w:space="0" w:color="auto"/>
        <w:bottom w:val="none" w:sz="0" w:space="0" w:color="auto"/>
        <w:right w:val="none" w:sz="0" w:space="0" w:color="auto"/>
      </w:divBdr>
    </w:div>
    <w:div w:id="1978753723">
      <w:bodyDiv w:val="1"/>
      <w:marLeft w:val="0"/>
      <w:marRight w:val="0"/>
      <w:marTop w:val="0"/>
      <w:marBottom w:val="0"/>
      <w:divBdr>
        <w:top w:val="none" w:sz="0" w:space="0" w:color="auto"/>
        <w:left w:val="none" w:sz="0" w:space="0" w:color="auto"/>
        <w:bottom w:val="none" w:sz="0" w:space="0" w:color="auto"/>
        <w:right w:val="none" w:sz="0" w:space="0" w:color="auto"/>
      </w:divBdr>
      <w:divsChild>
        <w:div w:id="781609174">
          <w:marLeft w:val="0"/>
          <w:marRight w:val="0"/>
          <w:marTop w:val="0"/>
          <w:marBottom w:val="0"/>
          <w:divBdr>
            <w:top w:val="none" w:sz="0" w:space="0" w:color="auto"/>
            <w:left w:val="none" w:sz="0" w:space="0" w:color="auto"/>
            <w:bottom w:val="none" w:sz="0" w:space="0" w:color="auto"/>
            <w:right w:val="none" w:sz="0" w:space="0" w:color="auto"/>
          </w:divBdr>
          <w:divsChild>
            <w:div w:id="1729719915">
              <w:marLeft w:val="0"/>
              <w:marRight w:val="0"/>
              <w:marTop w:val="0"/>
              <w:marBottom w:val="0"/>
              <w:divBdr>
                <w:top w:val="none" w:sz="0" w:space="0" w:color="auto"/>
                <w:left w:val="none" w:sz="0" w:space="0" w:color="auto"/>
                <w:bottom w:val="none" w:sz="0" w:space="0" w:color="auto"/>
                <w:right w:val="none" w:sz="0" w:space="0" w:color="auto"/>
              </w:divBdr>
            </w:div>
          </w:divsChild>
        </w:div>
        <w:div w:id="1215894893">
          <w:marLeft w:val="0"/>
          <w:marRight w:val="0"/>
          <w:marTop w:val="0"/>
          <w:marBottom w:val="0"/>
          <w:divBdr>
            <w:top w:val="none" w:sz="0" w:space="0" w:color="auto"/>
            <w:left w:val="none" w:sz="0" w:space="0" w:color="auto"/>
            <w:bottom w:val="none" w:sz="0" w:space="0" w:color="auto"/>
            <w:right w:val="none" w:sz="0" w:space="0" w:color="auto"/>
          </w:divBdr>
        </w:div>
      </w:divsChild>
    </w:div>
    <w:div w:id="1981568768">
      <w:bodyDiv w:val="1"/>
      <w:marLeft w:val="0"/>
      <w:marRight w:val="0"/>
      <w:marTop w:val="0"/>
      <w:marBottom w:val="0"/>
      <w:divBdr>
        <w:top w:val="none" w:sz="0" w:space="0" w:color="auto"/>
        <w:left w:val="none" w:sz="0" w:space="0" w:color="auto"/>
        <w:bottom w:val="none" w:sz="0" w:space="0" w:color="auto"/>
        <w:right w:val="none" w:sz="0" w:space="0" w:color="auto"/>
      </w:divBdr>
    </w:div>
    <w:div w:id="1982734868">
      <w:bodyDiv w:val="1"/>
      <w:marLeft w:val="0"/>
      <w:marRight w:val="0"/>
      <w:marTop w:val="0"/>
      <w:marBottom w:val="0"/>
      <w:divBdr>
        <w:top w:val="none" w:sz="0" w:space="0" w:color="auto"/>
        <w:left w:val="none" w:sz="0" w:space="0" w:color="auto"/>
        <w:bottom w:val="none" w:sz="0" w:space="0" w:color="auto"/>
        <w:right w:val="none" w:sz="0" w:space="0" w:color="auto"/>
      </w:divBdr>
    </w:div>
    <w:div w:id="1999191988">
      <w:bodyDiv w:val="1"/>
      <w:marLeft w:val="0"/>
      <w:marRight w:val="0"/>
      <w:marTop w:val="0"/>
      <w:marBottom w:val="0"/>
      <w:divBdr>
        <w:top w:val="none" w:sz="0" w:space="0" w:color="auto"/>
        <w:left w:val="none" w:sz="0" w:space="0" w:color="auto"/>
        <w:bottom w:val="none" w:sz="0" w:space="0" w:color="auto"/>
        <w:right w:val="none" w:sz="0" w:space="0" w:color="auto"/>
      </w:divBdr>
    </w:div>
    <w:div w:id="2000423889">
      <w:bodyDiv w:val="1"/>
      <w:marLeft w:val="0"/>
      <w:marRight w:val="0"/>
      <w:marTop w:val="0"/>
      <w:marBottom w:val="0"/>
      <w:divBdr>
        <w:top w:val="none" w:sz="0" w:space="0" w:color="auto"/>
        <w:left w:val="none" w:sz="0" w:space="0" w:color="auto"/>
        <w:bottom w:val="none" w:sz="0" w:space="0" w:color="auto"/>
        <w:right w:val="none" w:sz="0" w:space="0" w:color="auto"/>
      </w:divBdr>
      <w:divsChild>
        <w:div w:id="1709408138">
          <w:marLeft w:val="0"/>
          <w:marRight w:val="0"/>
          <w:marTop w:val="0"/>
          <w:marBottom w:val="0"/>
          <w:divBdr>
            <w:top w:val="none" w:sz="0" w:space="0" w:color="auto"/>
            <w:left w:val="none" w:sz="0" w:space="0" w:color="auto"/>
            <w:bottom w:val="none" w:sz="0" w:space="0" w:color="auto"/>
            <w:right w:val="none" w:sz="0" w:space="0" w:color="auto"/>
          </w:divBdr>
        </w:div>
        <w:div w:id="1956325488">
          <w:marLeft w:val="0"/>
          <w:marRight w:val="0"/>
          <w:marTop w:val="0"/>
          <w:marBottom w:val="0"/>
          <w:divBdr>
            <w:top w:val="none" w:sz="0" w:space="0" w:color="auto"/>
            <w:left w:val="none" w:sz="0" w:space="0" w:color="auto"/>
            <w:bottom w:val="none" w:sz="0" w:space="0" w:color="auto"/>
            <w:right w:val="none" w:sz="0" w:space="0" w:color="auto"/>
          </w:divBdr>
        </w:div>
      </w:divsChild>
    </w:div>
    <w:div w:id="2003654851">
      <w:bodyDiv w:val="1"/>
      <w:marLeft w:val="0"/>
      <w:marRight w:val="0"/>
      <w:marTop w:val="0"/>
      <w:marBottom w:val="0"/>
      <w:divBdr>
        <w:top w:val="none" w:sz="0" w:space="0" w:color="auto"/>
        <w:left w:val="none" w:sz="0" w:space="0" w:color="auto"/>
        <w:bottom w:val="none" w:sz="0" w:space="0" w:color="auto"/>
        <w:right w:val="none" w:sz="0" w:space="0" w:color="auto"/>
      </w:divBdr>
    </w:div>
    <w:div w:id="2007056400">
      <w:bodyDiv w:val="1"/>
      <w:marLeft w:val="0"/>
      <w:marRight w:val="0"/>
      <w:marTop w:val="0"/>
      <w:marBottom w:val="0"/>
      <w:divBdr>
        <w:top w:val="none" w:sz="0" w:space="0" w:color="auto"/>
        <w:left w:val="none" w:sz="0" w:space="0" w:color="auto"/>
        <w:bottom w:val="none" w:sz="0" w:space="0" w:color="auto"/>
        <w:right w:val="none" w:sz="0" w:space="0" w:color="auto"/>
      </w:divBdr>
      <w:divsChild>
        <w:div w:id="899751327">
          <w:marLeft w:val="0"/>
          <w:marRight w:val="0"/>
          <w:marTop w:val="0"/>
          <w:marBottom w:val="0"/>
          <w:divBdr>
            <w:top w:val="none" w:sz="0" w:space="0" w:color="auto"/>
            <w:left w:val="none" w:sz="0" w:space="0" w:color="auto"/>
            <w:bottom w:val="none" w:sz="0" w:space="0" w:color="auto"/>
            <w:right w:val="none" w:sz="0" w:space="0" w:color="auto"/>
          </w:divBdr>
          <w:divsChild>
            <w:div w:id="348874941">
              <w:marLeft w:val="0"/>
              <w:marRight w:val="0"/>
              <w:marTop w:val="0"/>
              <w:marBottom w:val="0"/>
              <w:divBdr>
                <w:top w:val="none" w:sz="0" w:space="0" w:color="auto"/>
                <w:left w:val="none" w:sz="0" w:space="0" w:color="auto"/>
                <w:bottom w:val="none" w:sz="0" w:space="0" w:color="auto"/>
                <w:right w:val="none" w:sz="0" w:space="0" w:color="auto"/>
              </w:divBdr>
              <w:divsChild>
                <w:div w:id="433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26032">
      <w:bodyDiv w:val="1"/>
      <w:marLeft w:val="0"/>
      <w:marRight w:val="0"/>
      <w:marTop w:val="0"/>
      <w:marBottom w:val="0"/>
      <w:divBdr>
        <w:top w:val="none" w:sz="0" w:space="0" w:color="auto"/>
        <w:left w:val="none" w:sz="0" w:space="0" w:color="auto"/>
        <w:bottom w:val="none" w:sz="0" w:space="0" w:color="auto"/>
        <w:right w:val="none" w:sz="0" w:space="0" w:color="auto"/>
      </w:divBdr>
    </w:div>
    <w:div w:id="2016956480">
      <w:bodyDiv w:val="1"/>
      <w:marLeft w:val="0"/>
      <w:marRight w:val="0"/>
      <w:marTop w:val="0"/>
      <w:marBottom w:val="0"/>
      <w:divBdr>
        <w:top w:val="none" w:sz="0" w:space="0" w:color="auto"/>
        <w:left w:val="none" w:sz="0" w:space="0" w:color="auto"/>
        <w:bottom w:val="none" w:sz="0" w:space="0" w:color="auto"/>
        <w:right w:val="none" w:sz="0" w:space="0" w:color="auto"/>
      </w:divBdr>
      <w:divsChild>
        <w:div w:id="1110661348">
          <w:marLeft w:val="533"/>
          <w:marRight w:val="0"/>
          <w:marTop w:val="150"/>
          <w:marBottom w:val="0"/>
          <w:divBdr>
            <w:top w:val="none" w:sz="0" w:space="0" w:color="auto"/>
            <w:left w:val="none" w:sz="0" w:space="0" w:color="auto"/>
            <w:bottom w:val="none" w:sz="0" w:space="0" w:color="auto"/>
            <w:right w:val="none" w:sz="0" w:space="0" w:color="auto"/>
          </w:divBdr>
        </w:div>
        <w:div w:id="1420835900">
          <w:marLeft w:val="533"/>
          <w:marRight w:val="0"/>
          <w:marTop w:val="150"/>
          <w:marBottom w:val="0"/>
          <w:divBdr>
            <w:top w:val="none" w:sz="0" w:space="0" w:color="auto"/>
            <w:left w:val="none" w:sz="0" w:space="0" w:color="auto"/>
            <w:bottom w:val="none" w:sz="0" w:space="0" w:color="auto"/>
            <w:right w:val="none" w:sz="0" w:space="0" w:color="auto"/>
          </w:divBdr>
        </w:div>
        <w:div w:id="1490438322">
          <w:marLeft w:val="533"/>
          <w:marRight w:val="0"/>
          <w:marTop w:val="150"/>
          <w:marBottom w:val="0"/>
          <w:divBdr>
            <w:top w:val="none" w:sz="0" w:space="0" w:color="auto"/>
            <w:left w:val="none" w:sz="0" w:space="0" w:color="auto"/>
            <w:bottom w:val="none" w:sz="0" w:space="0" w:color="auto"/>
            <w:right w:val="none" w:sz="0" w:space="0" w:color="auto"/>
          </w:divBdr>
        </w:div>
        <w:div w:id="2099909239">
          <w:marLeft w:val="533"/>
          <w:marRight w:val="0"/>
          <w:marTop w:val="150"/>
          <w:marBottom w:val="0"/>
          <w:divBdr>
            <w:top w:val="none" w:sz="0" w:space="0" w:color="auto"/>
            <w:left w:val="none" w:sz="0" w:space="0" w:color="auto"/>
            <w:bottom w:val="none" w:sz="0" w:space="0" w:color="auto"/>
            <w:right w:val="none" w:sz="0" w:space="0" w:color="auto"/>
          </w:divBdr>
        </w:div>
      </w:divsChild>
    </w:div>
    <w:div w:id="2022782624">
      <w:bodyDiv w:val="1"/>
      <w:marLeft w:val="0"/>
      <w:marRight w:val="0"/>
      <w:marTop w:val="0"/>
      <w:marBottom w:val="0"/>
      <w:divBdr>
        <w:top w:val="none" w:sz="0" w:space="0" w:color="auto"/>
        <w:left w:val="none" w:sz="0" w:space="0" w:color="auto"/>
        <w:bottom w:val="none" w:sz="0" w:space="0" w:color="auto"/>
        <w:right w:val="none" w:sz="0" w:space="0" w:color="auto"/>
      </w:divBdr>
    </w:div>
    <w:div w:id="2036036037">
      <w:bodyDiv w:val="1"/>
      <w:marLeft w:val="0"/>
      <w:marRight w:val="0"/>
      <w:marTop w:val="0"/>
      <w:marBottom w:val="0"/>
      <w:divBdr>
        <w:top w:val="none" w:sz="0" w:space="0" w:color="auto"/>
        <w:left w:val="none" w:sz="0" w:space="0" w:color="auto"/>
        <w:bottom w:val="none" w:sz="0" w:space="0" w:color="auto"/>
        <w:right w:val="none" w:sz="0" w:space="0" w:color="auto"/>
      </w:divBdr>
      <w:divsChild>
        <w:div w:id="312954849">
          <w:marLeft w:val="0"/>
          <w:marRight w:val="0"/>
          <w:marTop w:val="0"/>
          <w:marBottom w:val="0"/>
          <w:divBdr>
            <w:top w:val="none" w:sz="0" w:space="0" w:color="auto"/>
            <w:left w:val="none" w:sz="0" w:space="0" w:color="auto"/>
            <w:bottom w:val="none" w:sz="0" w:space="0" w:color="auto"/>
            <w:right w:val="none" w:sz="0" w:space="0" w:color="auto"/>
          </w:divBdr>
          <w:divsChild>
            <w:div w:id="860555302">
              <w:marLeft w:val="0"/>
              <w:marRight w:val="0"/>
              <w:marTop w:val="0"/>
              <w:marBottom w:val="0"/>
              <w:divBdr>
                <w:top w:val="none" w:sz="0" w:space="0" w:color="auto"/>
                <w:left w:val="none" w:sz="0" w:space="0" w:color="auto"/>
                <w:bottom w:val="none" w:sz="0" w:space="0" w:color="auto"/>
                <w:right w:val="none" w:sz="0" w:space="0" w:color="auto"/>
              </w:divBdr>
              <w:divsChild>
                <w:div w:id="492184016">
                  <w:marLeft w:val="0"/>
                  <w:marRight w:val="0"/>
                  <w:marTop w:val="0"/>
                  <w:marBottom w:val="0"/>
                  <w:divBdr>
                    <w:top w:val="none" w:sz="0" w:space="0" w:color="auto"/>
                    <w:left w:val="none" w:sz="0" w:space="0" w:color="auto"/>
                    <w:bottom w:val="none" w:sz="0" w:space="0" w:color="auto"/>
                    <w:right w:val="none" w:sz="0" w:space="0" w:color="auto"/>
                  </w:divBdr>
                </w:div>
                <w:div w:id="11755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23956">
      <w:bodyDiv w:val="1"/>
      <w:marLeft w:val="0"/>
      <w:marRight w:val="0"/>
      <w:marTop w:val="0"/>
      <w:marBottom w:val="0"/>
      <w:divBdr>
        <w:top w:val="none" w:sz="0" w:space="0" w:color="auto"/>
        <w:left w:val="none" w:sz="0" w:space="0" w:color="auto"/>
        <w:bottom w:val="none" w:sz="0" w:space="0" w:color="auto"/>
        <w:right w:val="none" w:sz="0" w:space="0" w:color="auto"/>
      </w:divBdr>
    </w:div>
    <w:div w:id="2042432279">
      <w:bodyDiv w:val="1"/>
      <w:marLeft w:val="0"/>
      <w:marRight w:val="0"/>
      <w:marTop w:val="0"/>
      <w:marBottom w:val="0"/>
      <w:divBdr>
        <w:top w:val="none" w:sz="0" w:space="0" w:color="auto"/>
        <w:left w:val="none" w:sz="0" w:space="0" w:color="auto"/>
        <w:bottom w:val="none" w:sz="0" w:space="0" w:color="auto"/>
        <w:right w:val="none" w:sz="0" w:space="0" w:color="auto"/>
      </w:divBdr>
      <w:divsChild>
        <w:div w:id="2019848550">
          <w:marLeft w:val="0"/>
          <w:marRight w:val="0"/>
          <w:marTop w:val="0"/>
          <w:marBottom w:val="0"/>
          <w:divBdr>
            <w:top w:val="none" w:sz="0" w:space="0" w:color="auto"/>
            <w:left w:val="none" w:sz="0" w:space="0" w:color="auto"/>
            <w:bottom w:val="none" w:sz="0" w:space="0" w:color="auto"/>
            <w:right w:val="none" w:sz="0" w:space="0" w:color="auto"/>
          </w:divBdr>
          <w:divsChild>
            <w:div w:id="1175999083">
              <w:marLeft w:val="0"/>
              <w:marRight w:val="0"/>
              <w:marTop w:val="0"/>
              <w:marBottom w:val="0"/>
              <w:divBdr>
                <w:top w:val="none" w:sz="0" w:space="0" w:color="auto"/>
                <w:left w:val="none" w:sz="0" w:space="0" w:color="auto"/>
                <w:bottom w:val="none" w:sz="0" w:space="0" w:color="auto"/>
                <w:right w:val="none" w:sz="0" w:space="0" w:color="auto"/>
              </w:divBdr>
              <w:divsChild>
                <w:div w:id="1984503271">
                  <w:marLeft w:val="0"/>
                  <w:marRight w:val="0"/>
                  <w:marTop w:val="0"/>
                  <w:marBottom w:val="0"/>
                  <w:divBdr>
                    <w:top w:val="none" w:sz="0" w:space="0" w:color="auto"/>
                    <w:left w:val="none" w:sz="0" w:space="0" w:color="auto"/>
                    <w:bottom w:val="none" w:sz="0" w:space="0" w:color="auto"/>
                    <w:right w:val="none" w:sz="0" w:space="0" w:color="auto"/>
                  </w:divBdr>
                  <w:divsChild>
                    <w:div w:id="8512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24849">
      <w:bodyDiv w:val="1"/>
      <w:marLeft w:val="0"/>
      <w:marRight w:val="0"/>
      <w:marTop w:val="0"/>
      <w:marBottom w:val="0"/>
      <w:divBdr>
        <w:top w:val="none" w:sz="0" w:space="0" w:color="auto"/>
        <w:left w:val="none" w:sz="0" w:space="0" w:color="auto"/>
        <w:bottom w:val="none" w:sz="0" w:space="0" w:color="auto"/>
        <w:right w:val="none" w:sz="0" w:space="0" w:color="auto"/>
      </w:divBdr>
    </w:div>
    <w:div w:id="2049334631">
      <w:bodyDiv w:val="1"/>
      <w:marLeft w:val="0"/>
      <w:marRight w:val="0"/>
      <w:marTop w:val="0"/>
      <w:marBottom w:val="0"/>
      <w:divBdr>
        <w:top w:val="none" w:sz="0" w:space="0" w:color="auto"/>
        <w:left w:val="none" w:sz="0" w:space="0" w:color="auto"/>
        <w:bottom w:val="none" w:sz="0" w:space="0" w:color="auto"/>
        <w:right w:val="none" w:sz="0" w:space="0" w:color="auto"/>
      </w:divBdr>
      <w:divsChild>
        <w:div w:id="931623116">
          <w:marLeft w:val="0"/>
          <w:marRight w:val="0"/>
          <w:marTop w:val="0"/>
          <w:marBottom w:val="0"/>
          <w:divBdr>
            <w:top w:val="none" w:sz="0" w:space="0" w:color="auto"/>
            <w:left w:val="none" w:sz="0" w:space="0" w:color="auto"/>
            <w:bottom w:val="none" w:sz="0" w:space="0" w:color="auto"/>
            <w:right w:val="none" w:sz="0" w:space="0" w:color="auto"/>
          </w:divBdr>
          <w:divsChild>
            <w:div w:id="1400326027">
              <w:marLeft w:val="0"/>
              <w:marRight w:val="0"/>
              <w:marTop w:val="0"/>
              <w:marBottom w:val="0"/>
              <w:divBdr>
                <w:top w:val="none" w:sz="0" w:space="0" w:color="auto"/>
                <w:left w:val="none" w:sz="0" w:space="0" w:color="auto"/>
                <w:bottom w:val="none" w:sz="0" w:space="0" w:color="auto"/>
                <w:right w:val="none" w:sz="0" w:space="0" w:color="auto"/>
              </w:divBdr>
              <w:divsChild>
                <w:div w:id="16928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2038">
      <w:bodyDiv w:val="1"/>
      <w:marLeft w:val="0"/>
      <w:marRight w:val="0"/>
      <w:marTop w:val="0"/>
      <w:marBottom w:val="0"/>
      <w:divBdr>
        <w:top w:val="none" w:sz="0" w:space="0" w:color="auto"/>
        <w:left w:val="none" w:sz="0" w:space="0" w:color="auto"/>
        <w:bottom w:val="none" w:sz="0" w:space="0" w:color="auto"/>
        <w:right w:val="none" w:sz="0" w:space="0" w:color="auto"/>
      </w:divBdr>
    </w:div>
    <w:div w:id="2067144774">
      <w:bodyDiv w:val="1"/>
      <w:marLeft w:val="0"/>
      <w:marRight w:val="0"/>
      <w:marTop w:val="0"/>
      <w:marBottom w:val="0"/>
      <w:divBdr>
        <w:top w:val="none" w:sz="0" w:space="0" w:color="auto"/>
        <w:left w:val="none" w:sz="0" w:space="0" w:color="auto"/>
        <w:bottom w:val="none" w:sz="0" w:space="0" w:color="auto"/>
        <w:right w:val="none" w:sz="0" w:space="0" w:color="auto"/>
      </w:divBdr>
    </w:div>
    <w:div w:id="2075158020">
      <w:bodyDiv w:val="1"/>
      <w:marLeft w:val="0"/>
      <w:marRight w:val="0"/>
      <w:marTop w:val="0"/>
      <w:marBottom w:val="0"/>
      <w:divBdr>
        <w:top w:val="none" w:sz="0" w:space="0" w:color="auto"/>
        <w:left w:val="none" w:sz="0" w:space="0" w:color="auto"/>
        <w:bottom w:val="none" w:sz="0" w:space="0" w:color="auto"/>
        <w:right w:val="none" w:sz="0" w:space="0" w:color="auto"/>
      </w:divBdr>
      <w:divsChild>
        <w:div w:id="541406608">
          <w:marLeft w:val="825"/>
          <w:marRight w:val="374"/>
          <w:marTop w:val="0"/>
          <w:marBottom w:val="0"/>
          <w:divBdr>
            <w:top w:val="none" w:sz="0" w:space="0" w:color="auto"/>
            <w:left w:val="none" w:sz="0" w:space="0" w:color="auto"/>
            <w:bottom w:val="none" w:sz="0" w:space="0" w:color="auto"/>
            <w:right w:val="none" w:sz="0" w:space="0" w:color="auto"/>
          </w:divBdr>
        </w:div>
        <w:div w:id="1722484536">
          <w:marLeft w:val="825"/>
          <w:marRight w:val="374"/>
          <w:marTop w:val="0"/>
          <w:marBottom w:val="0"/>
          <w:divBdr>
            <w:top w:val="none" w:sz="0" w:space="0" w:color="auto"/>
            <w:left w:val="none" w:sz="0" w:space="0" w:color="auto"/>
            <w:bottom w:val="none" w:sz="0" w:space="0" w:color="auto"/>
            <w:right w:val="none" w:sz="0" w:space="0" w:color="auto"/>
          </w:divBdr>
        </w:div>
        <w:div w:id="2037609164">
          <w:marLeft w:val="825"/>
          <w:marRight w:val="374"/>
          <w:marTop w:val="0"/>
          <w:marBottom w:val="0"/>
          <w:divBdr>
            <w:top w:val="none" w:sz="0" w:space="0" w:color="auto"/>
            <w:left w:val="none" w:sz="0" w:space="0" w:color="auto"/>
            <w:bottom w:val="none" w:sz="0" w:space="0" w:color="auto"/>
            <w:right w:val="none" w:sz="0" w:space="0" w:color="auto"/>
          </w:divBdr>
        </w:div>
      </w:divsChild>
    </w:div>
    <w:div w:id="2080977785">
      <w:bodyDiv w:val="1"/>
      <w:marLeft w:val="0"/>
      <w:marRight w:val="0"/>
      <w:marTop w:val="0"/>
      <w:marBottom w:val="0"/>
      <w:divBdr>
        <w:top w:val="none" w:sz="0" w:space="0" w:color="auto"/>
        <w:left w:val="none" w:sz="0" w:space="0" w:color="auto"/>
        <w:bottom w:val="none" w:sz="0" w:space="0" w:color="auto"/>
        <w:right w:val="none" w:sz="0" w:space="0" w:color="auto"/>
      </w:divBdr>
    </w:div>
    <w:div w:id="2083486870">
      <w:bodyDiv w:val="1"/>
      <w:marLeft w:val="0"/>
      <w:marRight w:val="0"/>
      <w:marTop w:val="0"/>
      <w:marBottom w:val="0"/>
      <w:divBdr>
        <w:top w:val="none" w:sz="0" w:space="0" w:color="auto"/>
        <w:left w:val="none" w:sz="0" w:space="0" w:color="auto"/>
        <w:bottom w:val="none" w:sz="0" w:space="0" w:color="auto"/>
        <w:right w:val="none" w:sz="0" w:space="0" w:color="auto"/>
      </w:divBdr>
      <w:divsChild>
        <w:div w:id="170879268">
          <w:marLeft w:val="533"/>
          <w:marRight w:val="0"/>
          <w:marTop w:val="150"/>
          <w:marBottom w:val="0"/>
          <w:divBdr>
            <w:top w:val="none" w:sz="0" w:space="0" w:color="auto"/>
            <w:left w:val="none" w:sz="0" w:space="0" w:color="auto"/>
            <w:bottom w:val="none" w:sz="0" w:space="0" w:color="auto"/>
            <w:right w:val="none" w:sz="0" w:space="0" w:color="auto"/>
          </w:divBdr>
        </w:div>
        <w:div w:id="576982387">
          <w:marLeft w:val="806"/>
          <w:marRight w:val="0"/>
          <w:marTop w:val="75"/>
          <w:marBottom w:val="0"/>
          <w:divBdr>
            <w:top w:val="none" w:sz="0" w:space="0" w:color="auto"/>
            <w:left w:val="none" w:sz="0" w:space="0" w:color="auto"/>
            <w:bottom w:val="none" w:sz="0" w:space="0" w:color="auto"/>
            <w:right w:val="none" w:sz="0" w:space="0" w:color="auto"/>
          </w:divBdr>
        </w:div>
        <w:div w:id="1152409480">
          <w:marLeft w:val="533"/>
          <w:marRight w:val="0"/>
          <w:marTop w:val="150"/>
          <w:marBottom w:val="0"/>
          <w:divBdr>
            <w:top w:val="none" w:sz="0" w:space="0" w:color="auto"/>
            <w:left w:val="none" w:sz="0" w:space="0" w:color="auto"/>
            <w:bottom w:val="none" w:sz="0" w:space="0" w:color="auto"/>
            <w:right w:val="none" w:sz="0" w:space="0" w:color="auto"/>
          </w:divBdr>
        </w:div>
        <w:div w:id="1636594829">
          <w:marLeft w:val="806"/>
          <w:marRight w:val="0"/>
          <w:marTop w:val="75"/>
          <w:marBottom w:val="0"/>
          <w:divBdr>
            <w:top w:val="none" w:sz="0" w:space="0" w:color="auto"/>
            <w:left w:val="none" w:sz="0" w:space="0" w:color="auto"/>
            <w:bottom w:val="none" w:sz="0" w:space="0" w:color="auto"/>
            <w:right w:val="none" w:sz="0" w:space="0" w:color="auto"/>
          </w:divBdr>
        </w:div>
        <w:div w:id="1938903614">
          <w:marLeft w:val="806"/>
          <w:marRight w:val="0"/>
          <w:marTop w:val="75"/>
          <w:marBottom w:val="0"/>
          <w:divBdr>
            <w:top w:val="none" w:sz="0" w:space="0" w:color="auto"/>
            <w:left w:val="none" w:sz="0" w:space="0" w:color="auto"/>
            <w:bottom w:val="none" w:sz="0" w:space="0" w:color="auto"/>
            <w:right w:val="none" w:sz="0" w:space="0" w:color="auto"/>
          </w:divBdr>
        </w:div>
        <w:div w:id="2071690399">
          <w:marLeft w:val="533"/>
          <w:marRight w:val="0"/>
          <w:marTop w:val="150"/>
          <w:marBottom w:val="0"/>
          <w:divBdr>
            <w:top w:val="none" w:sz="0" w:space="0" w:color="auto"/>
            <w:left w:val="none" w:sz="0" w:space="0" w:color="auto"/>
            <w:bottom w:val="none" w:sz="0" w:space="0" w:color="auto"/>
            <w:right w:val="none" w:sz="0" w:space="0" w:color="auto"/>
          </w:divBdr>
        </w:div>
        <w:div w:id="2079739625">
          <w:marLeft w:val="533"/>
          <w:marRight w:val="0"/>
          <w:marTop w:val="150"/>
          <w:marBottom w:val="0"/>
          <w:divBdr>
            <w:top w:val="none" w:sz="0" w:space="0" w:color="auto"/>
            <w:left w:val="none" w:sz="0" w:space="0" w:color="auto"/>
            <w:bottom w:val="none" w:sz="0" w:space="0" w:color="auto"/>
            <w:right w:val="none" w:sz="0" w:space="0" w:color="auto"/>
          </w:divBdr>
        </w:div>
      </w:divsChild>
    </w:div>
    <w:div w:id="2093618778">
      <w:bodyDiv w:val="1"/>
      <w:marLeft w:val="0"/>
      <w:marRight w:val="0"/>
      <w:marTop w:val="0"/>
      <w:marBottom w:val="0"/>
      <w:divBdr>
        <w:top w:val="none" w:sz="0" w:space="0" w:color="auto"/>
        <w:left w:val="none" w:sz="0" w:space="0" w:color="auto"/>
        <w:bottom w:val="none" w:sz="0" w:space="0" w:color="auto"/>
        <w:right w:val="none" w:sz="0" w:space="0" w:color="auto"/>
      </w:divBdr>
      <w:divsChild>
        <w:div w:id="1936357121">
          <w:marLeft w:val="0"/>
          <w:marRight w:val="0"/>
          <w:marTop w:val="0"/>
          <w:marBottom w:val="0"/>
          <w:divBdr>
            <w:top w:val="none" w:sz="0" w:space="0" w:color="auto"/>
            <w:left w:val="none" w:sz="0" w:space="0" w:color="auto"/>
            <w:bottom w:val="none" w:sz="0" w:space="0" w:color="auto"/>
            <w:right w:val="none" w:sz="0" w:space="0" w:color="auto"/>
          </w:divBdr>
          <w:divsChild>
            <w:div w:id="1025979472">
              <w:marLeft w:val="0"/>
              <w:marRight w:val="0"/>
              <w:marTop w:val="0"/>
              <w:marBottom w:val="0"/>
              <w:divBdr>
                <w:top w:val="none" w:sz="0" w:space="0" w:color="auto"/>
                <w:left w:val="none" w:sz="0" w:space="0" w:color="auto"/>
                <w:bottom w:val="none" w:sz="0" w:space="0" w:color="auto"/>
                <w:right w:val="none" w:sz="0" w:space="0" w:color="auto"/>
              </w:divBdr>
              <w:divsChild>
                <w:div w:id="15950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61745">
      <w:bodyDiv w:val="1"/>
      <w:marLeft w:val="0"/>
      <w:marRight w:val="0"/>
      <w:marTop w:val="0"/>
      <w:marBottom w:val="0"/>
      <w:divBdr>
        <w:top w:val="none" w:sz="0" w:space="0" w:color="auto"/>
        <w:left w:val="none" w:sz="0" w:space="0" w:color="auto"/>
        <w:bottom w:val="none" w:sz="0" w:space="0" w:color="auto"/>
        <w:right w:val="none" w:sz="0" w:space="0" w:color="auto"/>
      </w:divBdr>
    </w:div>
    <w:div w:id="2119642277">
      <w:bodyDiv w:val="1"/>
      <w:marLeft w:val="0"/>
      <w:marRight w:val="0"/>
      <w:marTop w:val="0"/>
      <w:marBottom w:val="0"/>
      <w:divBdr>
        <w:top w:val="none" w:sz="0" w:space="0" w:color="auto"/>
        <w:left w:val="none" w:sz="0" w:space="0" w:color="auto"/>
        <w:bottom w:val="none" w:sz="0" w:space="0" w:color="auto"/>
        <w:right w:val="none" w:sz="0" w:space="0" w:color="auto"/>
      </w:divBdr>
      <w:divsChild>
        <w:div w:id="1067536279">
          <w:marLeft w:val="0"/>
          <w:marRight w:val="0"/>
          <w:marTop w:val="0"/>
          <w:marBottom w:val="0"/>
          <w:divBdr>
            <w:top w:val="none" w:sz="0" w:space="0" w:color="auto"/>
            <w:left w:val="none" w:sz="0" w:space="0" w:color="auto"/>
            <w:bottom w:val="none" w:sz="0" w:space="0" w:color="auto"/>
            <w:right w:val="none" w:sz="0" w:space="0" w:color="auto"/>
          </w:divBdr>
          <w:divsChild>
            <w:div w:id="1908101571">
              <w:marLeft w:val="0"/>
              <w:marRight w:val="0"/>
              <w:marTop w:val="0"/>
              <w:marBottom w:val="0"/>
              <w:divBdr>
                <w:top w:val="none" w:sz="0" w:space="0" w:color="auto"/>
                <w:left w:val="none" w:sz="0" w:space="0" w:color="auto"/>
                <w:bottom w:val="none" w:sz="0" w:space="0" w:color="auto"/>
                <w:right w:val="none" w:sz="0" w:space="0" w:color="auto"/>
              </w:divBdr>
              <w:divsChild>
                <w:div w:id="940576185">
                  <w:marLeft w:val="0"/>
                  <w:marRight w:val="0"/>
                  <w:marTop w:val="0"/>
                  <w:marBottom w:val="0"/>
                  <w:divBdr>
                    <w:top w:val="none" w:sz="0" w:space="0" w:color="auto"/>
                    <w:left w:val="none" w:sz="0" w:space="0" w:color="auto"/>
                    <w:bottom w:val="none" w:sz="0" w:space="0" w:color="auto"/>
                    <w:right w:val="none" w:sz="0" w:space="0" w:color="auto"/>
                  </w:divBdr>
                  <w:divsChild>
                    <w:div w:id="7331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434099">
      <w:bodyDiv w:val="1"/>
      <w:marLeft w:val="0"/>
      <w:marRight w:val="0"/>
      <w:marTop w:val="0"/>
      <w:marBottom w:val="0"/>
      <w:divBdr>
        <w:top w:val="none" w:sz="0" w:space="0" w:color="auto"/>
        <w:left w:val="none" w:sz="0" w:space="0" w:color="auto"/>
        <w:bottom w:val="none" w:sz="0" w:space="0" w:color="auto"/>
        <w:right w:val="none" w:sz="0" w:space="0" w:color="auto"/>
      </w:divBdr>
      <w:divsChild>
        <w:div w:id="796725099">
          <w:marLeft w:val="0"/>
          <w:marRight w:val="0"/>
          <w:marTop w:val="0"/>
          <w:marBottom w:val="0"/>
          <w:divBdr>
            <w:top w:val="none" w:sz="0" w:space="0" w:color="auto"/>
            <w:left w:val="none" w:sz="0" w:space="0" w:color="auto"/>
            <w:bottom w:val="none" w:sz="0" w:space="0" w:color="auto"/>
            <w:right w:val="none" w:sz="0" w:space="0" w:color="auto"/>
          </w:divBdr>
          <w:divsChild>
            <w:div w:id="1202323467">
              <w:marLeft w:val="0"/>
              <w:marRight w:val="0"/>
              <w:marTop w:val="0"/>
              <w:marBottom w:val="0"/>
              <w:divBdr>
                <w:top w:val="none" w:sz="0" w:space="0" w:color="auto"/>
                <w:left w:val="none" w:sz="0" w:space="0" w:color="auto"/>
                <w:bottom w:val="none" w:sz="0" w:space="0" w:color="auto"/>
                <w:right w:val="none" w:sz="0" w:space="0" w:color="auto"/>
              </w:divBdr>
              <w:divsChild>
                <w:div w:id="10502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449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yperlink" Target="https://www.eeef.lu/news-detail/la-spl-oser-realise-ses-premiers-investissements-soutenus-par-lassistance-technique-du-feee-et-des-financements-de-marche.html" TargetMode="External"/><Relationship Id="rId47" Type="http://schemas.openxmlformats.org/officeDocument/2006/relationships/image" Target="media/image21.png"/><Relationship Id="rId50" Type="http://schemas.openxmlformats.org/officeDocument/2006/relationships/image" Target="media/image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1.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oter" Target="footer6.xml"/><Relationship Id="rId40" Type="http://schemas.openxmlformats.org/officeDocument/2006/relationships/hyperlink" Target="mailto:philippe.truchy@spl-oser.fr" TargetMode="External"/><Relationship Id="rId45" Type="http://schemas.openxmlformats.org/officeDocument/2006/relationships/hyperlink" Target="https://www.fi-compass.eu/publication/case-studies/financial-instruments-urban-development-portugal-ifrru-2020-case-study"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6.png"/><Relationship Id="rId44" Type="http://schemas.openxmlformats.org/officeDocument/2006/relationships/hyperlink" Target="mailto:tgmarques@ifrru.ihru.p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4.xml"/><Relationship Id="rId43" Type="http://schemas.openxmlformats.org/officeDocument/2006/relationships/chart" Target="charts/chart3.xml"/><Relationship Id="rId48" Type="http://schemas.openxmlformats.org/officeDocument/2006/relationships/hyperlink" Target="mailto:gedjessicaandalucia@gedcapital.com" TargetMode="External"/><Relationship Id="rId8" Type="http://schemas.openxmlformats.org/officeDocument/2006/relationships/settings" Target="settings.xml"/><Relationship Id="rId51" Type="http://schemas.openxmlformats.org/officeDocument/2006/relationships/hyperlink" Target="http://www.technopolis-group.com"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chart" Target="charts/chart2.xml"/><Relationship Id="rId38" Type="http://schemas.openxmlformats.org/officeDocument/2006/relationships/image" Target="media/image19.png"/><Relationship Id="rId46" Type="http://schemas.openxmlformats.org/officeDocument/2006/relationships/hyperlink" Target="https://ifrru.ihru.pt/" TargetMode="External"/><Relationship Id="rId20" Type="http://schemas.openxmlformats.org/officeDocument/2006/relationships/footer" Target="footer4.xml"/><Relationship Id="rId41" Type="http://schemas.openxmlformats.org/officeDocument/2006/relationships/hyperlink" Target="https://spl-oser.f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footer" Target="footer5.xml"/><Relationship Id="rId49" Type="http://schemas.openxmlformats.org/officeDocument/2006/relationships/hyperlink" Target="https://www.espon.eu/sites/default/files/attachments/Andalucia_case%20study.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avoixdunord.fr/327587/article/2018-03-02/la-municipalite-accorde-des-garanties-d-emprunt-aux-bailleurs-sociaux" TargetMode="External"/><Relationship Id="rId18" Type="http://schemas.openxmlformats.org/officeDocument/2006/relationships/hyperlink" Target="https://www.calculeo.fr/Subventions/La-TVA-reduite" TargetMode="External"/><Relationship Id="rId26" Type="http://schemas.openxmlformats.org/officeDocument/2006/relationships/hyperlink" Target="https://groupe.actionlogement.fr/lancement-des-3-premieres-mesures-du-plan-d-investissement-volontaire" TargetMode="External"/><Relationship Id="rId39" Type="http://schemas.openxmlformats.org/officeDocument/2006/relationships/hyperlink" Target="https://dreal.statistiques.developpement-durable.gouv.fr/parc_social/2020/hauts_de_france/" TargetMode="External"/><Relationship Id="rId21" Type="http://schemas.openxmlformats.org/officeDocument/2006/relationships/hyperlink" Target="https://www.environnement-magazine.fr/energie/article/2020/02/20/127966/maprimerenov-peut-mieux-faire" TargetMode="External"/><Relationship Id="rId34" Type="http://schemas.openxmlformats.org/officeDocument/2006/relationships/hyperlink" Target="http://www.cerc-hautsdefrance.fr/wp-content/uploads/2020/10/BD-Annuel-HDF_2019_VF.pdf" TargetMode="External"/><Relationship Id="rId42" Type="http://schemas.openxmlformats.org/officeDocument/2006/relationships/hyperlink" Target="https://www.actu-environnement.com/ae/news/filiere-bois-RE2020-construction-neuve-mixite-materiaux-beton-bbca-icade-btpconsultants-fibois-37209.php4" TargetMode="External"/><Relationship Id="rId47" Type="http://schemas.openxmlformats.org/officeDocument/2006/relationships/hyperlink" Target="https://cd2e.com/wp-content/uploads/2021/02/Rapport-BATIMENT-DURABLE-2020.pdf" TargetMode="External"/><Relationship Id="rId7" Type="http://schemas.openxmlformats.org/officeDocument/2006/relationships/hyperlink" Target="https://www.novethic.fr/actualite/finance-durable/isr-rse/40-milliards-pour-transformer-l-economie-le-projet-en-quatre-ans-de-la-banque-du-climat-148965.html" TargetMode="External"/><Relationship Id="rId2" Type="http://schemas.openxmlformats.org/officeDocument/2006/relationships/hyperlink" Target="https://www.ecologie.gouv.fr/france-relance-transition-ecologique" TargetMode="External"/><Relationship Id="rId16" Type="http://schemas.openxmlformats.org/officeDocument/2006/relationships/hyperlink" Target="https://api.faire.gouv.fr/sites/default/files/2020-03/ADEME-AidesFinancieres_Web14.pdf" TargetMode="External"/><Relationship Id="rId29" Type="http://schemas.openxmlformats.org/officeDocument/2006/relationships/hyperlink" Target="https://opendata.reseaux-energies.fr" TargetMode="External"/><Relationship Id="rId1" Type="http://schemas.openxmlformats.org/officeDocument/2006/relationships/hyperlink" Target="https://www.lesechos.fr/politique-societe/societe/emmanuel-macron-promet-une-ecologie-du-mieux-sans-entrer-dans-le-detail-1223569" TargetMode="External"/><Relationship Id="rId6" Type="http://schemas.openxmlformats.org/officeDocument/2006/relationships/hyperlink" Target="https://www.banquedesterritoires.fr/pret-gpi-ambre" TargetMode="External"/><Relationship Id="rId11" Type="http://schemas.openxmlformats.org/officeDocument/2006/relationships/hyperlink" Target="https://www.banquedesterritoires.fr/la-caisse-des-depots-sinvestit-dans-la-relance" TargetMode="External"/><Relationship Id="rId24" Type="http://schemas.openxmlformats.org/officeDocument/2006/relationships/hyperlink" Target="https://www.economie.gouv.fr/cedef/ma-prime-renov" TargetMode="External"/><Relationship Id="rId32" Type="http://schemas.openxmlformats.org/officeDocument/2006/relationships/hyperlink" Target="https://cd2e.com/wp-content/uploads/2021/02/Rapport-BATIMENT-DURABLE-2020.pdf" TargetMode="External"/><Relationship Id="rId37" Type="http://schemas.openxmlformats.org/officeDocument/2006/relationships/hyperlink" Target="https://cd2e.com/wp-content/uploads/2021/02/Rapport-BATIMENT-DURABLE-2020.pdf" TargetMode="External"/><Relationship Id="rId40" Type="http://schemas.openxmlformats.org/officeDocument/2006/relationships/hyperlink" Target="http://www.cerc-hautsdefrance.fr/wp-content/uploads/2020/10/BD-Annuel-HDF_2019_VF.pdf" TargetMode="External"/><Relationship Id="rId45" Type="http://schemas.openxmlformats.org/officeDocument/2006/relationships/hyperlink" Target="https://www.statistiques.developpement-durable.gouv.fr/sites/default/files/2020-09/document_travail_49_parc_logements_consommation_energie_septembre2020_0.pdf" TargetMode="External"/><Relationship Id="rId5" Type="http://schemas.openxmlformats.org/officeDocument/2006/relationships/hyperlink" Target="https://www.banquedesterritoires.fr/grand-plan-dinvestissement-10-milliards-deuros-pour-les-collectivites" TargetMode="External"/><Relationship Id="rId15" Type="http://schemas.openxmlformats.org/officeDocument/2006/relationships/hyperlink" Target="https://www.cohesion-territoires.gouv.fr/sites/default/files/2019-07/R&#233;novation_Boite%20&#224;%20outils%20des%20aides.pdf" TargetMode="External"/><Relationship Id="rId23" Type="http://schemas.openxmlformats.org/officeDocument/2006/relationships/hyperlink" Target="https://www.economie.gouv.fr/plan-de-relance/renovation-energetique" TargetMode="External"/><Relationship Id="rId28" Type="http://schemas.openxmlformats.org/officeDocument/2006/relationships/hyperlink" Target="https://www.effy.fr/flash-info/eco-ptz-une-aide-a-reformer" TargetMode="External"/><Relationship Id="rId36" Type="http://schemas.openxmlformats.org/officeDocument/2006/relationships/hyperlink" Target="https://dreal.statistiques.developpement-durable.gouv.fr/parc_social/2020/hauts_de_france/" TargetMode="External"/><Relationship Id="rId10" Type="http://schemas.openxmlformats.org/officeDocument/2006/relationships/hyperlink" Target="https://www.economie.gouv.fr/files/files/directions_services/plan-de-relance/annexe-fiche-mesures.pdf" TargetMode="External"/><Relationship Id="rId19" Type="http://schemas.openxmlformats.org/officeDocument/2006/relationships/hyperlink" Target="https://www.calculeo.fr/Subventions/Pacte-Energie-Solidarite" TargetMode="External"/><Relationship Id="rId31" Type="http://schemas.openxmlformats.org/officeDocument/2006/relationships/hyperlink" Target="https://www.engie-cofely.fr/actualites/decret-tertiaire/" TargetMode="External"/><Relationship Id="rId44" Type="http://schemas.openxmlformats.org/officeDocument/2006/relationships/hyperlink" Target="http://www.cerc-hautsdefrance.fr/wp-content/uploads/2020/10/BD-Annuel-HDF_2019_VF.pdf" TargetMode="External"/><Relationship Id="rId4" Type="http://schemas.openxmlformats.org/officeDocument/2006/relationships/hyperlink" Target="https://www.cerema.fr/fr/actualites/intracting-demarche-financer-renovation-energetique" TargetMode="External"/><Relationship Id="rId9" Type="http://schemas.openxmlformats.org/officeDocument/2006/relationships/hyperlink" Target="https://www.ecologie.gouv.fr/leco-pret-logement-social-eco-pls" TargetMode="External"/><Relationship Id="rId14" Type="http://schemas.openxmlformats.org/officeDocument/2006/relationships/hyperlink" Target="http://www.energiesprong.fr/" TargetMode="External"/><Relationship Id="rId22" Type="http://schemas.openxmlformats.org/officeDocument/2006/relationships/hyperlink" Target="https://www.lesechos.fr/politique-societe/societe/emmanuel-macron-promet-une-ecologie-du-mieux-sans-entrer-dans-le-detail-1223569" TargetMode="External"/><Relationship Id="rId27" Type="http://schemas.openxmlformats.org/officeDocument/2006/relationships/hyperlink" Target="https://www.infoenergie-centre.org/eco-pret-a-taux-zero.html" TargetMode="External"/><Relationship Id="rId30" Type="http://schemas.openxmlformats.org/officeDocument/2006/relationships/hyperlink" Target="https://www.geothermies.fr/outils/guides/cartes-des-installations-de-geothermie-en-hauts-de-france-2019" TargetMode="External"/><Relationship Id="rId35" Type="http://schemas.openxmlformats.org/officeDocument/2006/relationships/hyperlink" Target="http://www.cerc-hautsdefrance.fr/wp-content/uploads/2020/10/BD-Annuel-HDF_2019_VF.pdf" TargetMode="External"/><Relationship Id="rId43" Type="http://schemas.openxmlformats.org/officeDocument/2006/relationships/hyperlink" Target="https://hautsdefrance.cci.fr/content/uploads/sites/6/2020/09/chiffres-cles-hdf-2020-21x21-1.pdf" TargetMode="External"/><Relationship Id="rId48" Type="http://schemas.openxmlformats.org/officeDocument/2006/relationships/hyperlink" Target="https://cd2e.com/wp-content/uploads/2021/02/Rapport-BATIMENT-DURABLE-2020.pdf" TargetMode="External"/><Relationship Id="rId8" Type="http://schemas.openxmlformats.org/officeDocument/2006/relationships/hyperlink" Target="https://www.horizon2020.gouv.fr/cid150575/european-green-deal-un-appel-d-1-milliard-d-euros-en-juillet.html" TargetMode="External"/><Relationship Id="rId3" Type="http://schemas.openxmlformats.org/officeDocument/2006/relationships/hyperlink" Target="https://www.calculeo.fr/Subventions/Prime-energie" TargetMode="External"/><Relationship Id="rId12" Type="http://schemas.openxmlformats.org/officeDocument/2006/relationships/hyperlink" Target="https://site.arkea-banque-ei.com/nos-expertises/institutionnels-et-collectivites/nos-services/" TargetMode="External"/><Relationship Id="rId17" Type="http://schemas.openxmlformats.org/officeDocument/2006/relationships/hyperlink" Target="https://www.pass-renovation.hautsdefrance.fr" TargetMode="External"/><Relationship Id="rId25" Type="http://schemas.openxmlformats.org/officeDocument/2006/relationships/hyperlink" Target="https://www.actionlogement.fr/aide-renovation-energetique" TargetMode="External"/><Relationship Id="rId33" Type="http://schemas.openxmlformats.org/officeDocument/2006/relationships/hyperlink" Target="https://cd2e.com/wp-content/uploads/2021/02/Rapport-BATIMENT-DURABLE-2020.pdf" TargetMode="External"/><Relationship Id="rId38" Type="http://schemas.openxmlformats.org/officeDocument/2006/relationships/hyperlink" Target="https://cd2e.com/wp-content/uploads/2021/02/Rapport-BATIMENT-DURABLE-2020.pdf" TargetMode="External"/><Relationship Id="rId46" Type="http://schemas.openxmlformats.org/officeDocument/2006/relationships/hyperlink" Target="http://www.hauts-de-france.developpement-durable.gouv.fr/?Atlas-du-parc-prive-novembre-2019" TargetMode="External"/><Relationship Id="rId20" Type="http://schemas.openxmlformats.org/officeDocument/2006/relationships/hyperlink" Target="https://www.economie.gouv.fr/particuliers/prime-renovation-energetique" TargetMode="External"/><Relationship Id="rId41" Type="http://schemas.openxmlformats.org/officeDocument/2006/relationships/hyperlink" Target="https://www.lemonde.fr/economie/article/2021/05/26/penurie-et-flambee-des-prix-la-filiere-bois-au-bord-de-la-crise-de-nerfs_6081522_323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ieu%20Boulestreau\Documents\000-%20Nouveaux%20documents%20Word\Technopolis%202020%20FR%20report%20(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33760\Downloads\202001.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Variation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Eolienne en mer</c:v>
                </c:pt>
                <c:pt idx="1">
                  <c:v>Energie radiative du soleil</c:v>
                </c:pt>
                <c:pt idx="2">
                  <c:v>Eolienne terrestre</c:v>
                </c:pt>
                <c:pt idx="3">
                  <c:v>Méthanisation</c:v>
                </c:pt>
                <c:pt idx="4">
                  <c:v>Hydroélectricité (dont énergie marémotrice)</c:v>
                </c:pt>
              </c:strCache>
            </c:strRef>
          </c:cat>
          <c:val>
            <c:numRef>
              <c:f>Feuil1!$B$2:$B$6</c:f>
              <c:numCache>
                <c:formatCode>0%</c:formatCode>
                <c:ptCount val="5"/>
                <c:pt idx="0">
                  <c:v>1.1666666666666667</c:v>
                </c:pt>
                <c:pt idx="1">
                  <c:v>0.74626865671641784</c:v>
                </c:pt>
                <c:pt idx="2">
                  <c:v>0.37759336099585067</c:v>
                </c:pt>
                <c:pt idx="3">
                  <c:v>0.25925925925925924</c:v>
                </c:pt>
                <c:pt idx="4">
                  <c:v>2.7237354085603085E-2</c:v>
                </c:pt>
              </c:numCache>
            </c:numRef>
          </c:val>
          <c:extLst>
            <c:ext xmlns:c16="http://schemas.microsoft.com/office/drawing/2014/chart" uri="{C3380CC4-5D6E-409C-BE32-E72D297353CC}">
              <c16:uniqueId val="{00000000-FD1A-468E-B61D-EDFAFC1624E1}"/>
            </c:ext>
          </c:extLst>
        </c:ser>
        <c:dLbls>
          <c:showLegendKey val="0"/>
          <c:showVal val="0"/>
          <c:showCatName val="0"/>
          <c:showSerName val="0"/>
          <c:showPercent val="0"/>
          <c:showBubbleSize val="0"/>
        </c:dLbls>
        <c:gapWidth val="219"/>
        <c:overlap val="-27"/>
        <c:axId val="596355272"/>
        <c:axId val="628452648"/>
      </c:barChart>
      <c:catAx>
        <c:axId val="59635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28452648"/>
        <c:crosses val="autoZero"/>
        <c:auto val="1"/>
        <c:lblAlgn val="ctr"/>
        <c:lblOffset val="100"/>
        <c:noMultiLvlLbl val="0"/>
      </c:catAx>
      <c:valAx>
        <c:axId val="6284526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355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Feuil1!$C$16389</c:f>
              <c:strCache>
                <c:ptCount val="1"/>
                <c:pt idx="0">
                  <c:v>Production totale de biogaz en TWh</c:v>
                </c:pt>
              </c:strCache>
            </c:strRef>
          </c:tx>
          <c:spPr>
            <a:solidFill>
              <a:schemeClr val="accent6"/>
            </a:solidFill>
            <a:ln>
              <a:noFill/>
            </a:ln>
            <a:effectLst/>
          </c:spPr>
          <c:invertIfNegative val="0"/>
          <c:dPt>
            <c:idx val="8"/>
            <c:invertIfNegative val="0"/>
            <c:bubble3D val="0"/>
            <c:spPr>
              <a:solidFill>
                <a:schemeClr val="accent3"/>
              </a:solidFill>
              <a:ln>
                <a:noFill/>
              </a:ln>
              <a:effectLst/>
            </c:spPr>
            <c:extLst>
              <c:ext xmlns:c16="http://schemas.microsoft.com/office/drawing/2014/chart" uri="{C3380CC4-5D6E-409C-BE32-E72D297353CC}">
                <c16:uniqueId val="{00000001-60E5-46B1-946B-AAEAA2DFE9E7}"/>
              </c:ext>
            </c:extLst>
          </c:dPt>
          <c:dPt>
            <c:idx val="9"/>
            <c:invertIfNegative val="0"/>
            <c:bubble3D val="0"/>
            <c:spPr>
              <a:solidFill>
                <a:schemeClr val="tx2"/>
              </a:solidFill>
              <a:ln>
                <a:noFill/>
              </a:ln>
              <a:effectLst/>
            </c:spPr>
            <c:extLst>
              <c:ext xmlns:c16="http://schemas.microsoft.com/office/drawing/2014/chart" uri="{C3380CC4-5D6E-409C-BE32-E72D297353CC}">
                <c16:uniqueId val="{00000003-60E5-46B1-946B-AAEAA2DFE9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Feuil1!$A$16390:$A$16399</c:f>
              <c:numCache>
                <c:formatCode>General</c:formatCode>
                <c:ptCount val="10"/>
                <c:pt idx="0">
                  <c:v>2010</c:v>
                </c:pt>
                <c:pt idx="1">
                  <c:v>2011</c:v>
                </c:pt>
                <c:pt idx="2">
                  <c:v>2012</c:v>
                </c:pt>
                <c:pt idx="3">
                  <c:v>2013</c:v>
                </c:pt>
                <c:pt idx="4">
                  <c:v>2014</c:v>
                </c:pt>
                <c:pt idx="5">
                  <c:v>2015</c:v>
                </c:pt>
                <c:pt idx="6">
                  <c:v>2016</c:v>
                </c:pt>
                <c:pt idx="7">
                  <c:v>2017</c:v>
                </c:pt>
                <c:pt idx="8">
                  <c:v>2026</c:v>
                </c:pt>
                <c:pt idx="9">
                  <c:v>2031</c:v>
                </c:pt>
              </c:numCache>
            </c:numRef>
          </c:cat>
          <c:val>
            <c:numRef>
              <c:f>Feuil1!$C$16390:$C$16399</c:f>
              <c:numCache>
                <c:formatCode>0.0</c:formatCode>
                <c:ptCount val="10"/>
                <c:pt idx="0">
                  <c:v>0.129</c:v>
                </c:pt>
                <c:pt idx="1">
                  <c:v>0.17199999999999999</c:v>
                </c:pt>
                <c:pt idx="2">
                  <c:v>0.215</c:v>
                </c:pt>
                <c:pt idx="3">
                  <c:v>0.25700000000000001</c:v>
                </c:pt>
                <c:pt idx="4">
                  <c:v>0.29799999999999999</c:v>
                </c:pt>
                <c:pt idx="5">
                  <c:v>0.34</c:v>
                </c:pt>
                <c:pt idx="6">
                  <c:v>0.36699999999999999</c:v>
                </c:pt>
                <c:pt idx="7">
                  <c:v>0.747</c:v>
                </c:pt>
                <c:pt idx="8">
                  <c:v>4.2839999999999998</c:v>
                </c:pt>
                <c:pt idx="9">
                  <c:v>9.0530000000000008</c:v>
                </c:pt>
              </c:numCache>
            </c:numRef>
          </c:val>
          <c:extLst>
            <c:ext xmlns:c16="http://schemas.microsoft.com/office/drawing/2014/chart" uri="{C3380CC4-5D6E-409C-BE32-E72D297353CC}">
              <c16:uniqueId val="{00000004-60E5-46B1-946B-AAEAA2DFE9E7}"/>
            </c:ext>
          </c:extLst>
        </c:ser>
        <c:dLbls>
          <c:dLblPos val="outEnd"/>
          <c:showLegendKey val="0"/>
          <c:showVal val="1"/>
          <c:showCatName val="0"/>
          <c:showSerName val="0"/>
          <c:showPercent val="0"/>
          <c:showBubbleSize val="0"/>
        </c:dLbls>
        <c:gapWidth val="219"/>
        <c:overlap val="-27"/>
        <c:axId val="628453432"/>
        <c:axId val="628453824"/>
      </c:barChart>
      <c:catAx>
        <c:axId val="62845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28453824"/>
        <c:crosses val="autoZero"/>
        <c:auto val="1"/>
        <c:lblAlgn val="ctr"/>
        <c:lblOffset val="100"/>
        <c:noMultiLvlLbl val="0"/>
      </c:catAx>
      <c:valAx>
        <c:axId val="628453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453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0746573344998E-2"/>
          <c:y val="4.1193027028205105E-2"/>
          <c:w val="0.48810185185185195"/>
          <c:h val="0.83376828786081469"/>
        </c:manualLayout>
      </c:layout>
      <c:pieChart>
        <c:varyColors val="1"/>
        <c:ser>
          <c:idx val="0"/>
          <c:order val="0"/>
          <c:tx>
            <c:strRef>
              <c:f>Feuil1!$B$1</c:f>
              <c:strCache>
                <c:ptCount val="1"/>
                <c:pt idx="0">
                  <c:v>Montants (en 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65D-4CEC-BB08-20DEA1CB7D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65D-4CEC-BB08-20DEA1CB7D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65D-4CEC-BB08-20DEA1CB7D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65D-4CEC-BB08-20DEA1CB7D6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65D-4CEC-BB08-20DEA1CB7D6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65D-4CEC-BB08-20DEA1CB7D63}"/>
              </c:ext>
            </c:extLst>
          </c:dPt>
          <c:dLbls>
            <c:dLbl>
              <c:idx val="0"/>
              <c:layout>
                <c:manualLayout>
                  <c:x val="-1.793124817731117E-2"/>
                  <c:y val="9.08373953255842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5D-4CEC-BB08-20DEA1CB7D63}"/>
                </c:ext>
              </c:extLst>
            </c:dLbl>
            <c:dLbl>
              <c:idx val="1"/>
              <c:layout>
                <c:manualLayout>
                  <c:x val="-6.3544218431029448E-2"/>
                  <c:y val="0.1869972503437069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5D-4CEC-BB08-20DEA1CB7D63}"/>
                </c:ext>
              </c:extLst>
            </c:dLbl>
            <c:dLbl>
              <c:idx val="2"/>
              <c:layout>
                <c:manualLayout>
                  <c:x val="-1.8926071741032457E-2"/>
                  <c:y val="0.1051827896512935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5D-4CEC-BB08-20DEA1CB7D6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Feuil1!$A$2:$A$7</c:f>
              <c:strCache>
                <c:ptCount val="6"/>
                <c:pt idx="0">
                  <c:v>FEDER</c:v>
                </c:pt>
                <c:pt idx="1">
                  <c:v>Fonds de cohésion</c:v>
                </c:pt>
                <c:pt idx="2">
                  <c:v>Co-financement national</c:v>
                </c:pt>
                <c:pt idx="3">
                  <c:v>Financement privés</c:v>
                </c:pt>
                <c:pt idx="4">
                  <c:v>Prêt CED</c:v>
                </c:pt>
                <c:pt idx="5">
                  <c:v>Prêt EIB</c:v>
                </c:pt>
              </c:strCache>
            </c:strRef>
          </c:cat>
          <c:val>
            <c:numRef>
              <c:f>Feuil1!$B$2:$B$7</c:f>
              <c:numCache>
                <c:formatCode>General</c:formatCode>
                <c:ptCount val="6"/>
                <c:pt idx="0">
                  <c:v>64</c:v>
                </c:pt>
                <c:pt idx="1">
                  <c:v>38</c:v>
                </c:pt>
                <c:pt idx="2">
                  <c:v>20</c:v>
                </c:pt>
                <c:pt idx="3">
                  <c:v>702</c:v>
                </c:pt>
                <c:pt idx="4">
                  <c:v>80</c:v>
                </c:pt>
                <c:pt idx="5">
                  <c:v>500</c:v>
                </c:pt>
              </c:numCache>
            </c:numRef>
          </c:val>
          <c:extLst>
            <c:ext xmlns:c16="http://schemas.microsoft.com/office/drawing/2014/chart" uri="{C3380CC4-5D6E-409C-BE32-E72D297353CC}">
              <c16:uniqueId val="{0000000C-F65D-4CEC-BB08-20DEA1CB7D6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3D6C17310444DCAA6067E4646241F7"/>
        <w:category>
          <w:name w:val="Général"/>
          <w:gallery w:val="placeholder"/>
        </w:category>
        <w:types>
          <w:type w:val="bbPlcHdr"/>
        </w:types>
        <w:behaviors>
          <w:behavior w:val="content"/>
        </w:behaviors>
        <w:guid w:val="{65938699-7C7E-4728-B174-FE20498D4A6D}"/>
      </w:docPartPr>
      <w:docPartBody>
        <w:p w:rsidR="00AB38D5" w:rsidRDefault="00AB38D5">
          <w:pPr>
            <w:pStyle w:val="A73D6C17310444DCAA6067E4646241F7"/>
          </w:pPr>
          <w:r>
            <w:rPr>
              <w:rStyle w:val="PlaceholderText"/>
            </w:rPr>
            <w:t>Month Year</w:t>
          </w:r>
        </w:p>
      </w:docPartBody>
    </w:docPart>
    <w:docPart>
      <w:docPartPr>
        <w:name w:val="713178053954430894B59C4FAFB36C4A"/>
        <w:category>
          <w:name w:val="Général"/>
          <w:gallery w:val="placeholder"/>
        </w:category>
        <w:types>
          <w:type w:val="bbPlcHdr"/>
        </w:types>
        <w:behaviors>
          <w:behavior w:val="content"/>
        </w:behaviors>
        <w:guid w:val="{723BE219-1541-4870-AACE-D5E2289052B9}"/>
      </w:docPartPr>
      <w:docPartBody>
        <w:p w:rsidR="00085E1D" w:rsidRDefault="003B0802" w:rsidP="003B0802">
          <w:pPr>
            <w:pStyle w:val="713178053954430894B59C4FAFB36C4A"/>
          </w:pPr>
          <w:r>
            <w:rPr>
              <w:rStyle w:val="PlaceholderText"/>
            </w:rPr>
            <w:t>Month Year</w:t>
          </w:r>
        </w:p>
      </w:docPartBody>
    </w:docPart>
    <w:docPart>
      <w:docPartPr>
        <w:name w:val="CF6349D75C6244399DF63B56179E7445"/>
        <w:category>
          <w:name w:val="Général"/>
          <w:gallery w:val="placeholder"/>
        </w:category>
        <w:types>
          <w:type w:val="bbPlcHdr"/>
        </w:types>
        <w:behaviors>
          <w:behavior w:val="content"/>
        </w:behaviors>
        <w:guid w:val="{C138ECB5-C29F-4982-82EE-BE1B6803E876}"/>
      </w:docPartPr>
      <w:docPartBody>
        <w:p w:rsidR="00085E1D" w:rsidRDefault="003B0802" w:rsidP="003B0802">
          <w:pPr>
            <w:pStyle w:val="CF6349D75C6244399DF63B56179E7445"/>
          </w:pPr>
          <w:r w:rsidRPr="00E5671C">
            <w:t>Click to add subject / sub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eiryo">
    <w:altName w:val="メイリオ"/>
    <w:panose1 w:val="00000000000000000000"/>
    <w:charset w:val="80"/>
    <w:family w:val="roman"/>
    <w:notTrueType/>
    <w:pitch w:val="default"/>
  </w:font>
  <w:font w:name="Century Goth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EYInterstate Light">
    <w:altName w:val="Calibri"/>
    <w:charset w:val="CC"/>
    <w:family w:val="auto"/>
    <w:pitch w:val="variable"/>
    <w:sig w:usb0="A00002AF" w:usb1="5000206A"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ppleSystemUIFontBold">
    <w:altName w:val="Calibri"/>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38D5"/>
    <w:rsid w:val="000254A1"/>
    <w:rsid w:val="00081033"/>
    <w:rsid w:val="00085E1D"/>
    <w:rsid w:val="000A45E3"/>
    <w:rsid w:val="000B6786"/>
    <w:rsid w:val="000D78B6"/>
    <w:rsid w:val="000E1F1B"/>
    <w:rsid w:val="00112476"/>
    <w:rsid w:val="00115A16"/>
    <w:rsid w:val="001221EF"/>
    <w:rsid w:val="00124D6F"/>
    <w:rsid w:val="00171F40"/>
    <w:rsid w:val="001832E5"/>
    <w:rsid w:val="00220A63"/>
    <w:rsid w:val="0024656D"/>
    <w:rsid w:val="002E20D7"/>
    <w:rsid w:val="003373CE"/>
    <w:rsid w:val="0036372A"/>
    <w:rsid w:val="003A204F"/>
    <w:rsid w:val="003B0802"/>
    <w:rsid w:val="004347C4"/>
    <w:rsid w:val="004433E9"/>
    <w:rsid w:val="00444D63"/>
    <w:rsid w:val="0044618E"/>
    <w:rsid w:val="004610FA"/>
    <w:rsid w:val="004653F9"/>
    <w:rsid w:val="00471897"/>
    <w:rsid w:val="004839DD"/>
    <w:rsid w:val="004B0F94"/>
    <w:rsid w:val="0052490B"/>
    <w:rsid w:val="005261EB"/>
    <w:rsid w:val="0055666E"/>
    <w:rsid w:val="00583AC7"/>
    <w:rsid w:val="005928F3"/>
    <w:rsid w:val="005B6099"/>
    <w:rsid w:val="005D271A"/>
    <w:rsid w:val="005F1216"/>
    <w:rsid w:val="0067048D"/>
    <w:rsid w:val="00673072"/>
    <w:rsid w:val="00696EF6"/>
    <w:rsid w:val="0071397D"/>
    <w:rsid w:val="00736679"/>
    <w:rsid w:val="007906AF"/>
    <w:rsid w:val="007F5928"/>
    <w:rsid w:val="00830449"/>
    <w:rsid w:val="008716BF"/>
    <w:rsid w:val="00920DD1"/>
    <w:rsid w:val="00931039"/>
    <w:rsid w:val="009315D7"/>
    <w:rsid w:val="0097324A"/>
    <w:rsid w:val="009950B3"/>
    <w:rsid w:val="00996A00"/>
    <w:rsid w:val="009C6632"/>
    <w:rsid w:val="009D4A46"/>
    <w:rsid w:val="009E1E43"/>
    <w:rsid w:val="00A72BFF"/>
    <w:rsid w:val="00A74141"/>
    <w:rsid w:val="00AB2043"/>
    <w:rsid w:val="00AB38D5"/>
    <w:rsid w:val="00AE7DA3"/>
    <w:rsid w:val="00B02618"/>
    <w:rsid w:val="00BC0BDF"/>
    <w:rsid w:val="00BF5FBF"/>
    <w:rsid w:val="00C0680D"/>
    <w:rsid w:val="00C139D5"/>
    <w:rsid w:val="00C14ABF"/>
    <w:rsid w:val="00D13FCE"/>
    <w:rsid w:val="00D146A9"/>
    <w:rsid w:val="00D376BB"/>
    <w:rsid w:val="00D468BC"/>
    <w:rsid w:val="00D515BB"/>
    <w:rsid w:val="00D562AC"/>
    <w:rsid w:val="00DB5F96"/>
    <w:rsid w:val="00DB76A2"/>
    <w:rsid w:val="00DC2244"/>
    <w:rsid w:val="00DD2D37"/>
    <w:rsid w:val="00DD3D85"/>
    <w:rsid w:val="00DD733E"/>
    <w:rsid w:val="00DD7C1D"/>
    <w:rsid w:val="00E371BF"/>
    <w:rsid w:val="00EA1FF9"/>
    <w:rsid w:val="00EC78D2"/>
    <w:rsid w:val="00ED51D8"/>
    <w:rsid w:val="00ED5B4B"/>
    <w:rsid w:val="00EE50C6"/>
    <w:rsid w:val="00F370C3"/>
    <w:rsid w:val="00F421E4"/>
    <w:rsid w:val="00F4317F"/>
    <w:rsid w:val="00F5199E"/>
    <w:rsid w:val="00F946A9"/>
    <w:rsid w:val="00FC2D7E"/>
    <w:rsid w:val="00FD400F"/>
    <w:rsid w:val="00FE090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0802"/>
    <w:rPr>
      <w:color w:val="808080"/>
    </w:rPr>
  </w:style>
  <w:style w:type="paragraph" w:customStyle="1" w:styleId="A73D6C17310444DCAA6067E4646241F7">
    <w:name w:val="A73D6C17310444DCAA6067E4646241F7"/>
  </w:style>
  <w:style w:type="paragraph" w:customStyle="1" w:styleId="713178053954430894B59C4FAFB36C4A">
    <w:name w:val="713178053954430894B59C4FAFB36C4A"/>
    <w:rsid w:val="003B0802"/>
  </w:style>
  <w:style w:type="paragraph" w:customStyle="1" w:styleId="CF6349D75C6244399DF63B56179E7445">
    <w:name w:val="CF6349D75C6244399DF63B56179E7445"/>
    <w:rsid w:val="003B08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Technopolis DEF">
  <a:themeElements>
    <a:clrScheme name="Technopolis Designer set">
      <a:dk1>
        <a:srgbClr val="000000"/>
      </a:dk1>
      <a:lt1>
        <a:srgbClr val="FFFFFF"/>
      </a:lt1>
      <a:dk2>
        <a:srgbClr val="CF342C"/>
      </a:dk2>
      <a:lt2>
        <a:srgbClr val="9D9D9D"/>
      </a:lt2>
      <a:accent1>
        <a:srgbClr val="C73C3A"/>
      </a:accent1>
      <a:accent2>
        <a:srgbClr val="6698AF"/>
      </a:accent2>
      <a:accent3>
        <a:srgbClr val="F8C558"/>
      </a:accent3>
      <a:accent4>
        <a:srgbClr val="A69EC1"/>
      </a:accent4>
      <a:accent5>
        <a:srgbClr val="BAD7DA"/>
      </a:accent5>
      <a:accent6>
        <a:srgbClr val="4E9F82"/>
      </a:accent6>
      <a:hlink>
        <a:srgbClr val="C73C3A"/>
      </a:hlink>
      <a:folHlink>
        <a:srgbClr val="A3342F"/>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Times" pitchFamily="-65"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Times" pitchFamily="-65" charset="0"/>
          </a:defRPr>
        </a:defPPr>
      </a:lstStyle>
    </a:lnDef>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raClrScheme>
      <a:clrScheme name="Office Theme 1">
        <a:dk1>
          <a:srgbClr val="000000"/>
        </a:dk1>
        <a:lt1>
          <a:srgbClr val="FFFFFF"/>
        </a:lt1>
        <a:dk2>
          <a:srgbClr val="000000"/>
        </a:dk2>
        <a:lt2>
          <a:srgbClr val="808080"/>
        </a:lt2>
        <a:accent1>
          <a:srgbClr val="FF0000"/>
        </a:accent1>
        <a:accent2>
          <a:srgbClr val="808080"/>
        </a:accent2>
        <a:accent3>
          <a:srgbClr val="FFFFFF"/>
        </a:accent3>
        <a:accent4>
          <a:srgbClr val="000000"/>
        </a:accent4>
        <a:accent5>
          <a:srgbClr val="FFAAAA"/>
        </a:accent5>
        <a:accent6>
          <a:srgbClr val="737373"/>
        </a:accent6>
        <a:hlink>
          <a:srgbClr val="E47B61"/>
        </a:hlink>
        <a:folHlink>
          <a:srgbClr val="E3E5E4"/>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Technopolis DEF" id="{7612B676-7B90-4043-A215-97A71A0D41FA}" vid="{6C9373B4-B0CF-4123-85B6-6F9B9A6A4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Janvier 2021</Abstract>
  <CompanyAddress/>
  <CompanyPhone/>
  <CompanyFax/>
  <CompanyEmail/>
</CoverPageProperties>
</file>

<file path=customXml/item10.xml><?xml version="1.0" encoding="utf-8"?>
<ct:contentTypeSchema xmlns:ct="http://schemas.microsoft.com/office/2006/metadata/contentType" xmlns:ma="http://schemas.microsoft.com/office/2006/metadata/properties/metaAttributes" ct:_="" ma:_="" ma:contentTypeName="Document" ma:contentTypeID="0x010100198A8EC6F3228443A1C4AA8D58F82B14" ma:contentTypeVersion="2" ma:contentTypeDescription="Create a new document." ma:contentTypeScope="" ma:versionID="2a38137c6208e5083c2b4a735073e4e5">
  <xsd:schema xmlns:xsd="http://www.w3.org/2001/XMLSchema" xmlns:xs="http://www.w3.org/2001/XMLSchema" xmlns:p="http://schemas.microsoft.com/office/2006/metadata/properties" xmlns:ns2="65a8c9e5-ad70-4af8-8b17-eba5be4f5fd7" xmlns:ns3="7afb5825-12ec-4303-8056-519f273a2a75" targetNamespace="http://schemas.microsoft.com/office/2006/metadata/properties" ma:root="true" ma:fieldsID="0bca9f8330dbb6427b96d5433d00e3d6" ns2:_="" ns3:_="">
    <xsd:import namespace="65a8c9e5-ad70-4af8-8b17-eba5be4f5fd7"/>
    <xsd:import namespace="7afb5825-12ec-4303-8056-519f273a2a75"/>
    <xsd:element name="properties">
      <xsd:complexType>
        <xsd:sequence>
          <xsd:element name="documentManagement">
            <xsd:complexType>
              <xsd:all>
                <xsd:element ref="ns2:Date" minOccurs="0"/>
                <xsd:element ref="ns2:Potentiel"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ProjetsYC"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a8c9e5-ad70-4af8-8b17-eba5be4f5fd7" elementFormDefault="qualified">
    <xsd:import namespace="http://schemas.microsoft.com/office/2006/documentManagement/types"/>
    <xsd:import namespace="http://schemas.microsoft.com/office/infopath/2007/PartnerControls"/>
    <xsd:element name="Date" ma:index="2" nillable="true" ma:displayName="Date" ma:format="DateOnly" ma:internalName="Date" ma:readOnly="false">
      <xsd:simpleType>
        <xsd:restriction base="dms:DateTime"/>
      </xsd:simpleType>
    </xsd:element>
    <xsd:element name="Potentiel" ma:index="3" nillable="true" ma:displayName="Potentiel" ma:format="Dropdown" ma:internalName="Potentiel" ma:readOnly="false">
      <xsd:simpleType>
        <xsd:union memberTypes="dms:Text">
          <xsd:simpleType>
            <xsd:restriction base="dms:Choice">
              <xsd:enumeration value="Tres bon"/>
              <xsd:enumeration value="Moyen"/>
              <xsd:enumeration value="Nul"/>
            </xsd:restriction>
          </xsd:simpleType>
        </xsd:un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hidden="true" ma:internalName="MediaServiceAutoTags" ma:readOnly="true">
      <xsd:simpleType>
        <xsd:restriction base="dms:Text"/>
      </xsd:simpleType>
    </xsd:element>
    <xsd:element name="MediaServiceLocation" ma:index="14" nillable="true" ma:displayName="MediaServiceLocation" ma:description="" ma:hidden="true" ma:internalName="MediaServiceLocation" ma:readOnly="true">
      <xsd:simpleType>
        <xsd:restriction base="dms:Text"/>
      </xsd:simpleType>
    </xsd:element>
    <xsd:element name="MediaServiceOCR" ma:index="15" nillable="true" ma:displayName="MediaServiceOCR" ma:hidden="true" ma:internalName="MediaServiceOCR" ma:readOnly="true">
      <xsd:simpleType>
        <xsd:restriction base="dms:Note"/>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hidden="true" ma:internalName="MediaServiceKeyPoints" ma:readOnly="true">
      <xsd:simpleType>
        <xsd:restriction base="dms:Note"/>
      </xsd:simpleType>
    </xsd:element>
    <xsd:element name="ProjetsYC" ma:index="21" nillable="true" ma:displayName="Projets YC" ma:default="1" ma:format="Dropdown" ma:hidden="true" ma:internalName="ProjetsYC" ma:readOnly="false">
      <xsd:simpleType>
        <xsd:restriction base="dms:Boolea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fb5825-12ec-4303-8056-519f273a2a75" elementFormDefault="qualified">
    <xsd:import namespace="http://schemas.microsoft.com/office/2006/documentManagement/types"/>
    <xsd:import namespace="http://schemas.microsoft.com/office/infopath/2007/PartnerControls"/>
    <xsd:element name="SharedWithUsers" ma:index="8"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tsYC xmlns="65a8c9e5-ad70-4af8-8b17-eba5be4f5fd7">true</ProjetsYC>
    <Date xmlns="65a8c9e5-ad70-4af8-8b17-eba5be4f5fd7" xsi:nil="true"/>
    <Potentiel xmlns="65a8c9e5-ad70-4af8-8b17-eba5be4f5fd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98A8EC6F3228443A1C4AA8D58F82B14" ma:contentTypeVersion="2" ma:contentTypeDescription="Create a new document." ma:contentTypeScope="" ma:versionID="2a38137c6208e5083c2b4a735073e4e5">
  <xsd:schema xmlns:xsd="http://www.w3.org/2001/XMLSchema" xmlns:xs="http://www.w3.org/2001/XMLSchema" xmlns:p="http://schemas.microsoft.com/office/2006/metadata/properties" xmlns:ns2="65a8c9e5-ad70-4af8-8b17-eba5be4f5fd7" xmlns:ns3="7afb5825-12ec-4303-8056-519f273a2a75" targetNamespace="http://schemas.microsoft.com/office/2006/metadata/properties" ma:root="true" ma:fieldsID="0bca9f8330dbb6427b96d5433d00e3d6" ns2:_="" ns3:_="">
    <xsd:import namespace="65a8c9e5-ad70-4af8-8b17-eba5be4f5fd7"/>
    <xsd:import namespace="7afb5825-12ec-4303-8056-519f273a2a75"/>
    <xsd:element name="properties">
      <xsd:complexType>
        <xsd:sequence>
          <xsd:element name="documentManagement">
            <xsd:complexType>
              <xsd:all>
                <xsd:element ref="ns2:Date" minOccurs="0"/>
                <xsd:element ref="ns2:Potentiel"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ProjetsYC"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a8c9e5-ad70-4af8-8b17-eba5be4f5fd7" elementFormDefault="qualified">
    <xsd:import namespace="http://schemas.microsoft.com/office/2006/documentManagement/types"/>
    <xsd:import namespace="http://schemas.microsoft.com/office/infopath/2007/PartnerControls"/>
    <xsd:element name="Date" ma:index="2" nillable="true" ma:displayName="Date" ma:format="DateOnly" ma:internalName="Date" ma:readOnly="false">
      <xsd:simpleType>
        <xsd:restriction base="dms:DateTime"/>
      </xsd:simpleType>
    </xsd:element>
    <xsd:element name="Potentiel" ma:index="3" nillable="true" ma:displayName="Potentiel" ma:format="Dropdown" ma:internalName="Potentiel" ma:readOnly="false">
      <xsd:simpleType>
        <xsd:union memberTypes="dms:Text">
          <xsd:simpleType>
            <xsd:restriction base="dms:Choice">
              <xsd:enumeration value="Tres bon"/>
              <xsd:enumeration value="Moyen"/>
              <xsd:enumeration value="Nul"/>
            </xsd:restriction>
          </xsd:simpleType>
        </xsd:un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hidden="true" ma:internalName="MediaServiceAutoTags" ma:readOnly="true">
      <xsd:simpleType>
        <xsd:restriction base="dms:Text"/>
      </xsd:simpleType>
    </xsd:element>
    <xsd:element name="MediaServiceLocation" ma:index="14" nillable="true" ma:displayName="MediaServiceLocation" ma:description="" ma:hidden="true" ma:internalName="MediaServiceLocation" ma:readOnly="true">
      <xsd:simpleType>
        <xsd:restriction base="dms:Text"/>
      </xsd:simpleType>
    </xsd:element>
    <xsd:element name="MediaServiceOCR" ma:index="15" nillable="true" ma:displayName="MediaServiceOCR" ma:hidden="true" ma:internalName="MediaServiceOCR" ma:readOnly="true">
      <xsd:simpleType>
        <xsd:restriction base="dms:Note"/>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hidden="true" ma:internalName="MediaServiceKeyPoints" ma:readOnly="true">
      <xsd:simpleType>
        <xsd:restriction base="dms:Note"/>
      </xsd:simpleType>
    </xsd:element>
    <xsd:element name="ProjetsYC" ma:index="21" nillable="true" ma:displayName="Projets YC" ma:default="1" ma:format="Dropdown" ma:hidden="true" ma:internalName="ProjetsYC" ma:readOnly="false">
      <xsd:simpleType>
        <xsd:restriction base="dms:Boolea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fb5825-12ec-4303-8056-519f273a2a75" elementFormDefault="qualified">
    <xsd:import namespace="http://schemas.microsoft.com/office/2006/documentManagement/types"/>
    <xsd:import namespace="http://schemas.microsoft.com/office/infopath/2007/PartnerControls"/>
    <xsd:element name="SharedWithUsers" ma:index="8"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overPageProperties xmlns="http://schemas.microsoft.com/office/2006/coverPageProps">
  <PublishDate/>
  <Abstract>Janvier 2021</Abstract>
  <CompanyAddress/>
  <CompanyPhone/>
  <CompanyFax/>
  <CompanyEmail/>
</CoverPageProperties>
</file>

<file path=customXml/item7.xml><?xml version="1.0" encoding="utf-8"?>
<p:properties xmlns:p="http://schemas.microsoft.com/office/2006/metadata/properties" xmlns:xsi="http://www.w3.org/2001/XMLSchema-instance" xmlns:pc="http://schemas.microsoft.com/office/infopath/2007/PartnerControls">
  <documentManagement>
    <ProjetsYC xmlns="65a8c9e5-ad70-4af8-8b17-eba5be4f5fd7">true</ProjetsYC>
    <Date xmlns="65a8c9e5-ad70-4af8-8b17-eba5be4f5fd7" xsi:nil="true"/>
    <Potentiel xmlns="65a8c9e5-ad70-4af8-8b17-eba5be4f5fd7" xsi:nil="true"/>
  </documentManagement>
</p: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744219A-10A3-467C-AB97-376418360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a8c9e5-ad70-4af8-8b17-eba5be4f5fd7"/>
    <ds:schemaRef ds:uri="7afb5825-12ec-4303-8056-519f273a2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FD4A02-2B2B-4734-96F8-10985E0629D9}">
  <ds:schemaRefs>
    <ds:schemaRef ds:uri="http://schemas.microsoft.com/office/2006/metadata/properties"/>
    <ds:schemaRef ds:uri="http://schemas.microsoft.com/office/infopath/2007/PartnerControls"/>
    <ds:schemaRef ds:uri="65a8c9e5-ad70-4af8-8b17-eba5be4f5fd7"/>
  </ds:schemaRefs>
</ds:datastoreItem>
</file>

<file path=customXml/itemProps3.xml><?xml version="1.0" encoding="utf-8"?>
<ds:datastoreItem xmlns:ds="http://schemas.openxmlformats.org/officeDocument/2006/customXml" ds:itemID="{47F7F42F-1DBF-47A7-B644-B655B688B4FD}">
  <ds:schemaRefs>
    <ds:schemaRef ds:uri="http://schemas.microsoft.com/sharepoint/v3/contenttype/forms"/>
  </ds:schemaRefs>
</ds:datastoreItem>
</file>

<file path=customXml/itemProps4.xml><?xml version="1.0" encoding="utf-8"?>
<ds:datastoreItem xmlns:ds="http://schemas.openxmlformats.org/officeDocument/2006/customXml" ds:itemID="{0E0CCD82-ADB7-4063-A3C4-EE37FFD7C0E9}">
  <ds:schemaRefs>
    <ds:schemaRef ds:uri="http://schemas.openxmlformats.org/officeDocument/2006/bibliography"/>
  </ds:schemaRefs>
</ds:datastoreItem>
</file>

<file path=customXml/itemProps5.xml><?xml version="1.0" encoding="utf-8"?>
<ds:datastoreItem xmlns:ds="http://schemas.openxmlformats.org/officeDocument/2006/customXml" ds:itemID="{F744219A-10A3-467C-AB97-376418360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a8c9e5-ad70-4af8-8b17-eba5be4f5fd7"/>
    <ds:schemaRef ds:uri="7afb5825-12ec-4303-8056-519f273a2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7.xml><?xml version="1.0" encoding="utf-8"?>
<ds:datastoreItem xmlns:ds="http://schemas.openxmlformats.org/officeDocument/2006/customXml" ds:itemID="{6BFD4A02-2B2B-4734-96F8-10985E0629D9}">
  <ds:schemaRefs>
    <ds:schemaRef ds:uri="http://schemas.microsoft.com/office/2006/metadata/properties"/>
    <ds:schemaRef ds:uri="http://schemas.microsoft.com/office/infopath/2007/PartnerControls"/>
    <ds:schemaRef ds:uri="65a8c9e5-ad70-4af8-8b17-eba5be4f5fd7"/>
  </ds:schemaRefs>
</ds:datastoreItem>
</file>

<file path=customXml/itemProps8.xml><?xml version="1.0" encoding="utf-8"?>
<ds:datastoreItem xmlns:ds="http://schemas.openxmlformats.org/officeDocument/2006/customXml" ds:itemID="{47F7F42F-1DBF-47A7-B644-B655B688B4FD}">
  <ds:schemaRefs>
    <ds:schemaRef ds:uri="http://schemas.microsoft.com/sharepoint/v3/contenttype/forms"/>
  </ds:schemaRefs>
</ds:datastoreItem>
</file>

<file path=customXml/itemProps9.xml><?xml version="1.0" encoding="utf-8"?>
<ds:datastoreItem xmlns:ds="http://schemas.openxmlformats.org/officeDocument/2006/customXml" ds:itemID="{0E0CCD82-ADB7-4063-A3C4-EE37FFD7C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Technopolis 2020 FR report (2).dotx</Template>
  <TotalTime>0</TotalTime>
  <Pages>1</Pages>
  <Words>58308</Words>
  <Characters>332358</Characters>
  <Application>Microsoft Office Word</Application>
  <DocSecurity>4</DocSecurity>
  <Lines>2769</Lines>
  <Paragraphs>779</Paragraphs>
  <ScaleCrop>false</ScaleCrop>
  <HeadingPairs>
    <vt:vector size="2" baseType="variant">
      <vt:variant>
        <vt:lpstr>Titre</vt:lpstr>
      </vt:variant>
      <vt:variant>
        <vt:i4>1</vt:i4>
      </vt:variant>
    </vt:vector>
  </HeadingPairs>
  <TitlesOfParts>
    <vt:vector size="1" baseType="lpstr">
      <vt:lpstr>Mission d’évaluation ex-ante à la mise en place d’instruments financiers dans le cadre du programme opérationnel 2021-2027 FEDER-FSE de la Région Hauts-de-France</vt:lpstr>
    </vt:vector>
  </TitlesOfParts>
  <Company>Région Bourgogne-Franche-Comté</Company>
  <LinksUpToDate>false</LinksUpToDate>
  <CharactersWithSpaces>389887</CharactersWithSpaces>
  <SharedDoc>false</SharedDoc>
  <HLinks>
    <vt:vector size="1008" baseType="variant">
      <vt:variant>
        <vt:i4>4915295</vt:i4>
      </vt:variant>
      <vt:variant>
        <vt:i4>1009</vt:i4>
      </vt:variant>
      <vt:variant>
        <vt:i4>0</vt:i4>
      </vt:variant>
      <vt:variant>
        <vt:i4>5</vt:i4>
      </vt:variant>
      <vt:variant>
        <vt:lpwstr>http://www.technopolis-group.com/</vt:lpwstr>
      </vt:variant>
      <vt:variant>
        <vt:lpwstr/>
      </vt:variant>
      <vt:variant>
        <vt:i4>393266</vt:i4>
      </vt:variant>
      <vt:variant>
        <vt:i4>1006</vt:i4>
      </vt:variant>
      <vt:variant>
        <vt:i4>0</vt:i4>
      </vt:variant>
      <vt:variant>
        <vt:i4>5</vt:i4>
      </vt:variant>
      <vt:variant>
        <vt:lpwstr>https://www.espon.eu/sites/default/files/attachments/Andalucia_case study.pdf</vt:lpwstr>
      </vt:variant>
      <vt:variant>
        <vt:lpwstr/>
      </vt:variant>
      <vt:variant>
        <vt:i4>5505120</vt:i4>
      </vt:variant>
      <vt:variant>
        <vt:i4>1003</vt:i4>
      </vt:variant>
      <vt:variant>
        <vt:i4>0</vt:i4>
      </vt:variant>
      <vt:variant>
        <vt:i4>5</vt:i4>
      </vt:variant>
      <vt:variant>
        <vt:lpwstr>mailto:gedjessicaandalucia@gedcapital.com</vt:lpwstr>
      </vt:variant>
      <vt:variant>
        <vt:lpwstr/>
      </vt:variant>
      <vt:variant>
        <vt:i4>6881391</vt:i4>
      </vt:variant>
      <vt:variant>
        <vt:i4>1000</vt:i4>
      </vt:variant>
      <vt:variant>
        <vt:i4>0</vt:i4>
      </vt:variant>
      <vt:variant>
        <vt:i4>5</vt:i4>
      </vt:variant>
      <vt:variant>
        <vt:lpwstr>https://ifrru.ihru.pt/</vt:lpwstr>
      </vt:variant>
      <vt:variant>
        <vt:lpwstr/>
      </vt:variant>
      <vt:variant>
        <vt:i4>1245212</vt:i4>
      </vt:variant>
      <vt:variant>
        <vt:i4>997</vt:i4>
      </vt:variant>
      <vt:variant>
        <vt:i4>0</vt:i4>
      </vt:variant>
      <vt:variant>
        <vt:i4>5</vt:i4>
      </vt:variant>
      <vt:variant>
        <vt:lpwstr>https://www.fi-compass.eu/publication/case-studies/financial-instruments-urban-development-portugal-ifrru-2020-case-study</vt:lpwstr>
      </vt:variant>
      <vt:variant>
        <vt:lpwstr/>
      </vt:variant>
      <vt:variant>
        <vt:i4>2097231</vt:i4>
      </vt:variant>
      <vt:variant>
        <vt:i4>994</vt:i4>
      </vt:variant>
      <vt:variant>
        <vt:i4>0</vt:i4>
      </vt:variant>
      <vt:variant>
        <vt:i4>5</vt:i4>
      </vt:variant>
      <vt:variant>
        <vt:lpwstr>mailto:tgmarques@ifrru.ihru.pt</vt:lpwstr>
      </vt:variant>
      <vt:variant>
        <vt:lpwstr/>
      </vt:variant>
      <vt:variant>
        <vt:i4>2555946</vt:i4>
      </vt:variant>
      <vt:variant>
        <vt:i4>988</vt:i4>
      </vt:variant>
      <vt:variant>
        <vt:i4>0</vt:i4>
      </vt:variant>
      <vt:variant>
        <vt:i4>5</vt:i4>
      </vt:variant>
      <vt:variant>
        <vt:lpwstr>https://www.eeef.lu/news-detail/la-spl-oser-realise-ses-premiers-investissements-soutenus-par-lassistance-technique-du-feee-et-des-financements-de-marche.html</vt:lpwstr>
      </vt:variant>
      <vt:variant>
        <vt:lpwstr/>
      </vt:variant>
      <vt:variant>
        <vt:i4>262153</vt:i4>
      </vt:variant>
      <vt:variant>
        <vt:i4>985</vt:i4>
      </vt:variant>
      <vt:variant>
        <vt:i4>0</vt:i4>
      </vt:variant>
      <vt:variant>
        <vt:i4>5</vt:i4>
      </vt:variant>
      <vt:variant>
        <vt:lpwstr>https://spl-oser.fr/</vt:lpwstr>
      </vt:variant>
      <vt:variant>
        <vt:lpwstr/>
      </vt:variant>
      <vt:variant>
        <vt:i4>7143496</vt:i4>
      </vt:variant>
      <vt:variant>
        <vt:i4>982</vt:i4>
      </vt:variant>
      <vt:variant>
        <vt:i4>0</vt:i4>
      </vt:variant>
      <vt:variant>
        <vt:i4>5</vt:i4>
      </vt:variant>
      <vt:variant>
        <vt:lpwstr>mailto:philippe.truchy@spl-oser.fr</vt:lpwstr>
      </vt:variant>
      <vt:variant>
        <vt:lpwstr/>
      </vt:variant>
      <vt:variant>
        <vt:i4>1966128</vt:i4>
      </vt:variant>
      <vt:variant>
        <vt:i4>672</vt:i4>
      </vt:variant>
      <vt:variant>
        <vt:i4>0</vt:i4>
      </vt:variant>
      <vt:variant>
        <vt:i4>5</vt:i4>
      </vt:variant>
      <vt:variant>
        <vt:lpwstr/>
      </vt:variant>
      <vt:variant>
        <vt:lpwstr>_Toc88842124</vt:lpwstr>
      </vt:variant>
      <vt:variant>
        <vt:i4>1638448</vt:i4>
      </vt:variant>
      <vt:variant>
        <vt:i4>666</vt:i4>
      </vt:variant>
      <vt:variant>
        <vt:i4>0</vt:i4>
      </vt:variant>
      <vt:variant>
        <vt:i4>5</vt:i4>
      </vt:variant>
      <vt:variant>
        <vt:lpwstr/>
      </vt:variant>
      <vt:variant>
        <vt:lpwstr>_Toc88842123</vt:lpwstr>
      </vt:variant>
      <vt:variant>
        <vt:i4>1572912</vt:i4>
      </vt:variant>
      <vt:variant>
        <vt:i4>660</vt:i4>
      </vt:variant>
      <vt:variant>
        <vt:i4>0</vt:i4>
      </vt:variant>
      <vt:variant>
        <vt:i4>5</vt:i4>
      </vt:variant>
      <vt:variant>
        <vt:lpwstr/>
      </vt:variant>
      <vt:variant>
        <vt:lpwstr>_Toc88842122</vt:lpwstr>
      </vt:variant>
      <vt:variant>
        <vt:i4>1769520</vt:i4>
      </vt:variant>
      <vt:variant>
        <vt:i4>654</vt:i4>
      </vt:variant>
      <vt:variant>
        <vt:i4>0</vt:i4>
      </vt:variant>
      <vt:variant>
        <vt:i4>5</vt:i4>
      </vt:variant>
      <vt:variant>
        <vt:lpwstr/>
      </vt:variant>
      <vt:variant>
        <vt:lpwstr>_Toc88842121</vt:lpwstr>
      </vt:variant>
      <vt:variant>
        <vt:i4>1703984</vt:i4>
      </vt:variant>
      <vt:variant>
        <vt:i4>648</vt:i4>
      </vt:variant>
      <vt:variant>
        <vt:i4>0</vt:i4>
      </vt:variant>
      <vt:variant>
        <vt:i4>5</vt:i4>
      </vt:variant>
      <vt:variant>
        <vt:lpwstr/>
      </vt:variant>
      <vt:variant>
        <vt:lpwstr>_Toc88842120</vt:lpwstr>
      </vt:variant>
      <vt:variant>
        <vt:i4>1245235</vt:i4>
      </vt:variant>
      <vt:variant>
        <vt:i4>642</vt:i4>
      </vt:variant>
      <vt:variant>
        <vt:i4>0</vt:i4>
      </vt:variant>
      <vt:variant>
        <vt:i4>5</vt:i4>
      </vt:variant>
      <vt:variant>
        <vt:lpwstr/>
      </vt:variant>
      <vt:variant>
        <vt:lpwstr>_Toc88842119</vt:lpwstr>
      </vt:variant>
      <vt:variant>
        <vt:i4>1179699</vt:i4>
      </vt:variant>
      <vt:variant>
        <vt:i4>636</vt:i4>
      </vt:variant>
      <vt:variant>
        <vt:i4>0</vt:i4>
      </vt:variant>
      <vt:variant>
        <vt:i4>5</vt:i4>
      </vt:variant>
      <vt:variant>
        <vt:lpwstr/>
      </vt:variant>
      <vt:variant>
        <vt:lpwstr>_Toc88842118</vt:lpwstr>
      </vt:variant>
      <vt:variant>
        <vt:i4>1900595</vt:i4>
      </vt:variant>
      <vt:variant>
        <vt:i4>630</vt:i4>
      </vt:variant>
      <vt:variant>
        <vt:i4>0</vt:i4>
      </vt:variant>
      <vt:variant>
        <vt:i4>5</vt:i4>
      </vt:variant>
      <vt:variant>
        <vt:lpwstr/>
      </vt:variant>
      <vt:variant>
        <vt:lpwstr>_Toc88842117</vt:lpwstr>
      </vt:variant>
      <vt:variant>
        <vt:i4>1835059</vt:i4>
      </vt:variant>
      <vt:variant>
        <vt:i4>624</vt:i4>
      </vt:variant>
      <vt:variant>
        <vt:i4>0</vt:i4>
      </vt:variant>
      <vt:variant>
        <vt:i4>5</vt:i4>
      </vt:variant>
      <vt:variant>
        <vt:lpwstr/>
      </vt:variant>
      <vt:variant>
        <vt:lpwstr>_Toc88842116</vt:lpwstr>
      </vt:variant>
      <vt:variant>
        <vt:i4>2031667</vt:i4>
      </vt:variant>
      <vt:variant>
        <vt:i4>618</vt:i4>
      </vt:variant>
      <vt:variant>
        <vt:i4>0</vt:i4>
      </vt:variant>
      <vt:variant>
        <vt:i4>5</vt:i4>
      </vt:variant>
      <vt:variant>
        <vt:lpwstr/>
      </vt:variant>
      <vt:variant>
        <vt:lpwstr>_Toc88842115</vt:lpwstr>
      </vt:variant>
      <vt:variant>
        <vt:i4>1966131</vt:i4>
      </vt:variant>
      <vt:variant>
        <vt:i4>609</vt:i4>
      </vt:variant>
      <vt:variant>
        <vt:i4>0</vt:i4>
      </vt:variant>
      <vt:variant>
        <vt:i4>5</vt:i4>
      </vt:variant>
      <vt:variant>
        <vt:lpwstr/>
      </vt:variant>
      <vt:variant>
        <vt:lpwstr>_Toc88842114</vt:lpwstr>
      </vt:variant>
      <vt:variant>
        <vt:i4>1638451</vt:i4>
      </vt:variant>
      <vt:variant>
        <vt:i4>603</vt:i4>
      </vt:variant>
      <vt:variant>
        <vt:i4>0</vt:i4>
      </vt:variant>
      <vt:variant>
        <vt:i4>5</vt:i4>
      </vt:variant>
      <vt:variant>
        <vt:lpwstr/>
      </vt:variant>
      <vt:variant>
        <vt:lpwstr>_Toc88842113</vt:lpwstr>
      </vt:variant>
      <vt:variant>
        <vt:i4>1572915</vt:i4>
      </vt:variant>
      <vt:variant>
        <vt:i4>597</vt:i4>
      </vt:variant>
      <vt:variant>
        <vt:i4>0</vt:i4>
      </vt:variant>
      <vt:variant>
        <vt:i4>5</vt:i4>
      </vt:variant>
      <vt:variant>
        <vt:lpwstr/>
      </vt:variant>
      <vt:variant>
        <vt:lpwstr>_Toc88842112</vt:lpwstr>
      </vt:variant>
      <vt:variant>
        <vt:i4>1769523</vt:i4>
      </vt:variant>
      <vt:variant>
        <vt:i4>591</vt:i4>
      </vt:variant>
      <vt:variant>
        <vt:i4>0</vt:i4>
      </vt:variant>
      <vt:variant>
        <vt:i4>5</vt:i4>
      </vt:variant>
      <vt:variant>
        <vt:lpwstr/>
      </vt:variant>
      <vt:variant>
        <vt:lpwstr>_Toc88842111</vt:lpwstr>
      </vt:variant>
      <vt:variant>
        <vt:i4>1703987</vt:i4>
      </vt:variant>
      <vt:variant>
        <vt:i4>585</vt:i4>
      </vt:variant>
      <vt:variant>
        <vt:i4>0</vt:i4>
      </vt:variant>
      <vt:variant>
        <vt:i4>5</vt:i4>
      </vt:variant>
      <vt:variant>
        <vt:lpwstr/>
      </vt:variant>
      <vt:variant>
        <vt:lpwstr>_Toc88842110</vt:lpwstr>
      </vt:variant>
      <vt:variant>
        <vt:i4>1245234</vt:i4>
      </vt:variant>
      <vt:variant>
        <vt:i4>579</vt:i4>
      </vt:variant>
      <vt:variant>
        <vt:i4>0</vt:i4>
      </vt:variant>
      <vt:variant>
        <vt:i4>5</vt:i4>
      </vt:variant>
      <vt:variant>
        <vt:lpwstr/>
      </vt:variant>
      <vt:variant>
        <vt:lpwstr>_Toc88842109</vt:lpwstr>
      </vt:variant>
      <vt:variant>
        <vt:i4>1179698</vt:i4>
      </vt:variant>
      <vt:variant>
        <vt:i4>573</vt:i4>
      </vt:variant>
      <vt:variant>
        <vt:i4>0</vt:i4>
      </vt:variant>
      <vt:variant>
        <vt:i4>5</vt:i4>
      </vt:variant>
      <vt:variant>
        <vt:lpwstr/>
      </vt:variant>
      <vt:variant>
        <vt:lpwstr>_Toc88842108</vt:lpwstr>
      </vt:variant>
      <vt:variant>
        <vt:i4>1900594</vt:i4>
      </vt:variant>
      <vt:variant>
        <vt:i4>567</vt:i4>
      </vt:variant>
      <vt:variant>
        <vt:i4>0</vt:i4>
      </vt:variant>
      <vt:variant>
        <vt:i4>5</vt:i4>
      </vt:variant>
      <vt:variant>
        <vt:lpwstr/>
      </vt:variant>
      <vt:variant>
        <vt:lpwstr>_Toc88842107</vt:lpwstr>
      </vt:variant>
      <vt:variant>
        <vt:i4>1835058</vt:i4>
      </vt:variant>
      <vt:variant>
        <vt:i4>561</vt:i4>
      </vt:variant>
      <vt:variant>
        <vt:i4>0</vt:i4>
      </vt:variant>
      <vt:variant>
        <vt:i4>5</vt:i4>
      </vt:variant>
      <vt:variant>
        <vt:lpwstr/>
      </vt:variant>
      <vt:variant>
        <vt:lpwstr>_Toc88842106</vt:lpwstr>
      </vt:variant>
      <vt:variant>
        <vt:i4>2031666</vt:i4>
      </vt:variant>
      <vt:variant>
        <vt:i4>555</vt:i4>
      </vt:variant>
      <vt:variant>
        <vt:i4>0</vt:i4>
      </vt:variant>
      <vt:variant>
        <vt:i4>5</vt:i4>
      </vt:variant>
      <vt:variant>
        <vt:lpwstr/>
      </vt:variant>
      <vt:variant>
        <vt:lpwstr>_Toc88842105</vt:lpwstr>
      </vt:variant>
      <vt:variant>
        <vt:i4>1966130</vt:i4>
      </vt:variant>
      <vt:variant>
        <vt:i4>549</vt:i4>
      </vt:variant>
      <vt:variant>
        <vt:i4>0</vt:i4>
      </vt:variant>
      <vt:variant>
        <vt:i4>5</vt:i4>
      </vt:variant>
      <vt:variant>
        <vt:lpwstr/>
      </vt:variant>
      <vt:variant>
        <vt:lpwstr>_Toc88842104</vt:lpwstr>
      </vt:variant>
      <vt:variant>
        <vt:i4>1638450</vt:i4>
      </vt:variant>
      <vt:variant>
        <vt:i4>543</vt:i4>
      </vt:variant>
      <vt:variant>
        <vt:i4>0</vt:i4>
      </vt:variant>
      <vt:variant>
        <vt:i4>5</vt:i4>
      </vt:variant>
      <vt:variant>
        <vt:lpwstr/>
      </vt:variant>
      <vt:variant>
        <vt:lpwstr>_Toc88842103</vt:lpwstr>
      </vt:variant>
      <vt:variant>
        <vt:i4>1572914</vt:i4>
      </vt:variant>
      <vt:variant>
        <vt:i4>537</vt:i4>
      </vt:variant>
      <vt:variant>
        <vt:i4>0</vt:i4>
      </vt:variant>
      <vt:variant>
        <vt:i4>5</vt:i4>
      </vt:variant>
      <vt:variant>
        <vt:lpwstr/>
      </vt:variant>
      <vt:variant>
        <vt:lpwstr>_Toc88842102</vt:lpwstr>
      </vt:variant>
      <vt:variant>
        <vt:i4>1769522</vt:i4>
      </vt:variant>
      <vt:variant>
        <vt:i4>531</vt:i4>
      </vt:variant>
      <vt:variant>
        <vt:i4>0</vt:i4>
      </vt:variant>
      <vt:variant>
        <vt:i4>5</vt:i4>
      </vt:variant>
      <vt:variant>
        <vt:lpwstr/>
      </vt:variant>
      <vt:variant>
        <vt:lpwstr>_Toc88842101</vt:lpwstr>
      </vt:variant>
      <vt:variant>
        <vt:i4>1703986</vt:i4>
      </vt:variant>
      <vt:variant>
        <vt:i4>525</vt:i4>
      </vt:variant>
      <vt:variant>
        <vt:i4>0</vt:i4>
      </vt:variant>
      <vt:variant>
        <vt:i4>5</vt:i4>
      </vt:variant>
      <vt:variant>
        <vt:lpwstr/>
      </vt:variant>
      <vt:variant>
        <vt:lpwstr>_Toc88842100</vt:lpwstr>
      </vt:variant>
      <vt:variant>
        <vt:i4>1179707</vt:i4>
      </vt:variant>
      <vt:variant>
        <vt:i4>519</vt:i4>
      </vt:variant>
      <vt:variant>
        <vt:i4>0</vt:i4>
      </vt:variant>
      <vt:variant>
        <vt:i4>5</vt:i4>
      </vt:variant>
      <vt:variant>
        <vt:lpwstr/>
      </vt:variant>
      <vt:variant>
        <vt:lpwstr>_Toc88842099</vt:lpwstr>
      </vt:variant>
      <vt:variant>
        <vt:i4>1245243</vt:i4>
      </vt:variant>
      <vt:variant>
        <vt:i4>513</vt:i4>
      </vt:variant>
      <vt:variant>
        <vt:i4>0</vt:i4>
      </vt:variant>
      <vt:variant>
        <vt:i4>5</vt:i4>
      </vt:variant>
      <vt:variant>
        <vt:lpwstr/>
      </vt:variant>
      <vt:variant>
        <vt:lpwstr>_Toc88842098</vt:lpwstr>
      </vt:variant>
      <vt:variant>
        <vt:i4>1835067</vt:i4>
      </vt:variant>
      <vt:variant>
        <vt:i4>507</vt:i4>
      </vt:variant>
      <vt:variant>
        <vt:i4>0</vt:i4>
      </vt:variant>
      <vt:variant>
        <vt:i4>5</vt:i4>
      </vt:variant>
      <vt:variant>
        <vt:lpwstr/>
      </vt:variant>
      <vt:variant>
        <vt:lpwstr>_Toc88842097</vt:lpwstr>
      </vt:variant>
      <vt:variant>
        <vt:i4>1900603</vt:i4>
      </vt:variant>
      <vt:variant>
        <vt:i4>501</vt:i4>
      </vt:variant>
      <vt:variant>
        <vt:i4>0</vt:i4>
      </vt:variant>
      <vt:variant>
        <vt:i4>5</vt:i4>
      </vt:variant>
      <vt:variant>
        <vt:lpwstr/>
      </vt:variant>
      <vt:variant>
        <vt:lpwstr>_Toc88842096</vt:lpwstr>
      </vt:variant>
      <vt:variant>
        <vt:i4>1966139</vt:i4>
      </vt:variant>
      <vt:variant>
        <vt:i4>495</vt:i4>
      </vt:variant>
      <vt:variant>
        <vt:i4>0</vt:i4>
      </vt:variant>
      <vt:variant>
        <vt:i4>5</vt:i4>
      </vt:variant>
      <vt:variant>
        <vt:lpwstr/>
      </vt:variant>
      <vt:variant>
        <vt:lpwstr>_Toc88842095</vt:lpwstr>
      </vt:variant>
      <vt:variant>
        <vt:i4>2031675</vt:i4>
      </vt:variant>
      <vt:variant>
        <vt:i4>489</vt:i4>
      </vt:variant>
      <vt:variant>
        <vt:i4>0</vt:i4>
      </vt:variant>
      <vt:variant>
        <vt:i4>5</vt:i4>
      </vt:variant>
      <vt:variant>
        <vt:lpwstr/>
      </vt:variant>
      <vt:variant>
        <vt:lpwstr>_Toc88842094</vt:lpwstr>
      </vt:variant>
      <vt:variant>
        <vt:i4>1572923</vt:i4>
      </vt:variant>
      <vt:variant>
        <vt:i4>483</vt:i4>
      </vt:variant>
      <vt:variant>
        <vt:i4>0</vt:i4>
      </vt:variant>
      <vt:variant>
        <vt:i4>5</vt:i4>
      </vt:variant>
      <vt:variant>
        <vt:lpwstr/>
      </vt:variant>
      <vt:variant>
        <vt:lpwstr>_Toc88842093</vt:lpwstr>
      </vt:variant>
      <vt:variant>
        <vt:i4>1441849</vt:i4>
      </vt:variant>
      <vt:variant>
        <vt:i4>474</vt:i4>
      </vt:variant>
      <vt:variant>
        <vt:i4>0</vt:i4>
      </vt:variant>
      <vt:variant>
        <vt:i4>5</vt:i4>
      </vt:variant>
      <vt:variant>
        <vt:lpwstr/>
      </vt:variant>
      <vt:variant>
        <vt:lpwstr>_Toc93390338</vt:lpwstr>
      </vt:variant>
      <vt:variant>
        <vt:i4>1638457</vt:i4>
      </vt:variant>
      <vt:variant>
        <vt:i4>468</vt:i4>
      </vt:variant>
      <vt:variant>
        <vt:i4>0</vt:i4>
      </vt:variant>
      <vt:variant>
        <vt:i4>5</vt:i4>
      </vt:variant>
      <vt:variant>
        <vt:lpwstr/>
      </vt:variant>
      <vt:variant>
        <vt:lpwstr>_Toc93390337</vt:lpwstr>
      </vt:variant>
      <vt:variant>
        <vt:i4>1572921</vt:i4>
      </vt:variant>
      <vt:variant>
        <vt:i4>462</vt:i4>
      </vt:variant>
      <vt:variant>
        <vt:i4>0</vt:i4>
      </vt:variant>
      <vt:variant>
        <vt:i4>5</vt:i4>
      </vt:variant>
      <vt:variant>
        <vt:lpwstr/>
      </vt:variant>
      <vt:variant>
        <vt:lpwstr>_Toc93390336</vt:lpwstr>
      </vt:variant>
      <vt:variant>
        <vt:i4>1769529</vt:i4>
      </vt:variant>
      <vt:variant>
        <vt:i4>456</vt:i4>
      </vt:variant>
      <vt:variant>
        <vt:i4>0</vt:i4>
      </vt:variant>
      <vt:variant>
        <vt:i4>5</vt:i4>
      </vt:variant>
      <vt:variant>
        <vt:lpwstr/>
      </vt:variant>
      <vt:variant>
        <vt:lpwstr>_Toc93390335</vt:lpwstr>
      </vt:variant>
      <vt:variant>
        <vt:i4>1703993</vt:i4>
      </vt:variant>
      <vt:variant>
        <vt:i4>450</vt:i4>
      </vt:variant>
      <vt:variant>
        <vt:i4>0</vt:i4>
      </vt:variant>
      <vt:variant>
        <vt:i4>5</vt:i4>
      </vt:variant>
      <vt:variant>
        <vt:lpwstr/>
      </vt:variant>
      <vt:variant>
        <vt:lpwstr>_Toc93390334</vt:lpwstr>
      </vt:variant>
      <vt:variant>
        <vt:i4>1900601</vt:i4>
      </vt:variant>
      <vt:variant>
        <vt:i4>444</vt:i4>
      </vt:variant>
      <vt:variant>
        <vt:i4>0</vt:i4>
      </vt:variant>
      <vt:variant>
        <vt:i4>5</vt:i4>
      </vt:variant>
      <vt:variant>
        <vt:lpwstr/>
      </vt:variant>
      <vt:variant>
        <vt:lpwstr>_Toc93390333</vt:lpwstr>
      </vt:variant>
      <vt:variant>
        <vt:i4>1835065</vt:i4>
      </vt:variant>
      <vt:variant>
        <vt:i4>438</vt:i4>
      </vt:variant>
      <vt:variant>
        <vt:i4>0</vt:i4>
      </vt:variant>
      <vt:variant>
        <vt:i4>5</vt:i4>
      </vt:variant>
      <vt:variant>
        <vt:lpwstr/>
      </vt:variant>
      <vt:variant>
        <vt:lpwstr>_Toc93390332</vt:lpwstr>
      </vt:variant>
      <vt:variant>
        <vt:i4>2031673</vt:i4>
      </vt:variant>
      <vt:variant>
        <vt:i4>432</vt:i4>
      </vt:variant>
      <vt:variant>
        <vt:i4>0</vt:i4>
      </vt:variant>
      <vt:variant>
        <vt:i4>5</vt:i4>
      </vt:variant>
      <vt:variant>
        <vt:lpwstr/>
      </vt:variant>
      <vt:variant>
        <vt:lpwstr>_Toc93390331</vt:lpwstr>
      </vt:variant>
      <vt:variant>
        <vt:i4>1966137</vt:i4>
      </vt:variant>
      <vt:variant>
        <vt:i4>426</vt:i4>
      </vt:variant>
      <vt:variant>
        <vt:i4>0</vt:i4>
      </vt:variant>
      <vt:variant>
        <vt:i4>5</vt:i4>
      </vt:variant>
      <vt:variant>
        <vt:lpwstr/>
      </vt:variant>
      <vt:variant>
        <vt:lpwstr>_Toc93390330</vt:lpwstr>
      </vt:variant>
      <vt:variant>
        <vt:i4>1507384</vt:i4>
      </vt:variant>
      <vt:variant>
        <vt:i4>420</vt:i4>
      </vt:variant>
      <vt:variant>
        <vt:i4>0</vt:i4>
      </vt:variant>
      <vt:variant>
        <vt:i4>5</vt:i4>
      </vt:variant>
      <vt:variant>
        <vt:lpwstr/>
      </vt:variant>
      <vt:variant>
        <vt:lpwstr>_Toc93390329</vt:lpwstr>
      </vt:variant>
      <vt:variant>
        <vt:i4>1441848</vt:i4>
      </vt:variant>
      <vt:variant>
        <vt:i4>414</vt:i4>
      </vt:variant>
      <vt:variant>
        <vt:i4>0</vt:i4>
      </vt:variant>
      <vt:variant>
        <vt:i4>5</vt:i4>
      </vt:variant>
      <vt:variant>
        <vt:lpwstr/>
      </vt:variant>
      <vt:variant>
        <vt:lpwstr>_Toc93390328</vt:lpwstr>
      </vt:variant>
      <vt:variant>
        <vt:i4>1638456</vt:i4>
      </vt:variant>
      <vt:variant>
        <vt:i4>408</vt:i4>
      </vt:variant>
      <vt:variant>
        <vt:i4>0</vt:i4>
      </vt:variant>
      <vt:variant>
        <vt:i4>5</vt:i4>
      </vt:variant>
      <vt:variant>
        <vt:lpwstr/>
      </vt:variant>
      <vt:variant>
        <vt:lpwstr>_Toc93390327</vt:lpwstr>
      </vt:variant>
      <vt:variant>
        <vt:i4>1572920</vt:i4>
      </vt:variant>
      <vt:variant>
        <vt:i4>402</vt:i4>
      </vt:variant>
      <vt:variant>
        <vt:i4>0</vt:i4>
      </vt:variant>
      <vt:variant>
        <vt:i4>5</vt:i4>
      </vt:variant>
      <vt:variant>
        <vt:lpwstr/>
      </vt:variant>
      <vt:variant>
        <vt:lpwstr>_Toc93390326</vt:lpwstr>
      </vt:variant>
      <vt:variant>
        <vt:i4>1769528</vt:i4>
      </vt:variant>
      <vt:variant>
        <vt:i4>396</vt:i4>
      </vt:variant>
      <vt:variant>
        <vt:i4>0</vt:i4>
      </vt:variant>
      <vt:variant>
        <vt:i4>5</vt:i4>
      </vt:variant>
      <vt:variant>
        <vt:lpwstr/>
      </vt:variant>
      <vt:variant>
        <vt:lpwstr>_Toc93390325</vt:lpwstr>
      </vt:variant>
      <vt:variant>
        <vt:i4>1703992</vt:i4>
      </vt:variant>
      <vt:variant>
        <vt:i4>390</vt:i4>
      </vt:variant>
      <vt:variant>
        <vt:i4>0</vt:i4>
      </vt:variant>
      <vt:variant>
        <vt:i4>5</vt:i4>
      </vt:variant>
      <vt:variant>
        <vt:lpwstr/>
      </vt:variant>
      <vt:variant>
        <vt:lpwstr>_Toc93390324</vt:lpwstr>
      </vt:variant>
      <vt:variant>
        <vt:i4>1900600</vt:i4>
      </vt:variant>
      <vt:variant>
        <vt:i4>384</vt:i4>
      </vt:variant>
      <vt:variant>
        <vt:i4>0</vt:i4>
      </vt:variant>
      <vt:variant>
        <vt:i4>5</vt:i4>
      </vt:variant>
      <vt:variant>
        <vt:lpwstr/>
      </vt:variant>
      <vt:variant>
        <vt:lpwstr>_Toc93390323</vt:lpwstr>
      </vt:variant>
      <vt:variant>
        <vt:i4>1835064</vt:i4>
      </vt:variant>
      <vt:variant>
        <vt:i4>378</vt:i4>
      </vt:variant>
      <vt:variant>
        <vt:i4>0</vt:i4>
      </vt:variant>
      <vt:variant>
        <vt:i4>5</vt:i4>
      </vt:variant>
      <vt:variant>
        <vt:lpwstr/>
      </vt:variant>
      <vt:variant>
        <vt:lpwstr>_Toc93390322</vt:lpwstr>
      </vt:variant>
      <vt:variant>
        <vt:i4>2031672</vt:i4>
      </vt:variant>
      <vt:variant>
        <vt:i4>372</vt:i4>
      </vt:variant>
      <vt:variant>
        <vt:i4>0</vt:i4>
      </vt:variant>
      <vt:variant>
        <vt:i4>5</vt:i4>
      </vt:variant>
      <vt:variant>
        <vt:lpwstr/>
      </vt:variant>
      <vt:variant>
        <vt:lpwstr>_Toc93390321</vt:lpwstr>
      </vt:variant>
      <vt:variant>
        <vt:i4>1966136</vt:i4>
      </vt:variant>
      <vt:variant>
        <vt:i4>366</vt:i4>
      </vt:variant>
      <vt:variant>
        <vt:i4>0</vt:i4>
      </vt:variant>
      <vt:variant>
        <vt:i4>5</vt:i4>
      </vt:variant>
      <vt:variant>
        <vt:lpwstr/>
      </vt:variant>
      <vt:variant>
        <vt:lpwstr>_Toc93390320</vt:lpwstr>
      </vt:variant>
      <vt:variant>
        <vt:i4>1507387</vt:i4>
      </vt:variant>
      <vt:variant>
        <vt:i4>360</vt:i4>
      </vt:variant>
      <vt:variant>
        <vt:i4>0</vt:i4>
      </vt:variant>
      <vt:variant>
        <vt:i4>5</vt:i4>
      </vt:variant>
      <vt:variant>
        <vt:lpwstr/>
      </vt:variant>
      <vt:variant>
        <vt:lpwstr>_Toc93390319</vt:lpwstr>
      </vt:variant>
      <vt:variant>
        <vt:i4>1441851</vt:i4>
      </vt:variant>
      <vt:variant>
        <vt:i4>354</vt:i4>
      </vt:variant>
      <vt:variant>
        <vt:i4>0</vt:i4>
      </vt:variant>
      <vt:variant>
        <vt:i4>5</vt:i4>
      </vt:variant>
      <vt:variant>
        <vt:lpwstr/>
      </vt:variant>
      <vt:variant>
        <vt:lpwstr>_Toc93390318</vt:lpwstr>
      </vt:variant>
      <vt:variant>
        <vt:i4>1638459</vt:i4>
      </vt:variant>
      <vt:variant>
        <vt:i4>348</vt:i4>
      </vt:variant>
      <vt:variant>
        <vt:i4>0</vt:i4>
      </vt:variant>
      <vt:variant>
        <vt:i4>5</vt:i4>
      </vt:variant>
      <vt:variant>
        <vt:lpwstr/>
      </vt:variant>
      <vt:variant>
        <vt:lpwstr>_Toc93390317</vt:lpwstr>
      </vt:variant>
      <vt:variant>
        <vt:i4>1572923</vt:i4>
      </vt:variant>
      <vt:variant>
        <vt:i4>342</vt:i4>
      </vt:variant>
      <vt:variant>
        <vt:i4>0</vt:i4>
      </vt:variant>
      <vt:variant>
        <vt:i4>5</vt:i4>
      </vt:variant>
      <vt:variant>
        <vt:lpwstr/>
      </vt:variant>
      <vt:variant>
        <vt:lpwstr>_Toc93390316</vt:lpwstr>
      </vt:variant>
      <vt:variant>
        <vt:i4>1769531</vt:i4>
      </vt:variant>
      <vt:variant>
        <vt:i4>336</vt:i4>
      </vt:variant>
      <vt:variant>
        <vt:i4>0</vt:i4>
      </vt:variant>
      <vt:variant>
        <vt:i4>5</vt:i4>
      </vt:variant>
      <vt:variant>
        <vt:lpwstr/>
      </vt:variant>
      <vt:variant>
        <vt:lpwstr>_Toc93390315</vt:lpwstr>
      </vt:variant>
      <vt:variant>
        <vt:i4>1703995</vt:i4>
      </vt:variant>
      <vt:variant>
        <vt:i4>330</vt:i4>
      </vt:variant>
      <vt:variant>
        <vt:i4>0</vt:i4>
      </vt:variant>
      <vt:variant>
        <vt:i4>5</vt:i4>
      </vt:variant>
      <vt:variant>
        <vt:lpwstr/>
      </vt:variant>
      <vt:variant>
        <vt:lpwstr>_Toc93390314</vt:lpwstr>
      </vt:variant>
      <vt:variant>
        <vt:i4>1900603</vt:i4>
      </vt:variant>
      <vt:variant>
        <vt:i4>324</vt:i4>
      </vt:variant>
      <vt:variant>
        <vt:i4>0</vt:i4>
      </vt:variant>
      <vt:variant>
        <vt:i4>5</vt:i4>
      </vt:variant>
      <vt:variant>
        <vt:lpwstr/>
      </vt:variant>
      <vt:variant>
        <vt:lpwstr>_Toc93390313</vt:lpwstr>
      </vt:variant>
      <vt:variant>
        <vt:i4>1835067</vt:i4>
      </vt:variant>
      <vt:variant>
        <vt:i4>318</vt:i4>
      </vt:variant>
      <vt:variant>
        <vt:i4>0</vt:i4>
      </vt:variant>
      <vt:variant>
        <vt:i4>5</vt:i4>
      </vt:variant>
      <vt:variant>
        <vt:lpwstr/>
      </vt:variant>
      <vt:variant>
        <vt:lpwstr>_Toc93390312</vt:lpwstr>
      </vt:variant>
      <vt:variant>
        <vt:i4>2031675</vt:i4>
      </vt:variant>
      <vt:variant>
        <vt:i4>312</vt:i4>
      </vt:variant>
      <vt:variant>
        <vt:i4>0</vt:i4>
      </vt:variant>
      <vt:variant>
        <vt:i4>5</vt:i4>
      </vt:variant>
      <vt:variant>
        <vt:lpwstr/>
      </vt:variant>
      <vt:variant>
        <vt:lpwstr>_Toc93390311</vt:lpwstr>
      </vt:variant>
      <vt:variant>
        <vt:i4>1966139</vt:i4>
      </vt:variant>
      <vt:variant>
        <vt:i4>306</vt:i4>
      </vt:variant>
      <vt:variant>
        <vt:i4>0</vt:i4>
      </vt:variant>
      <vt:variant>
        <vt:i4>5</vt:i4>
      </vt:variant>
      <vt:variant>
        <vt:lpwstr/>
      </vt:variant>
      <vt:variant>
        <vt:lpwstr>_Toc93390310</vt:lpwstr>
      </vt:variant>
      <vt:variant>
        <vt:i4>1507386</vt:i4>
      </vt:variant>
      <vt:variant>
        <vt:i4>300</vt:i4>
      </vt:variant>
      <vt:variant>
        <vt:i4>0</vt:i4>
      </vt:variant>
      <vt:variant>
        <vt:i4>5</vt:i4>
      </vt:variant>
      <vt:variant>
        <vt:lpwstr/>
      </vt:variant>
      <vt:variant>
        <vt:lpwstr>_Toc93390309</vt:lpwstr>
      </vt:variant>
      <vt:variant>
        <vt:i4>1441850</vt:i4>
      </vt:variant>
      <vt:variant>
        <vt:i4>294</vt:i4>
      </vt:variant>
      <vt:variant>
        <vt:i4>0</vt:i4>
      </vt:variant>
      <vt:variant>
        <vt:i4>5</vt:i4>
      </vt:variant>
      <vt:variant>
        <vt:lpwstr/>
      </vt:variant>
      <vt:variant>
        <vt:lpwstr>_Toc93390308</vt:lpwstr>
      </vt:variant>
      <vt:variant>
        <vt:i4>1638458</vt:i4>
      </vt:variant>
      <vt:variant>
        <vt:i4>288</vt:i4>
      </vt:variant>
      <vt:variant>
        <vt:i4>0</vt:i4>
      </vt:variant>
      <vt:variant>
        <vt:i4>5</vt:i4>
      </vt:variant>
      <vt:variant>
        <vt:lpwstr/>
      </vt:variant>
      <vt:variant>
        <vt:lpwstr>_Toc93390307</vt:lpwstr>
      </vt:variant>
      <vt:variant>
        <vt:i4>1572922</vt:i4>
      </vt:variant>
      <vt:variant>
        <vt:i4>282</vt:i4>
      </vt:variant>
      <vt:variant>
        <vt:i4>0</vt:i4>
      </vt:variant>
      <vt:variant>
        <vt:i4>5</vt:i4>
      </vt:variant>
      <vt:variant>
        <vt:lpwstr/>
      </vt:variant>
      <vt:variant>
        <vt:lpwstr>_Toc93390306</vt:lpwstr>
      </vt:variant>
      <vt:variant>
        <vt:i4>1769530</vt:i4>
      </vt:variant>
      <vt:variant>
        <vt:i4>276</vt:i4>
      </vt:variant>
      <vt:variant>
        <vt:i4>0</vt:i4>
      </vt:variant>
      <vt:variant>
        <vt:i4>5</vt:i4>
      </vt:variant>
      <vt:variant>
        <vt:lpwstr/>
      </vt:variant>
      <vt:variant>
        <vt:lpwstr>_Toc93390305</vt:lpwstr>
      </vt:variant>
      <vt:variant>
        <vt:i4>1703994</vt:i4>
      </vt:variant>
      <vt:variant>
        <vt:i4>270</vt:i4>
      </vt:variant>
      <vt:variant>
        <vt:i4>0</vt:i4>
      </vt:variant>
      <vt:variant>
        <vt:i4>5</vt:i4>
      </vt:variant>
      <vt:variant>
        <vt:lpwstr/>
      </vt:variant>
      <vt:variant>
        <vt:lpwstr>_Toc93390304</vt:lpwstr>
      </vt:variant>
      <vt:variant>
        <vt:i4>1900602</vt:i4>
      </vt:variant>
      <vt:variant>
        <vt:i4>264</vt:i4>
      </vt:variant>
      <vt:variant>
        <vt:i4>0</vt:i4>
      </vt:variant>
      <vt:variant>
        <vt:i4>5</vt:i4>
      </vt:variant>
      <vt:variant>
        <vt:lpwstr/>
      </vt:variant>
      <vt:variant>
        <vt:lpwstr>_Toc93390303</vt:lpwstr>
      </vt:variant>
      <vt:variant>
        <vt:i4>1835066</vt:i4>
      </vt:variant>
      <vt:variant>
        <vt:i4>258</vt:i4>
      </vt:variant>
      <vt:variant>
        <vt:i4>0</vt:i4>
      </vt:variant>
      <vt:variant>
        <vt:i4>5</vt:i4>
      </vt:variant>
      <vt:variant>
        <vt:lpwstr/>
      </vt:variant>
      <vt:variant>
        <vt:lpwstr>_Toc93390302</vt:lpwstr>
      </vt:variant>
      <vt:variant>
        <vt:i4>2031674</vt:i4>
      </vt:variant>
      <vt:variant>
        <vt:i4>252</vt:i4>
      </vt:variant>
      <vt:variant>
        <vt:i4>0</vt:i4>
      </vt:variant>
      <vt:variant>
        <vt:i4>5</vt:i4>
      </vt:variant>
      <vt:variant>
        <vt:lpwstr/>
      </vt:variant>
      <vt:variant>
        <vt:lpwstr>_Toc93390301</vt:lpwstr>
      </vt:variant>
      <vt:variant>
        <vt:i4>1966138</vt:i4>
      </vt:variant>
      <vt:variant>
        <vt:i4>246</vt:i4>
      </vt:variant>
      <vt:variant>
        <vt:i4>0</vt:i4>
      </vt:variant>
      <vt:variant>
        <vt:i4>5</vt:i4>
      </vt:variant>
      <vt:variant>
        <vt:lpwstr/>
      </vt:variant>
      <vt:variant>
        <vt:lpwstr>_Toc93390300</vt:lpwstr>
      </vt:variant>
      <vt:variant>
        <vt:i4>1441843</vt:i4>
      </vt:variant>
      <vt:variant>
        <vt:i4>240</vt:i4>
      </vt:variant>
      <vt:variant>
        <vt:i4>0</vt:i4>
      </vt:variant>
      <vt:variant>
        <vt:i4>5</vt:i4>
      </vt:variant>
      <vt:variant>
        <vt:lpwstr/>
      </vt:variant>
      <vt:variant>
        <vt:lpwstr>_Toc93390299</vt:lpwstr>
      </vt:variant>
      <vt:variant>
        <vt:i4>1507379</vt:i4>
      </vt:variant>
      <vt:variant>
        <vt:i4>234</vt:i4>
      </vt:variant>
      <vt:variant>
        <vt:i4>0</vt:i4>
      </vt:variant>
      <vt:variant>
        <vt:i4>5</vt:i4>
      </vt:variant>
      <vt:variant>
        <vt:lpwstr/>
      </vt:variant>
      <vt:variant>
        <vt:lpwstr>_Toc93390298</vt:lpwstr>
      </vt:variant>
      <vt:variant>
        <vt:i4>1572915</vt:i4>
      </vt:variant>
      <vt:variant>
        <vt:i4>228</vt:i4>
      </vt:variant>
      <vt:variant>
        <vt:i4>0</vt:i4>
      </vt:variant>
      <vt:variant>
        <vt:i4>5</vt:i4>
      </vt:variant>
      <vt:variant>
        <vt:lpwstr/>
      </vt:variant>
      <vt:variant>
        <vt:lpwstr>_Toc93390297</vt:lpwstr>
      </vt:variant>
      <vt:variant>
        <vt:i4>1638451</vt:i4>
      </vt:variant>
      <vt:variant>
        <vt:i4>222</vt:i4>
      </vt:variant>
      <vt:variant>
        <vt:i4>0</vt:i4>
      </vt:variant>
      <vt:variant>
        <vt:i4>5</vt:i4>
      </vt:variant>
      <vt:variant>
        <vt:lpwstr/>
      </vt:variant>
      <vt:variant>
        <vt:lpwstr>_Toc93390296</vt:lpwstr>
      </vt:variant>
      <vt:variant>
        <vt:i4>1703987</vt:i4>
      </vt:variant>
      <vt:variant>
        <vt:i4>216</vt:i4>
      </vt:variant>
      <vt:variant>
        <vt:i4>0</vt:i4>
      </vt:variant>
      <vt:variant>
        <vt:i4>5</vt:i4>
      </vt:variant>
      <vt:variant>
        <vt:lpwstr/>
      </vt:variant>
      <vt:variant>
        <vt:lpwstr>_Toc93390295</vt:lpwstr>
      </vt:variant>
      <vt:variant>
        <vt:i4>1769523</vt:i4>
      </vt:variant>
      <vt:variant>
        <vt:i4>210</vt:i4>
      </vt:variant>
      <vt:variant>
        <vt:i4>0</vt:i4>
      </vt:variant>
      <vt:variant>
        <vt:i4>5</vt:i4>
      </vt:variant>
      <vt:variant>
        <vt:lpwstr/>
      </vt:variant>
      <vt:variant>
        <vt:lpwstr>_Toc93390294</vt:lpwstr>
      </vt:variant>
      <vt:variant>
        <vt:i4>1835059</vt:i4>
      </vt:variant>
      <vt:variant>
        <vt:i4>204</vt:i4>
      </vt:variant>
      <vt:variant>
        <vt:i4>0</vt:i4>
      </vt:variant>
      <vt:variant>
        <vt:i4>5</vt:i4>
      </vt:variant>
      <vt:variant>
        <vt:lpwstr/>
      </vt:variant>
      <vt:variant>
        <vt:lpwstr>_Toc93390293</vt:lpwstr>
      </vt:variant>
      <vt:variant>
        <vt:i4>1900595</vt:i4>
      </vt:variant>
      <vt:variant>
        <vt:i4>198</vt:i4>
      </vt:variant>
      <vt:variant>
        <vt:i4>0</vt:i4>
      </vt:variant>
      <vt:variant>
        <vt:i4>5</vt:i4>
      </vt:variant>
      <vt:variant>
        <vt:lpwstr/>
      </vt:variant>
      <vt:variant>
        <vt:lpwstr>_Toc93390292</vt:lpwstr>
      </vt:variant>
      <vt:variant>
        <vt:i4>1966131</vt:i4>
      </vt:variant>
      <vt:variant>
        <vt:i4>192</vt:i4>
      </vt:variant>
      <vt:variant>
        <vt:i4>0</vt:i4>
      </vt:variant>
      <vt:variant>
        <vt:i4>5</vt:i4>
      </vt:variant>
      <vt:variant>
        <vt:lpwstr/>
      </vt:variant>
      <vt:variant>
        <vt:lpwstr>_Toc93390291</vt:lpwstr>
      </vt:variant>
      <vt:variant>
        <vt:i4>2031667</vt:i4>
      </vt:variant>
      <vt:variant>
        <vt:i4>186</vt:i4>
      </vt:variant>
      <vt:variant>
        <vt:i4>0</vt:i4>
      </vt:variant>
      <vt:variant>
        <vt:i4>5</vt:i4>
      </vt:variant>
      <vt:variant>
        <vt:lpwstr/>
      </vt:variant>
      <vt:variant>
        <vt:lpwstr>_Toc93390290</vt:lpwstr>
      </vt:variant>
      <vt:variant>
        <vt:i4>1441842</vt:i4>
      </vt:variant>
      <vt:variant>
        <vt:i4>180</vt:i4>
      </vt:variant>
      <vt:variant>
        <vt:i4>0</vt:i4>
      </vt:variant>
      <vt:variant>
        <vt:i4>5</vt:i4>
      </vt:variant>
      <vt:variant>
        <vt:lpwstr/>
      </vt:variant>
      <vt:variant>
        <vt:lpwstr>_Toc93390289</vt:lpwstr>
      </vt:variant>
      <vt:variant>
        <vt:i4>1507378</vt:i4>
      </vt:variant>
      <vt:variant>
        <vt:i4>174</vt:i4>
      </vt:variant>
      <vt:variant>
        <vt:i4>0</vt:i4>
      </vt:variant>
      <vt:variant>
        <vt:i4>5</vt:i4>
      </vt:variant>
      <vt:variant>
        <vt:lpwstr/>
      </vt:variant>
      <vt:variant>
        <vt:lpwstr>_Toc93390288</vt:lpwstr>
      </vt:variant>
      <vt:variant>
        <vt:i4>1572914</vt:i4>
      </vt:variant>
      <vt:variant>
        <vt:i4>168</vt:i4>
      </vt:variant>
      <vt:variant>
        <vt:i4>0</vt:i4>
      </vt:variant>
      <vt:variant>
        <vt:i4>5</vt:i4>
      </vt:variant>
      <vt:variant>
        <vt:lpwstr/>
      </vt:variant>
      <vt:variant>
        <vt:lpwstr>_Toc93390287</vt:lpwstr>
      </vt:variant>
      <vt:variant>
        <vt:i4>1638450</vt:i4>
      </vt:variant>
      <vt:variant>
        <vt:i4>162</vt:i4>
      </vt:variant>
      <vt:variant>
        <vt:i4>0</vt:i4>
      </vt:variant>
      <vt:variant>
        <vt:i4>5</vt:i4>
      </vt:variant>
      <vt:variant>
        <vt:lpwstr/>
      </vt:variant>
      <vt:variant>
        <vt:lpwstr>_Toc93390286</vt:lpwstr>
      </vt:variant>
      <vt:variant>
        <vt:i4>1703986</vt:i4>
      </vt:variant>
      <vt:variant>
        <vt:i4>156</vt:i4>
      </vt:variant>
      <vt:variant>
        <vt:i4>0</vt:i4>
      </vt:variant>
      <vt:variant>
        <vt:i4>5</vt:i4>
      </vt:variant>
      <vt:variant>
        <vt:lpwstr/>
      </vt:variant>
      <vt:variant>
        <vt:lpwstr>_Toc93390285</vt:lpwstr>
      </vt:variant>
      <vt:variant>
        <vt:i4>1769522</vt:i4>
      </vt:variant>
      <vt:variant>
        <vt:i4>150</vt:i4>
      </vt:variant>
      <vt:variant>
        <vt:i4>0</vt:i4>
      </vt:variant>
      <vt:variant>
        <vt:i4>5</vt:i4>
      </vt:variant>
      <vt:variant>
        <vt:lpwstr/>
      </vt:variant>
      <vt:variant>
        <vt:lpwstr>_Toc93390284</vt:lpwstr>
      </vt:variant>
      <vt:variant>
        <vt:i4>1835058</vt:i4>
      </vt:variant>
      <vt:variant>
        <vt:i4>144</vt:i4>
      </vt:variant>
      <vt:variant>
        <vt:i4>0</vt:i4>
      </vt:variant>
      <vt:variant>
        <vt:i4>5</vt:i4>
      </vt:variant>
      <vt:variant>
        <vt:lpwstr/>
      </vt:variant>
      <vt:variant>
        <vt:lpwstr>_Toc93390283</vt:lpwstr>
      </vt:variant>
      <vt:variant>
        <vt:i4>1900594</vt:i4>
      </vt:variant>
      <vt:variant>
        <vt:i4>138</vt:i4>
      </vt:variant>
      <vt:variant>
        <vt:i4>0</vt:i4>
      </vt:variant>
      <vt:variant>
        <vt:i4>5</vt:i4>
      </vt:variant>
      <vt:variant>
        <vt:lpwstr/>
      </vt:variant>
      <vt:variant>
        <vt:lpwstr>_Toc93390282</vt:lpwstr>
      </vt:variant>
      <vt:variant>
        <vt:i4>1966130</vt:i4>
      </vt:variant>
      <vt:variant>
        <vt:i4>132</vt:i4>
      </vt:variant>
      <vt:variant>
        <vt:i4>0</vt:i4>
      </vt:variant>
      <vt:variant>
        <vt:i4>5</vt:i4>
      </vt:variant>
      <vt:variant>
        <vt:lpwstr/>
      </vt:variant>
      <vt:variant>
        <vt:lpwstr>_Toc93390281</vt:lpwstr>
      </vt:variant>
      <vt:variant>
        <vt:i4>2031666</vt:i4>
      </vt:variant>
      <vt:variant>
        <vt:i4>126</vt:i4>
      </vt:variant>
      <vt:variant>
        <vt:i4>0</vt:i4>
      </vt:variant>
      <vt:variant>
        <vt:i4>5</vt:i4>
      </vt:variant>
      <vt:variant>
        <vt:lpwstr/>
      </vt:variant>
      <vt:variant>
        <vt:lpwstr>_Toc93390280</vt:lpwstr>
      </vt:variant>
      <vt:variant>
        <vt:i4>1441853</vt:i4>
      </vt:variant>
      <vt:variant>
        <vt:i4>120</vt:i4>
      </vt:variant>
      <vt:variant>
        <vt:i4>0</vt:i4>
      </vt:variant>
      <vt:variant>
        <vt:i4>5</vt:i4>
      </vt:variant>
      <vt:variant>
        <vt:lpwstr/>
      </vt:variant>
      <vt:variant>
        <vt:lpwstr>_Toc93390279</vt:lpwstr>
      </vt:variant>
      <vt:variant>
        <vt:i4>1507389</vt:i4>
      </vt:variant>
      <vt:variant>
        <vt:i4>114</vt:i4>
      </vt:variant>
      <vt:variant>
        <vt:i4>0</vt:i4>
      </vt:variant>
      <vt:variant>
        <vt:i4>5</vt:i4>
      </vt:variant>
      <vt:variant>
        <vt:lpwstr/>
      </vt:variant>
      <vt:variant>
        <vt:lpwstr>_Toc93390278</vt:lpwstr>
      </vt:variant>
      <vt:variant>
        <vt:i4>1572925</vt:i4>
      </vt:variant>
      <vt:variant>
        <vt:i4>108</vt:i4>
      </vt:variant>
      <vt:variant>
        <vt:i4>0</vt:i4>
      </vt:variant>
      <vt:variant>
        <vt:i4>5</vt:i4>
      </vt:variant>
      <vt:variant>
        <vt:lpwstr/>
      </vt:variant>
      <vt:variant>
        <vt:lpwstr>_Toc93390277</vt:lpwstr>
      </vt:variant>
      <vt:variant>
        <vt:i4>1638461</vt:i4>
      </vt:variant>
      <vt:variant>
        <vt:i4>102</vt:i4>
      </vt:variant>
      <vt:variant>
        <vt:i4>0</vt:i4>
      </vt:variant>
      <vt:variant>
        <vt:i4>5</vt:i4>
      </vt:variant>
      <vt:variant>
        <vt:lpwstr/>
      </vt:variant>
      <vt:variant>
        <vt:lpwstr>_Toc93390276</vt:lpwstr>
      </vt:variant>
      <vt:variant>
        <vt:i4>1703997</vt:i4>
      </vt:variant>
      <vt:variant>
        <vt:i4>96</vt:i4>
      </vt:variant>
      <vt:variant>
        <vt:i4>0</vt:i4>
      </vt:variant>
      <vt:variant>
        <vt:i4>5</vt:i4>
      </vt:variant>
      <vt:variant>
        <vt:lpwstr/>
      </vt:variant>
      <vt:variant>
        <vt:lpwstr>_Toc93390275</vt:lpwstr>
      </vt:variant>
      <vt:variant>
        <vt:i4>1769533</vt:i4>
      </vt:variant>
      <vt:variant>
        <vt:i4>90</vt:i4>
      </vt:variant>
      <vt:variant>
        <vt:i4>0</vt:i4>
      </vt:variant>
      <vt:variant>
        <vt:i4>5</vt:i4>
      </vt:variant>
      <vt:variant>
        <vt:lpwstr/>
      </vt:variant>
      <vt:variant>
        <vt:lpwstr>_Toc93390274</vt:lpwstr>
      </vt:variant>
      <vt:variant>
        <vt:i4>1835069</vt:i4>
      </vt:variant>
      <vt:variant>
        <vt:i4>84</vt:i4>
      </vt:variant>
      <vt:variant>
        <vt:i4>0</vt:i4>
      </vt:variant>
      <vt:variant>
        <vt:i4>5</vt:i4>
      </vt:variant>
      <vt:variant>
        <vt:lpwstr/>
      </vt:variant>
      <vt:variant>
        <vt:lpwstr>_Toc93390273</vt:lpwstr>
      </vt:variant>
      <vt:variant>
        <vt:i4>1900605</vt:i4>
      </vt:variant>
      <vt:variant>
        <vt:i4>78</vt:i4>
      </vt:variant>
      <vt:variant>
        <vt:i4>0</vt:i4>
      </vt:variant>
      <vt:variant>
        <vt:i4>5</vt:i4>
      </vt:variant>
      <vt:variant>
        <vt:lpwstr/>
      </vt:variant>
      <vt:variant>
        <vt:lpwstr>_Toc93390272</vt:lpwstr>
      </vt:variant>
      <vt:variant>
        <vt:i4>1966141</vt:i4>
      </vt:variant>
      <vt:variant>
        <vt:i4>72</vt:i4>
      </vt:variant>
      <vt:variant>
        <vt:i4>0</vt:i4>
      </vt:variant>
      <vt:variant>
        <vt:i4>5</vt:i4>
      </vt:variant>
      <vt:variant>
        <vt:lpwstr/>
      </vt:variant>
      <vt:variant>
        <vt:lpwstr>_Toc93390271</vt:lpwstr>
      </vt:variant>
      <vt:variant>
        <vt:i4>2031677</vt:i4>
      </vt:variant>
      <vt:variant>
        <vt:i4>66</vt:i4>
      </vt:variant>
      <vt:variant>
        <vt:i4>0</vt:i4>
      </vt:variant>
      <vt:variant>
        <vt:i4>5</vt:i4>
      </vt:variant>
      <vt:variant>
        <vt:lpwstr/>
      </vt:variant>
      <vt:variant>
        <vt:lpwstr>_Toc93390270</vt:lpwstr>
      </vt:variant>
      <vt:variant>
        <vt:i4>1441852</vt:i4>
      </vt:variant>
      <vt:variant>
        <vt:i4>60</vt:i4>
      </vt:variant>
      <vt:variant>
        <vt:i4>0</vt:i4>
      </vt:variant>
      <vt:variant>
        <vt:i4>5</vt:i4>
      </vt:variant>
      <vt:variant>
        <vt:lpwstr/>
      </vt:variant>
      <vt:variant>
        <vt:lpwstr>_Toc93390269</vt:lpwstr>
      </vt:variant>
      <vt:variant>
        <vt:i4>1507388</vt:i4>
      </vt:variant>
      <vt:variant>
        <vt:i4>54</vt:i4>
      </vt:variant>
      <vt:variant>
        <vt:i4>0</vt:i4>
      </vt:variant>
      <vt:variant>
        <vt:i4>5</vt:i4>
      </vt:variant>
      <vt:variant>
        <vt:lpwstr/>
      </vt:variant>
      <vt:variant>
        <vt:lpwstr>_Toc93390268</vt:lpwstr>
      </vt:variant>
      <vt:variant>
        <vt:i4>1572924</vt:i4>
      </vt:variant>
      <vt:variant>
        <vt:i4>48</vt:i4>
      </vt:variant>
      <vt:variant>
        <vt:i4>0</vt:i4>
      </vt:variant>
      <vt:variant>
        <vt:i4>5</vt:i4>
      </vt:variant>
      <vt:variant>
        <vt:lpwstr/>
      </vt:variant>
      <vt:variant>
        <vt:lpwstr>_Toc93390267</vt:lpwstr>
      </vt:variant>
      <vt:variant>
        <vt:i4>1638460</vt:i4>
      </vt:variant>
      <vt:variant>
        <vt:i4>42</vt:i4>
      </vt:variant>
      <vt:variant>
        <vt:i4>0</vt:i4>
      </vt:variant>
      <vt:variant>
        <vt:i4>5</vt:i4>
      </vt:variant>
      <vt:variant>
        <vt:lpwstr/>
      </vt:variant>
      <vt:variant>
        <vt:lpwstr>_Toc93390266</vt:lpwstr>
      </vt:variant>
      <vt:variant>
        <vt:i4>1703996</vt:i4>
      </vt:variant>
      <vt:variant>
        <vt:i4>36</vt:i4>
      </vt:variant>
      <vt:variant>
        <vt:i4>0</vt:i4>
      </vt:variant>
      <vt:variant>
        <vt:i4>5</vt:i4>
      </vt:variant>
      <vt:variant>
        <vt:lpwstr/>
      </vt:variant>
      <vt:variant>
        <vt:lpwstr>_Toc93390265</vt:lpwstr>
      </vt:variant>
      <vt:variant>
        <vt:i4>1769532</vt:i4>
      </vt:variant>
      <vt:variant>
        <vt:i4>30</vt:i4>
      </vt:variant>
      <vt:variant>
        <vt:i4>0</vt:i4>
      </vt:variant>
      <vt:variant>
        <vt:i4>5</vt:i4>
      </vt:variant>
      <vt:variant>
        <vt:lpwstr/>
      </vt:variant>
      <vt:variant>
        <vt:lpwstr>_Toc93390264</vt:lpwstr>
      </vt:variant>
      <vt:variant>
        <vt:i4>1835068</vt:i4>
      </vt:variant>
      <vt:variant>
        <vt:i4>24</vt:i4>
      </vt:variant>
      <vt:variant>
        <vt:i4>0</vt:i4>
      </vt:variant>
      <vt:variant>
        <vt:i4>5</vt:i4>
      </vt:variant>
      <vt:variant>
        <vt:lpwstr/>
      </vt:variant>
      <vt:variant>
        <vt:lpwstr>_Toc93390263</vt:lpwstr>
      </vt:variant>
      <vt:variant>
        <vt:i4>1900604</vt:i4>
      </vt:variant>
      <vt:variant>
        <vt:i4>18</vt:i4>
      </vt:variant>
      <vt:variant>
        <vt:i4>0</vt:i4>
      </vt:variant>
      <vt:variant>
        <vt:i4>5</vt:i4>
      </vt:variant>
      <vt:variant>
        <vt:lpwstr/>
      </vt:variant>
      <vt:variant>
        <vt:lpwstr>_Toc93390262</vt:lpwstr>
      </vt:variant>
      <vt:variant>
        <vt:i4>1966140</vt:i4>
      </vt:variant>
      <vt:variant>
        <vt:i4>12</vt:i4>
      </vt:variant>
      <vt:variant>
        <vt:i4>0</vt:i4>
      </vt:variant>
      <vt:variant>
        <vt:i4>5</vt:i4>
      </vt:variant>
      <vt:variant>
        <vt:lpwstr/>
      </vt:variant>
      <vt:variant>
        <vt:lpwstr>_Toc93390261</vt:lpwstr>
      </vt:variant>
      <vt:variant>
        <vt:i4>2031676</vt:i4>
      </vt:variant>
      <vt:variant>
        <vt:i4>6</vt:i4>
      </vt:variant>
      <vt:variant>
        <vt:i4>0</vt:i4>
      </vt:variant>
      <vt:variant>
        <vt:i4>5</vt:i4>
      </vt:variant>
      <vt:variant>
        <vt:lpwstr/>
      </vt:variant>
      <vt:variant>
        <vt:lpwstr>_Toc93390260</vt:lpwstr>
      </vt:variant>
      <vt:variant>
        <vt:i4>5767169</vt:i4>
      </vt:variant>
      <vt:variant>
        <vt:i4>141</vt:i4>
      </vt:variant>
      <vt:variant>
        <vt:i4>0</vt:i4>
      </vt:variant>
      <vt:variant>
        <vt:i4>5</vt:i4>
      </vt:variant>
      <vt:variant>
        <vt:lpwstr>https://cd2e.com/wp-content/uploads/2021/02/Rapport-BATIMENT-DURABLE-2020.pdf</vt:lpwstr>
      </vt:variant>
      <vt:variant>
        <vt:lpwstr/>
      </vt:variant>
      <vt:variant>
        <vt:i4>5767169</vt:i4>
      </vt:variant>
      <vt:variant>
        <vt:i4>138</vt:i4>
      </vt:variant>
      <vt:variant>
        <vt:i4>0</vt:i4>
      </vt:variant>
      <vt:variant>
        <vt:i4>5</vt:i4>
      </vt:variant>
      <vt:variant>
        <vt:lpwstr>https://cd2e.com/wp-content/uploads/2021/02/Rapport-BATIMENT-DURABLE-2020.pdf</vt:lpwstr>
      </vt:variant>
      <vt:variant>
        <vt:lpwstr/>
      </vt:variant>
      <vt:variant>
        <vt:i4>2752547</vt:i4>
      </vt:variant>
      <vt:variant>
        <vt:i4>135</vt:i4>
      </vt:variant>
      <vt:variant>
        <vt:i4>0</vt:i4>
      </vt:variant>
      <vt:variant>
        <vt:i4>5</vt:i4>
      </vt:variant>
      <vt:variant>
        <vt:lpwstr>http://www.hauts-de-france.developpement-durable.gouv.fr/?Atlas-du-parc-prive-novembre-2019</vt:lpwstr>
      </vt:variant>
      <vt:variant>
        <vt:lpwstr/>
      </vt:variant>
      <vt:variant>
        <vt:i4>7340129</vt:i4>
      </vt:variant>
      <vt:variant>
        <vt:i4>132</vt:i4>
      </vt:variant>
      <vt:variant>
        <vt:i4>0</vt:i4>
      </vt:variant>
      <vt:variant>
        <vt:i4>5</vt:i4>
      </vt:variant>
      <vt:variant>
        <vt:lpwstr>https://www.statistiques.developpement-durable.gouv.fr/sites/default/files/2020-09/document_travail_49_parc_logements_consommation_energie_septembre2020_0.pdf</vt:lpwstr>
      </vt:variant>
      <vt:variant>
        <vt:lpwstr/>
      </vt:variant>
      <vt:variant>
        <vt:i4>3735657</vt:i4>
      </vt:variant>
      <vt:variant>
        <vt:i4>129</vt:i4>
      </vt:variant>
      <vt:variant>
        <vt:i4>0</vt:i4>
      </vt:variant>
      <vt:variant>
        <vt:i4>5</vt:i4>
      </vt:variant>
      <vt:variant>
        <vt:lpwstr>http://www.cerc-hautsdefrance.fr/wp-content/uploads/2020/10/BD-Annuel-HDF_2019_VF.pdf</vt:lpwstr>
      </vt:variant>
      <vt:variant>
        <vt:lpwstr/>
      </vt:variant>
      <vt:variant>
        <vt:i4>2752571</vt:i4>
      </vt:variant>
      <vt:variant>
        <vt:i4>126</vt:i4>
      </vt:variant>
      <vt:variant>
        <vt:i4>0</vt:i4>
      </vt:variant>
      <vt:variant>
        <vt:i4>5</vt:i4>
      </vt:variant>
      <vt:variant>
        <vt:lpwstr>https://hautsdefrance.cci.fr/content/uploads/sites/6/2020/09/chiffres-cles-hdf-2020-21x21-1.pdf</vt:lpwstr>
      </vt:variant>
      <vt:variant>
        <vt:lpwstr/>
      </vt:variant>
      <vt:variant>
        <vt:i4>458767</vt:i4>
      </vt:variant>
      <vt:variant>
        <vt:i4>123</vt:i4>
      </vt:variant>
      <vt:variant>
        <vt:i4>0</vt:i4>
      </vt:variant>
      <vt:variant>
        <vt:i4>5</vt:i4>
      </vt:variant>
      <vt:variant>
        <vt:lpwstr>https://www.actu-environnement.com/ae/news/filiere-bois-RE2020-construction-neuve-mixite-materiaux-beton-bbca-icade-btpconsultants-fibois-37209.php4</vt:lpwstr>
      </vt:variant>
      <vt:variant>
        <vt:lpwstr/>
      </vt:variant>
      <vt:variant>
        <vt:i4>1769541</vt:i4>
      </vt:variant>
      <vt:variant>
        <vt:i4>120</vt:i4>
      </vt:variant>
      <vt:variant>
        <vt:i4>0</vt:i4>
      </vt:variant>
      <vt:variant>
        <vt:i4>5</vt:i4>
      </vt:variant>
      <vt:variant>
        <vt:lpwstr>https://www.lemonde.fr/economie/article/2021/05/26/penurie-et-flambee-des-prix-la-filiere-bois-au-bord-de-la-crise-de-nerfs_6081522_3234.html</vt:lpwstr>
      </vt:variant>
      <vt:variant>
        <vt:lpwstr/>
      </vt:variant>
      <vt:variant>
        <vt:i4>3735657</vt:i4>
      </vt:variant>
      <vt:variant>
        <vt:i4>117</vt:i4>
      </vt:variant>
      <vt:variant>
        <vt:i4>0</vt:i4>
      </vt:variant>
      <vt:variant>
        <vt:i4>5</vt:i4>
      </vt:variant>
      <vt:variant>
        <vt:lpwstr>http://www.cerc-hautsdefrance.fr/wp-content/uploads/2020/10/BD-Annuel-HDF_2019_VF.pdf</vt:lpwstr>
      </vt:variant>
      <vt:variant>
        <vt:lpwstr/>
      </vt:variant>
      <vt:variant>
        <vt:i4>6881375</vt:i4>
      </vt:variant>
      <vt:variant>
        <vt:i4>114</vt:i4>
      </vt:variant>
      <vt:variant>
        <vt:i4>0</vt:i4>
      </vt:variant>
      <vt:variant>
        <vt:i4>5</vt:i4>
      </vt:variant>
      <vt:variant>
        <vt:lpwstr>https://dreal.statistiques.developpement-durable.gouv.fr/parc_social/2020/hauts_de_france/</vt:lpwstr>
      </vt:variant>
      <vt:variant>
        <vt:lpwstr/>
      </vt:variant>
      <vt:variant>
        <vt:i4>5767169</vt:i4>
      </vt:variant>
      <vt:variant>
        <vt:i4>111</vt:i4>
      </vt:variant>
      <vt:variant>
        <vt:i4>0</vt:i4>
      </vt:variant>
      <vt:variant>
        <vt:i4>5</vt:i4>
      </vt:variant>
      <vt:variant>
        <vt:lpwstr>https://cd2e.com/wp-content/uploads/2021/02/Rapport-BATIMENT-DURABLE-2020.pdf</vt:lpwstr>
      </vt:variant>
      <vt:variant>
        <vt:lpwstr/>
      </vt:variant>
      <vt:variant>
        <vt:i4>5767169</vt:i4>
      </vt:variant>
      <vt:variant>
        <vt:i4>108</vt:i4>
      </vt:variant>
      <vt:variant>
        <vt:i4>0</vt:i4>
      </vt:variant>
      <vt:variant>
        <vt:i4>5</vt:i4>
      </vt:variant>
      <vt:variant>
        <vt:lpwstr>https://cd2e.com/wp-content/uploads/2021/02/Rapport-BATIMENT-DURABLE-2020.pdf</vt:lpwstr>
      </vt:variant>
      <vt:variant>
        <vt:lpwstr/>
      </vt:variant>
      <vt:variant>
        <vt:i4>6881375</vt:i4>
      </vt:variant>
      <vt:variant>
        <vt:i4>105</vt:i4>
      </vt:variant>
      <vt:variant>
        <vt:i4>0</vt:i4>
      </vt:variant>
      <vt:variant>
        <vt:i4>5</vt:i4>
      </vt:variant>
      <vt:variant>
        <vt:lpwstr>https://dreal.statistiques.developpement-durable.gouv.fr/parc_social/2020/hauts_de_france/</vt:lpwstr>
      </vt:variant>
      <vt:variant>
        <vt:lpwstr/>
      </vt:variant>
      <vt:variant>
        <vt:i4>3735657</vt:i4>
      </vt:variant>
      <vt:variant>
        <vt:i4>102</vt:i4>
      </vt:variant>
      <vt:variant>
        <vt:i4>0</vt:i4>
      </vt:variant>
      <vt:variant>
        <vt:i4>5</vt:i4>
      </vt:variant>
      <vt:variant>
        <vt:lpwstr>http://www.cerc-hautsdefrance.fr/wp-content/uploads/2020/10/BD-Annuel-HDF_2019_VF.pdf</vt:lpwstr>
      </vt:variant>
      <vt:variant>
        <vt:lpwstr/>
      </vt:variant>
      <vt:variant>
        <vt:i4>3735657</vt:i4>
      </vt:variant>
      <vt:variant>
        <vt:i4>99</vt:i4>
      </vt:variant>
      <vt:variant>
        <vt:i4>0</vt:i4>
      </vt:variant>
      <vt:variant>
        <vt:i4>5</vt:i4>
      </vt:variant>
      <vt:variant>
        <vt:lpwstr>http://www.cerc-hautsdefrance.fr/wp-content/uploads/2020/10/BD-Annuel-HDF_2019_VF.pdf</vt:lpwstr>
      </vt:variant>
      <vt:variant>
        <vt:lpwstr/>
      </vt:variant>
      <vt:variant>
        <vt:i4>5767169</vt:i4>
      </vt:variant>
      <vt:variant>
        <vt:i4>96</vt:i4>
      </vt:variant>
      <vt:variant>
        <vt:i4>0</vt:i4>
      </vt:variant>
      <vt:variant>
        <vt:i4>5</vt:i4>
      </vt:variant>
      <vt:variant>
        <vt:lpwstr>https://cd2e.com/wp-content/uploads/2021/02/Rapport-BATIMENT-DURABLE-2020.pdf</vt:lpwstr>
      </vt:variant>
      <vt:variant>
        <vt:lpwstr/>
      </vt:variant>
      <vt:variant>
        <vt:i4>5767169</vt:i4>
      </vt:variant>
      <vt:variant>
        <vt:i4>93</vt:i4>
      </vt:variant>
      <vt:variant>
        <vt:i4>0</vt:i4>
      </vt:variant>
      <vt:variant>
        <vt:i4>5</vt:i4>
      </vt:variant>
      <vt:variant>
        <vt:lpwstr>https://cd2e.com/wp-content/uploads/2021/02/Rapport-BATIMENT-DURABLE-2020.pdf</vt:lpwstr>
      </vt:variant>
      <vt:variant>
        <vt:lpwstr/>
      </vt:variant>
      <vt:variant>
        <vt:i4>4653125</vt:i4>
      </vt:variant>
      <vt:variant>
        <vt:i4>90</vt:i4>
      </vt:variant>
      <vt:variant>
        <vt:i4>0</vt:i4>
      </vt:variant>
      <vt:variant>
        <vt:i4>5</vt:i4>
      </vt:variant>
      <vt:variant>
        <vt:lpwstr>https://www.engie-cofely.fr/actualites/decret-tertiaire/</vt:lpwstr>
      </vt:variant>
      <vt:variant>
        <vt:lpwstr/>
      </vt:variant>
      <vt:variant>
        <vt:i4>8257661</vt:i4>
      </vt:variant>
      <vt:variant>
        <vt:i4>87</vt:i4>
      </vt:variant>
      <vt:variant>
        <vt:i4>0</vt:i4>
      </vt:variant>
      <vt:variant>
        <vt:i4>5</vt:i4>
      </vt:variant>
      <vt:variant>
        <vt:lpwstr>https://www.geothermies.fr/outils/guides/cartes-des-installations-de-geothermie-en-hauts-de-france-2019</vt:lpwstr>
      </vt:variant>
      <vt:variant>
        <vt:lpwstr/>
      </vt:variant>
      <vt:variant>
        <vt:i4>4784204</vt:i4>
      </vt:variant>
      <vt:variant>
        <vt:i4>84</vt:i4>
      </vt:variant>
      <vt:variant>
        <vt:i4>0</vt:i4>
      </vt:variant>
      <vt:variant>
        <vt:i4>5</vt:i4>
      </vt:variant>
      <vt:variant>
        <vt:lpwstr>https://opendata.reseaux-energies.fr/</vt:lpwstr>
      </vt:variant>
      <vt:variant>
        <vt:lpwstr/>
      </vt:variant>
      <vt:variant>
        <vt:i4>2949226</vt:i4>
      </vt:variant>
      <vt:variant>
        <vt:i4>81</vt:i4>
      </vt:variant>
      <vt:variant>
        <vt:i4>0</vt:i4>
      </vt:variant>
      <vt:variant>
        <vt:i4>5</vt:i4>
      </vt:variant>
      <vt:variant>
        <vt:lpwstr>https://www.effy.fr/flash-info/eco-ptz-une-aide-a-reformer</vt:lpwstr>
      </vt:variant>
      <vt:variant>
        <vt:lpwstr/>
      </vt:variant>
      <vt:variant>
        <vt:i4>5570635</vt:i4>
      </vt:variant>
      <vt:variant>
        <vt:i4>78</vt:i4>
      </vt:variant>
      <vt:variant>
        <vt:i4>0</vt:i4>
      </vt:variant>
      <vt:variant>
        <vt:i4>5</vt:i4>
      </vt:variant>
      <vt:variant>
        <vt:lpwstr>https://www.infoenergie-centre.org/eco-pret-a-taux-zero.html</vt:lpwstr>
      </vt:variant>
      <vt:variant>
        <vt:lpwstr/>
      </vt:variant>
      <vt:variant>
        <vt:i4>6422648</vt:i4>
      </vt:variant>
      <vt:variant>
        <vt:i4>75</vt:i4>
      </vt:variant>
      <vt:variant>
        <vt:i4>0</vt:i4>
      </vt:variant>
      <vt:variant>
        <vt:i4>5</vt:i4>
      </vt:variant>
      <vt:variant>
        <vt:lpwstr>https://groupe.actionlogement.fr/lancement-des-3-premieres-mesures-du-plan-d-investissement-volontaire</vt:lpwstr>
      </vt:variant>
      <vt:variant>
        <vt:lpwstr/>
      </vt:variant>
      <vt:variant>
        <vt:i4>4915272</vt:i4>
      </vt:variant>
      <vt:variant>
        <vt:i4>72</vt:i4>
      </vt:variant>
      <vt:variant>
        <vt:i4>0</vt:i4>
      </vt:variant>
      <vt:variant>
        <vt:i4>5</vt:i4>
      </vt:variant>
      <vt:variant>
        <vt:lpwstr>https://www.actionlogement.fr/aide-renovation-energetique</vt:lpwstr>
      </vt:variant>
      <vt:variant>
        <vt:lpwstr/>
      </vt:variant>
      <vt:variant>
        <vt:i4>1703964</vt:i4>
      </vt:variant>
      <vt:variant>
        <vt:i4>69</vt:i4>
      </vt:variant>
      <vt:variant>
        <vt:i4>0</vt:i4>
      </vt:variant>
      <vt:variant>
        <vt:i4>5</vt:i4>
      </vt:variant>
      <vt:variant>
        <vt:lpwstr>https://www.economie.gouv.fr/cedef/ma-prime-renov</vt:lpwstr>
      </vt:variant>
      <vt:variant>
        <vt:lpwstr/>
      </vt:variant>
      <vt:variant>
        <vt:i4>7733311</vt:i4>
      </vt:variant>
      <vt:variant>
        <vt:i4>66</vt:i4>
      </vt:variant>
      <vt:variant>
        <vt:i4>0</vt:i4>
      </vt:variant>
      <vt:variant>
        <vt:i4>5</vt:i4>
      </vt:variant>
      <vt:variant>
        <vt:lpwstr>https://www.economie.gouv.fr/plan-de-relance/renovation-energetique</vt:lpwstr>
      </vt:variant>
      <vt:variant>
        <vt:lpwstr/>
      </vt:variant>
      <vt:variant>
        <vt:i4>5505031</vt:i4>
      </vt:variant>
      <vt:variant>
        <vt:i4>63</vt:i4>
      </vt:variant>
      <vt:variant>
        <vt:i4>0</vt:i4>
      </vt:variant>
      <vt:variant>
        <vt:i4>5</vt:i4>
      </vt:variant>
      <vt:variant>
        <vt:lpwstr>https://www.lesechos.fr/politique-societe/societe/emmanuel-macron-promet-une-ecologie-du-mieux-sans-entrer-dans-le-detail-1223569</vt:lpwstr>
      </vt:variant>
      <vt:variant>
        <vt:lpwstr/>
      </vt:variant>
      <vt:variant>
        <vt:i4>589837</vt:i4>
      </vt:variant>
      <vt:variant>
        <vt:i4>60</vt:i4>
      </vt:variant>
      <vt:variant>
        <vt:i4>0</vt:i4>
      </vt:variant>
      <vt:variant>
        <vt:i4>5</vt:i4>
      </vt:variant>
      <vt:variant>
        <vt:lpwstr>https://www.environnement-magazine.fr/energie/article/2020/02/20/127966/maprimerenov-peut-mieux-faire</vt:lpwstr>
      </vt:variant>
      <vt:variant>
        <vt:lpwstr/>
      </vt:variant>
      <vt:variant>
        <vt:i4>7340155</vt:i4>
      </vt:variant>
      <vt:variant>
        <vt:i4>57</vt:i4>
      </vt:variant>
      <vt:variant>
        <vt:i4>0</vt:i4>
      </vt:variant>
      <vt:variant>
        <vt:i4>5</vt:i4>
      </vt:variant>
      <vt:variant>
        <vt:lpwstr>https://www.economie.gouv.fr/particuliers/prime-renovation-energetique</vt:lpwstr>
      </vt:variant>
      <vt:variant>
        <vt:lpwstr/>
      </vt:variant>
      <vt:variant>
        <vt:i4>5111830</vt:i4>
      </vt:variant>
      <vt:variant>
        <vt:i4>54</vt:i4>
      </vt:variant>
      <vt:variant>
        <vt:i4>0</vt:i4>
      </vt:variant>
      <vt:variant>
        <vt:i4>5</vt:i4>
      </vt:variant>
      <vt:variant>
        <vt:lpwstr>https://www.calculeo.fr/Subventions/Pacte-Energie-Solidarite</vt:lpwstr>
      </vt:variant>
      <vt:variant>
        <vt:lpwstr/>
      </vt:variant>
      <vt:variant>
        <vt:i4>2818145</vt:i4>
      </vt:variant>
      <vt:variant>
        <vt:i4>51</vt:i4>
      </vt:variant>
      <vt:variant>
        <vt:i4>0</vt:i4>
      </vt:variant>
      <vt:variant>
        <vt:i4>5</vt:i4>
      </vt:variant>
      <vt:variant>
        <vt:lpwstr>https://www.calculeo.fr/Subventions/La-TVA-reduite</vt:lpwstr>
      </vt:variant>
      <vt:variant>
        <vt:lpwstr/>
      </vt:variant>
      <vt:variant>
        <vt:i4>4980758</vt:i4>
      </vt:variant>
      <vt:variant>
        <vt:i4>48</vt:i4>
      </vt:variant>
      <vt:variant>
        <vt:i4>0</vt:i4>
      </vt:variant>
      <vt:variant>
        <vt:i4>5</vt:i4>
      </vt:variant>
      <vt:variant>
        <vt:lpwstr>https://www.pass-renovation.hautsdefrance.fr/</vt:lpwstr>
      </vt:variant>
      <vt:variant>
        <vt:lpwstr/>
      </vt:variant>
      <vt:variant>
        <vt:i4>7012417</vt:i4>
      </vt:variant>
      <vt:variant>
        <vt:i4>45</vt:i4>
      </vt:variant>
      <vt:variant>
        <vt:i4>0</vt:i4>
      </vt:variant>
      <vt:variant>
        <vt:i4>5</vt:i4>
      </vt:variant>
      <vt:variant>
        <vt:lpwstr>https://api.faire.gouv.fr/sites/default/files/2020-03/ADEME-AidesFinancieres_Web14.pdf</vt:lpwstr>
      </vt:variant>
      <vt:variant>
        <vt:lpwstr/>
      </vt:variant>
      <vt:variant>
        <vt:i4>3145728</vt:i4>
      </vt:variant>
      <vt:variant>
        <vt:i4>42</vt:i4>
      </vt:variant>
      <vt:variant>
        <vt:i4>0</vt:i4>
      </vt:variant>
      <vt:variant>
        <vt:i4>5</vt:i4>
      </vt:variant>
      <vt:variant>
        <vt:lpwstr>https://www.cohesion-territoires.gouv.fr/sites/default/files/2019-07/Rénovation_Boite à outils des aides.pdf</vt:lpwstr>
      </vt:variant>
      <vt:variant>
        <vt:lpwstr/>
      </vt:variant>
      <vt:variant>
        <vt:i4>1572886</vt:i4>
      </vt:variant>
      <vt:variant>
        <vt:i4>39</vt:i4>
      </vt:variant>
      <vt:variant>
        <vt:i4>0</vt:i4>
      </vt:variant>
      <vt:variant>
        <vt:i4>5</vt:i4>
      </vt:variant>
      <vt:variant>
        <vt:lpwstr>http://www.energiesprong.fr/</vt:lpwstr>
      </vt:variant>
      <vt:variant>
        <vt:lpwstr/>
      </vt:variant>
      <vt:variant>
        <vt:i4>3145784</vt:i4>
      </vt:variant>
      <vt:variant>
        <vt:i4>36</vt:i4>
      </vt:variant>
      <vt:variant>
        <vt:i4>0</vt:i4>
      </vt:variant>
      <vt:variant>
        <vt:i4>5</vt:i4>
      </vt:variant>
      <vt:variant>
        <vt:lpwstr>https://www.lavoixdunord.fr/327587/article/2018-03-02/la-municipalite-accorde-des-garanties-d-emprunt-aux-bailleurs-sociaux</vt:lpwstr>
      </vt:variant>
      <vt:variant>
        <vt:lpwstr/>
      </vt:variant>
      <vt:variant>
        <vt:i4>6422578</vt:i4>
      </vt:variant>
      <vt:variant>
        <vt:i4>33</vt:i4>
      </vt:variant>
      <vt:variant>
        <vt:i4>0</vt:i4>
      </vt:variant>
      <vt:variant>
        <vt:i4>5</vt:i4>
      </vt:variant>
      <vt:variant>
        <vt:lpwstr>https://site.arkea-banque-ei.com/nos-expertises/institutionnels-et-collectivites/nos-services/</vt:lpwstr>
      </vt:variant>
      <vt:variant>
        <vt:lpwstr/>
      </vt:variant>
      <vt:variant>
        <vt:i4>4128877</vt:i4>
      </vt:variant>
      <vt:variant>
        <vt:i4>30</vt:i4>
      </vt:variant>
      <vt:variant>
        <vt:i4>0</vt:i4>
      </vt:variant>
      <vt:variant>
        <vt:i4>5</vt:i4>
      </vt:variant>
      <vt:variant>
        <vt:lpwstr>https://www.banquedesterritoires.fr/la-caisse-des-depots-sinvestit-dans-la-relance</vt:lpwstr>
      </vt:variant>
      <vt:variant>
        <vt:lpwstr/>
      </vt:variant>
      <vt:variant>
        <vt:i4>2621462</vt:i4>
      </vt:variant>
      <vt:variant>
        <vt:i4>27</vt:i4>
      </vt:variant>
      <vt:variant>
        <vt:i4>0</vt:i4>
      </vt:variant>
      <vt:variant>
        <vt:i4>5</vt:i4>
      </vt:variant>
      <vt:variant>
        <vt:lpwstr>https://www.economie.gouv.fr/files/files/directions_services/plan-de-relance/annexe-fiche-mesures.pdf</vt:lpwstr>
      </vt:variant>
      <vt:variant>
        <vt:lpwstr/>
      </vt:variant>
      <vt:variant>
        <vt:i4>6881381</vt:i4>
      </vt:variant>
      <vt:variant>
        <vt:i4>24</vt:i4>
      </vt:variant>
      <vt:variant>
        <vt:i4>0</vt:i4>
      </vt:variant>
      <vt:variant>
        <vt:i4>5</vt:i4>
      </vt:variant>
      <vt:variant>
        <vt:lpwstr>https://www.ecologie.gouv.fr/leco-pret-logement-social-eco-pls</vt:lpwstr>
      </vt:variant>
      <vt:variant>
        <vt:lpwstr/>
      </vt:variant>
      <vt:variant>
        <vt:i4>6357028</vt:i4>
      </vt:variant>
      <vt:variant>
        <vt:i4>21</vt:i4>
      </vt:variant>
      <vt:variant>
        <vt:i4>0</vt:i4>
      </vt:variant>
      <vt:variant>
        <vt:i4>5</vt:i4>
      </vt:variant>
      <vt:variant>
        <vt:lpwstr>https://www.horizon2020.gouv.fr/cid150575/european-green-deal-un-appel-d-1-milliard-d-euros-en-juillet.html</vt:lpwstr>
      </vt:variant>
      <vt:variant>
        <vt:lpwstr/>
      </vt:variant>
      <vt:variant>
        <vt:i4>4849749</vt:i4>
      </vt:variant>
      <vt:variant>
        <vt:i4>18</vt:i4>
      </vt:variant>
      <vt:variant>
        <vt:i4>0</vt:i4>
      </vt:variant>
      <vt:variant>
        <vt:i4>5</vt:i4>
      </vt:variant>
      <vt:variant>
        <vt:lpwstr>https://www.novethic.fr/actualite/finance-durable/isr-rse/40-milliards-pour-transformer-l-economie-le-projet-en-quatre-ans-de-la-banque-du-climat-148965.html</vt:lpwstr>
      </vt:variant>
      <vt:variant>
        <vt:lpwstr/>
      </vt:variant>
      <vt:variant>
        <vt:i4>8257639</vt:i4>
      </vt:variant>
      <vt:variant>
        <vt:i4>15</vt:i4>
      </vt:variant>
      <vt:variant>
        <vt:i4>0</vt:i4>
      </vt:variant>
      <vt:variant>
        <vt:i4>5</vt:i4>
      </vt:variant>
      <vt:variant>
        <vt:lpwstr>https://www.banquedesterritoires.fr/pret-gpi-ambre</vt:lpwstr>
      </vt:variant>
      <vt:variant>
        <vt:lpwstr/>
      </vt:variant>
      <vt:variant>
        <vt:i4>983055</vt:i4>
      </vt:variant>
      <vt:variant>
        <vt:i4>12</vt:i4>
      </vt:variant>
      <vt:variant>
        <vt:i4>0</vt:i4>
      </vt:variant>
      <vt:variant>
        <vt:i4>5</vt:i4>
      </vt:variant>
      <vt:variant>
        <vt:lpwstr>https://www.banquedesterritoires.fr/grand-plan-dinvestissement-10-milliards-deuros-pour-les-collectivites</vt:lpwstr>
      </vt:variant>
      <vt:variant>
        <vt:lpwstr/>
      </vt:variant>
      <vt:variant>
        <vt:i4>2752573</vt:i4>
      </vt:variant>
      <vt:variant>
        <vt:i4>9</vt:i4>
      </vt:variant>
      <vt:variant>
        <vt:i4>0</vt:i4>
      </vt:variant>
      <vt:variant>
        <vt:i4>5</vt:i4>
      </vt:variant>
      <vt:variant>
        <vt:lpwstr>https://www.cerema.fr/fr/actualites/intracting-demarche-financer-renovation-energetique</vt:lpwstr>
      </vt:variant>
      <vt:variant>
        <vt:lpwstr/>
      </vt:variant>
      <vt:variant>
        <vt:i4>131076</vt:i4>
      </vt:variant>
      <vt:variant>
        <vt:i4>6</vt:i4>
      </vt:variant>
      <vt:variant>
        <vt:i4>0</vt:i4>
      </vt:variant>
      <vt:variant>
        <vt:i4>5</vt:i4>
      </vt:variant>
      <vt:variant>
        <vt:lpwstr>https://www.calculeo.fr/Subventions/Prime-energie</vt:lpwstr>
      </vt:variant>
      <vt:variant>
        <vt:lpwstr/>
      </vt:variant>
      <vt:variant>
        <vt:i4>196631</vt:i4>
      </vt:variant>
      <vt:variant>
        <vt:i4>3</vt:i4>
      </vt:variant>
      <vt:variant>
        <vt:i4>0</vt:i4>
      </vt:variant>
      <vt:variant>
        <vt:i4>5</vt:i4>
      </vt:variant>
      <vt:variant>
        <vt:lpwstr>https://www.ecologie.gouv.fr/france-relance-transition-ecologique</vt:lpwstr>
      </vt:variant>
      <vt:variant>
        <vt:lpwstr/>
      </vt:variant>
      <vt:variant>
        <vt:i4>5505031</vt:i4>
      </vt:variant>
      <vt:variant>
        <vt:i4>0</vt:i4>
      </vt:variant>
      <vt:variant>
        <vt:i4>0</vt:i4>
      </vt:variant>
      <vt:variant>
        <vt:i4>5</vt:i4>
      </vt:variant>
      <vt:variant>
        <vt:lpwstr>https://www.lesechos.fr/politique-societe/societe/emmanuel-macron-promet-une-ecologie-du-mieux-sans-entrer-dans-le-detail-1223569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d’évaluation ex-ante à la mise en place d’instruments financiers dans le cadre du programme opérationnel 2021-2027 FEDER-FSE de la Région Hauts-de-France</dc:title>
  <dc:subject>Rapport final</dc:subject>
  <dc:creator>Mathieu Boulestreau</dc:creator>
  <cp:keywords>Mathieu Boulestreau, Vanina Choe, Gaëtan Coatanroch, Lamine Dake, Auriane Lamy, Cristina Wallez-Cuevas</cp:keywords>
  <cp:lastModifiedBy>Mathieu Boulestreau</cp:lastModifiedBy>
  <cp:revision>455</cp:revision>
  <cp:lastPrinted>2021-09-02T18:20:00Z</cp:lastPrinted>
  <dcterms:created xsi:type="dcterms:W3CDTF">2022-01-13T17:32:00Z</dcterms:created>
  <dcterms:modified xsi:type="dcterms:W3CDTF">2022-01-26T02:47:00Z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0x010100198A8EC6F3228443A1C4AA8D58F82B14</vt:lpwstr>
  </property>
  <property fmtid="{D5CDD505-2E9C-101B-9397-08002B2CF9AE}" pid="3" name="TemplateUrl">
    <vt:lpwstr/>
  </property>
  <property fmtid="{D5CDD505-2E9C-101B-9397-08002B2CF9AE}" pid="4" name="Order">
    <vt:r8>5400</vt:r8>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ies>
</file>