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A9" w:rsidRPr="000E520C" w:rsidRDefault="005007A9" w:rsidP="000E520C">
      <w:pPr>
        <w:pBdr>
          <w:bottom w:val="single" w:sz="4" w:space="1" w:color="auto"/>
        </w:pBdr>
        <w:rPr>
          <w:b/>
        </w:rPr>
      </w:pPr>
      <w:bookmarkStart w:id="0" w:name="_GoBack"/>
      <w:bookmarkEnd w:id="0"/>
      <w:r w:rsidRPr="000E520C">
        <w:rPr>
          <w:b/>
        </w:rPr>
        <w:t xml:space="preserve">Argumentaire pour </w:t>
      </w:r>
      <w:r w:rsidR="000E520C" w:rsidRPr="000E520C">
        <w:rPr>
          <w:b/>
        </w:rPr>
        <w:t>une révision de l’évaluation ex-</w:t>
      </w:r>
      <w:r w:rsidR="00CF1B71">
        <w:rPr>
          <w:b/>
        </w:rPr>
        <w:t>ante</w:t>
      </w:r>
      <w:r w:rsidR="000E520C" w:rsidRPr="000E520C">
        <w:rPr>
          <w:b/>
        </w:rPr>
        <w:t xml:space="preserve"> dédiée aux instruments financiers sur le volet transition énergétique et écologique – janvier 2021 </w:t>
      </w:r>
    </w:p>
    <w:p w:rsidR="005007A9" w:rsidRDefault="005007A9" w:rsidP="000E520C">
      <w:pPr>
        <w:jc w:val="both"/>
      </w:pPr>
    </w:p>
    <w:p w:rsidR="002F601F" w:rsidRDefault="00FD1171" w:rsidP="000E520C">
      <w:pPr>
        <w:jc w:val="both"/>
      </w:pPr>
      <w:r>
        <w:t xml:space="preserve">En </w:t>
      </w:r>
      <w:r w:rsidR="00C441D5">
        <w:t>janvier 2021, l’évaluation ex-</w:t>
      </w:r>
      <w:r w:rsidR="00CF1B71">
        <w:t>ante</w:t>
      </w:r>
      <w:r w:rsidR="00C441D5">
        <w:t xml:space="preserve"> </w:t>
      </w:r>
      <w:r w:rsidR="002F601F">
        <w:t>dédiée aux instruments financiers sur le volet transition énergétique et écologique concluait sur le solaire à un niveau de couverture des besoins</w:t>
      </w:r>
      <w:r w:rsidR="008B0F3D">
        <w:t>,</w:t>
      </w:r>
      <w:r w:rsidR="002F601F">
        <w:t xml:space="preserve"> satisfait par l’offre régionale. Les projets étaient alors peu nombreux et un manque de connaissance en ingénierie restait à combler dans le domaine.</w:t>
      </w:r>
    </w:p>
    <w:p w:rsidR="00FF774C" w:rsidRDefault="002F601F" w:rsidP="000E520C">
      <w:pPr>
        <w:jc w:val="both"/>
      </w:pPr>
      <w:r>
        <w:t>Depuis</w:t>
      </w:r>
      <w:r w:rsidR="00D90D30">
        <w:t>,</w:t>
      </w:r>
      <w:r>
        <w:t xml:space="preserve"> le contexte du solaire a changé. Cette filière a été impacté</w:t>
      </w:r>
      <w:r w:rsidR="00FF774C">
        <w:t>e</w:t>
      </w:r>
      <w:r>
        <w:t xml:space="preserve"> par la guerre </w:t>
      </w:r>
      <w:r w:rsidR="00FF774C">
        <w:t xml:space="preserve">en Ukraine et la tendance à l’électrification du mix énergétique. Et plus récemment, le cadre règlementaire conduit à une forte accélération des projets. </w:t>
      </w:r>
    </w:p>
    <w:p w:rsidR="008B0F3D" w:rsidRDefault="008B0F3D" w:rsidP="000E520C">
      <w:pPr>
        <w:jc w:val="both"/>
        <w:rPr>
          <w:rFonts w:eastAsia="Calibri" w:cs="Arial"/>
          <w:szCs w:val="20"/>
        </w:rPr>
      </w:pPr>
    </w:p>
    <w:p w:rsidR="00EB31FA" w:rsidRPr="000E520C" w:rsidRDefault="00D90D30" w:rsidP="000E520C">
      <w:pPr>
        <w:jc w:val="both"/>
        <w:rPr>
          <w:rFonts w:eastAsia="Calibri" w:cs="Arial"/>
          <w:b/>
          <w:szCs w:val="20"/>
        </w:rPr>
      </w:pPr>
      <w:r w:rsidRPr="000E520C">
        <w:rPr>
          <w:rFonts w:eastAsia="Calibri" w:cs="Arial"/>
          <w:b/>
          <w:szCs w:val="20"/>
        </w:rPr>
        <w:t>Accélérer le chemin vers</w:t>
      </w:r>
      <w:r w:rsidR="00EB31FA" w:rsidRPr="000E520C">
        <w:rPr>
          <w:rFonts w:eastAsia="Calibri" w:cs="Arial"/>
          <w:b/>
          <w:szCs w:val="20"/>
        </w:rPr>
        <w:t xml:space="preserve"> l’indépendance énergétique :</w:t>
      </w:r>
    </w:p>
    <w:p w:rsidR="008B0F3D" w:rsidRPr="00937652" w:rsidRDefault="008B0F3D" w:rsidP="000E520C">
      <w:pPr>
        <w:jc w:val="both"/>
        <w:rPr>
          <w:rFonts w:eastAsia="Calibri" w:cs="Arial"/>
          <w:szCs w:val="20"/>
        </w:rPr>
      </w:pPr>
      <w:r w:rsidRPr="00937652">
        <w:rPr>
          <w:rFonts w:eastAsia="Calibri" w:cs="Arial"/>
          <w:szCs w:val="20"/>
        </w:rPr>
        <w:t>La guerre menée par la Russie contre l’Ukraine a mis en lumière les fragilités du système énergétique européen, reposant en grande partie sur l’importation de gaz et de pétrole en provenance de Russie. Face à ce contexte inédit, l’Union européenne a adopté un plan d’action RePowerEU, pour accélérer la voie vers l’indépendance énergétique.</w:t>
      </w:r>
    </w:p>
    <w:p w:rsidR="008B0F3D" w:rsidRDefault="008B0F3D" w:rsidP="000E520C">
      <w:pPr>
        <w:jc w:val="both"/>
        <w:rPr>
          <w:rFonts w:eastAsia="Calibri" w:cs="Arial"/>
          <w:szCs w:val="20"/>
        </w:rPr>
      </w:pPr>
      <w:r w:rsidRPr="00937652">
        <w:rPr>
          <w:rFonts w:eastAsia="Calibri" w:cs="Arial"/>
          <w:szCs w:val="20"/>
        </w:rPr>
        <w:t>Les objectifs de ce plan sont ambitieux. Il convient de diversifier fortement le mix énergétique, au détriment de l’ensemble des énergies fossiles, gaz naturel compris. Ainsi il s’agit d’augmenter la production d’énergie</w:t>
      </w:r>
      <w:r w:rsidR="000E520C">
        <w:rPr>
          <w:rFonts w:eastAsia="Calibri" w:cs="Arial"/>
          <w:szCs w:val="20"/>
        </w:rPr>
        <w:t>s</w:t>
      </w:r>
      <w:r w:rsidRPr="00937652">
        <w:rPr>
          <w:rFonts w:eastAsia="Calibri" w:cs="Arial"/>
          <w:szCs w:val="20"/>
        </w:rPr>
        <w:t xml:space="preserve"> renouvelable</w:t>
      </w:r>
      <w:r w:rsidR="000E520C">
        <w:rPr>
          <w:rFonts w:eastAsia="Calibri" w:cs="Arial"/>
          <w:szCs w:val="20"/>
        </w:rPr>
        <w:t>s</w:t>
      </w:r>
      <w:r w:rsidRPr="00937652">
        <w:rPr>
          <w:rFonts w:eastAsia="Calibri" w:cs="Arial"/>
          <w:szCs w:val="20"/>
        </w:rPr>
        <w:t xml:space="preserve"> de 80 GW par </w:t>
      </w:r>
      <w:r w:rsidR="00900FE4">
        <w:rPr>
          <w:rFonts w:eastAsia="Calibri" w:cs="Arial"/>
          <w:szCs w:val="20"/>
        </w:rPr>
        <w:t>rapport aux objectifs initiaux</w:t>
      </w:r>
      <w:r w:rsidR="00EB31FA">
        <w:rPr>
          <w:rFonts w:eastAsia="Calibri" w:cs="Arial"/>
          <w:szCs w:val="20"/>
        </w:rPr>
        <w:t xml:space="preserve">. </w:t>
      </w:r>
      <w:r w:rsidR="00863744">
        <w:rPr>
          <w:rFonts w:eastAsia="Calibri" w:cs="Arial"/>
          <w:szCs w:val="20"/>
        </w:rPr>
        <w:t xml:space="preserve">Le solaire reste un potentiel important à développer. </w:t>
      </w:r>
    </w:p>
    <w:p w:rsidR="00EB31FA" w:rsidRDefault="00EB31FA" w:rsidP="000E520C">
      <w:pPr>
        <w:jc w:val="both"/>
        <w:rPr>
          <w:rFonts w:eastAsia="Calibri" w:cs="Arial"/>
          <w:szCs w:val="20"/>
        </w:rPr>
      </w:pPr>
    </w:p>
    <w:p w:rsidR="00EB31FA" w:rsidRPr="000E520C" w:rsidRDefault="00EB31FA" w:rsidP="000E520C">
      <w:pPr>
        <w:jc w:val="both"/>
        <w:rPr>
          <w:rFonts w:eastAsia="Calibri" w:cs="Arial"/>
          <w:b/>
          <w:szCs w:val="20"/>
        </w:rPr>
      </w:pPr>
      <w:r w:rsidRPr="000E520C">
        <w:rPr>
          <w:rFonts w:eastAsia="Calibri" w:cs="Arial"/>
          <w:b/>
          <w:szCs w:val="20"/>
        </w:rPr>
        <w:t>Décarboner le mix énergétique</w:t>
      </w:r>
      <w:r w:rsidR="009E7167" w:rsidRPr="000E520C">
        <w:rPr>
          <w:rFonts w:eastAsia="Calibri" w:cs="Arial"/>
          <w:b/>
          <w:szCs w:val="20"/>
        </w:rPr>
        <w:t> :</w:t>
      </w:r>
    </w:p>
    <w:p w:rsidR="009E7167" w:rsidRDefault="009E7167" w:rsidP="000E520C">
      <w:pPr>
        <w:jc w:val="both"/>
        <w:rPr>
          <w:rFonts w:eastAsia="Calibri" w:cs="Arial"/>
          <w:szCs w:val="20"/>
        </w:rPr>
      </w:pPr>
      <w:r>
        <w:rPr>
          <w:rFonts w:eastAsia="Calibri" w:cs="Arial"/>
          <w:szCs w:val="20"/>
        </w:rPr>
        <w:t xml:space="preserve">Lancé </w:t>
      </w:r>
      <w:r w:rsidRPr="009E7167">
        <w:rPr>
          <w:rFonts w:eastAsia="Calibri" w:cs="Arial"/>
          <w:szCs w:val="20"/>
        </w:rPr>
        <w:t xml:space="preserve">en 2019, le pacte </w:t>
      </w:r>
      <w:r w:rsidRPr="009E7167">
        <w:rPr>
          <w:rStyle w:val="hgkelc"/>
          <w:bCs/>
        </w:rPr>
        <w:t>vert pour l'Europe engage les États vers la réduction des émissions nettes de gaz à effet de serre</w:t>
      </w:r>
      <w:r>
        <w:rPr>
          <w:rStyle w:val="hgkelc"/>
        </w:rPr>
        <w:t xml:space="preserve"> et la neutralité carbone d’ici 2050. La décarbonation du système énergétique conduit à un contexte global d’électrification des usages. </w:t>
      </w:r>
      <w:r w:rsidR="00863744">
        <w:rPr>
          <w:rStyle w:val="hgkelc"/>
        </w:rPr>
        <w:t>Le solaire photovoltaïq</w:t>
      </w:r>
      <w:r w:rsidR="000E520C">
        <w:rPr>
          <w:rStyle w:val="hgkelc"/>
        </w:rPr>
        <w:t xml:space="preserve">ue qui produit de l’électricité s’avère </w:t>
      </w:r>
      <w:r w:rsidR="00863744">
        <w:rPr>
          <w:rStyle w:val="hgkelc"/>
        </w:rPr>
        <w:t xml:space="preserve">utile à ces nouveaux usages.  </w:t>
      </w:r>
    </w:p>
    <w:p w:rsidR="009E7167" w:rsidRDefault="009E7167" w:rsidP="000E520C">
      <w:pPr>
        <w:jc w:val="both"/>
        <w:rPr>
          <w:rFonts w:eastAsia="Calibri" w:cs="Arial"/>
          <w:szCs w:val="20"/>
        </w:rPr>
      </w:pPr>
    </w:p>
    <w:p w:rsidR="009E7167" w:rsidRPr="000E520C" w:rsidRDefault="00D90D30" w:rsidP="000E520C">
      <w:pPr>
        <w:jc w:val="both"/>
        <w:rPr>
          <w:rFonts w:eastAsia="Calibri" w:cs="Arial"/>
          <w:b/>
          <w:szCs w:val="20"/>
        </w:rPr>
      </w:pPr>
      <w:r w:rsidRPr="000E520C">
        <w:rPr>
          <w:rFonts w:eastAsia="Calibri" w:cs="Arial"/>
          <w:b/>
          <w:szCs w:val="20"/>
        </w:rPr>
        <w:t xml:space="preserve">Déploiement massif des installations solaires sur les </w:t>
      </w:r>
      <w:r w:rsidR="009E7167" w:rsidRPr="000E520C">
        <w:rPr>
          <w:rFonts w:eastAsia="Calibri" w:cs="Arial"/>
          <w:b/>
          <w:szCs w:val="20"/>
        </w:rPr>
        <w:t>bâtiments et les parkings</w:t>
      </w:r>
      <w:r w:rsidRPr="000E520C">
        <w:rPr>
          <w:rFonts w:eastAsia="Calibri" w:cs="Arial"/>
          <w:b/>
          <w:szCs w:val="20"/>
        </w:rPr>
        <w:t>, du fait de l’évolution réglementaire :</w:t>
      </w:r>
    </w:p>
    <w:p w:rsidR="007332B6" w:rsidRDefault="00863744" w:rsidP="007332B6">
      <w:pPr>
        <w:jc w:val="both"/>
        <w:rPr>
          <w:rFonts w:eastAsia="Calibri" w:cs="Arial"/>
          <w:szCs w:val="20"/>
        </w:rPr>
      </w:pPr>
      <w:r>
        <w:rPr>
          <w:rFonts w:eastAsia="Calibri" w:cs="Arial"/>
          <w:szCs w:val="20"/>
        </w:rPr>
        <w:t>Enfin, les installations solaires vont être fortement accélérées par la réglementation et la loi d’accélération des énergies renouvelable</w:t>
      </w:r>
      <w:r w:rsidR="000E520C">
        <w:rPr>
          <w:rFonts w:eastAsia="Calibri" w:cs="Arial"/>
          <w:szCs w:val="20"/>
        </w:rPr>
        <w:t>s</w:t>
      </w:r>
      <w:r>
        <w:rPr>
          <w:rFonts w:eastAsia="Calibri" w:cs="Arial"/>
          <w:szCs w:val="20"/>
        </w:rPr>
        <w:t xml:space="preserve">, du 10 mars 2023. </w:t>
      </w:r>
      <w:r w:rsidR="0097128B">
        <w:rPr>
          <w:rFonts w:eastAsia="Calibri" w:cs="Arial"/>
          <w:szCs w:val="20"/>
        </w:rPr>
        <w:t xml:space="preserve">Déjà depuis juillet 2023, une obligation d’intégrer du solaire ou un système de végétalisation </w:t>
      </w:r>
      <w:r w:rsidR="00D90D30">
        <w:rPr>
          <w:rFonts w:eastAsia="Calibri" w:cs="Arial"/>
          <w:szCs w:val="20"/>
        </w:rPr>
        <w:t xml:space="preserve">s’applique aux constructions neuves et rénovations lourdes des bâtiments à usage commercial, industriel, artisanal ou entrepôts dès 500 m² de surface d’emprise au sol. Sont également concernés, les parkings de stationnements neufs. Très vite, dès 2025 puis 2028, les autres bâtiments </w:t>
      </w:r>
      <w:r w:rsidR="000E520C">
        <w:rPr>
          <w:rFonts w:eastAsia="Calibri" w:cs="Arial"/>
          <w:szCs w:val="20"/>
        </w:rPr>
        <w:t xml:space="preserve">(hors logements) neufs ou existants </w:t>
      </w:r>
      <w:r w:rsidR="00D90D30">
        <w:rPr>
          <w:rFonts w:eastAsia="Calibri" w:cs="Arial"/>
          <w:szCs w:val="20"/>
        </w:rPr>
        <w:t xml:space="preserve">et les parcs de stationnement existants seront également dans l’obligation </w:t>
      </w:r>
      <w:r w:rsidR="00626ECD">
        <w:rPr>
          <w:rFonts w:eastAsia="Calibri" w:cs="Arial"/>
          <w:szCs w:val="20"/>
        </w:rPr>
        <w:t xml:space="preserve">d’intégrer des énergies renouvelables ou des systèmes de végétalisation. </w:t>
      </w:r>
    </w:p>
    <w:p w:rsidR="007332B6" w:rsidRDefault="00626ECD" w:rsidP="007332B6">
      <w:pPr>
        <w:jc w:val="both"/>
        <w:rPr>
          <w:rFonts w:eastAsia="Calibri" w:cs="Arial"/>
          <w:szCs w:val="20"/>
        </w:rPr>
      </w:pPr>
      <w:r>
        <w:rPr>
          <w:rFonts w:eastAsia="Calibri" w:cs="Arial"/>
          <w:szCs w:val="20"/>
        </w:rPr>
        <w:t>Cette nouvelle donne réglementaire va considérablement accélérer le rythme et le vo</w:t>
      </w:r>
      <w:r w:rsidR="007332B6">
        <w:rPr>
          <w:rFonts w:eastAsia="Calibri" w:cs="Arial"/>
          <w:szCs w:val="20"/>
        </w:rPr>
        <w:t xml:space="preserve">lume des installations solaires en France et plus particulièrement en Hauts-de-France au regard des surfaces de toitures et de parkings concernées. </w:t>
      </w:r>
    </w:p>
    <w:p w:rsidR="007332B6" w:rsidRDefault="007332B6" w:rsidP="007332B6">
      <w:pPr>
        <w:jc w:val="both"/>
        <w:rPr>
          <w:rFonts w:eastAsia="Calibri" w:cs="Arial"/>
          <w:szCs w:val="20"/>
        </w:rPr>
      </w:pPr>
      <w:r>
        <w:rPr>
          <w:rFonts w:eastAsia="Calibri" w:cs="Arial"/>
          <w:szCs w:val="20"/>
        </w:rPr>
        <w:lastRenderedPageBreak/>
        <w:t>En revanche, si le potentiel à solariser est important en Hauts-de-France, les investissements sol</w:t>
      </w:r>
      <w:r w:rsidR="00D131C8">
        <w:rPr>
          <w:rFonts w:eastAsia="Calibri" w:cs="Arial"/>
          <w:szCs w:val="20"/>
        </w:rPr>
        <w:t xml:space="preserve">aires y sont moins performants du fait du déficit de rayonnement solaire. </w:t>
      </w:r>
    </w:p>
    <w:p w:rsidR="00BC1788" w:rsidRDefault="00BC1788" w:rsidP="000E520C">
      <w:pPr>
        <w:jc w:val="both"/>
      </w:pPr>
    </w:p>
    <w:p w:rsidR="0097128B" w:rsidRDefault="00D131C8" w:rsidP="000E520C">
      <w:pPr>
        <w:jc w:val="both"/>
      </w:pPr>
      <w:r>
        <w:t>En conclusion, d</w:t>
      </w:r>
      <w:r w:rsidR="00626ECD">
        <w:t>epuis la réalisation de l’évaluation ex-</w:t>
      </w:r>
      <w:r w:rsidR="00CF1B71">
        <w:t>ante</w:t>
      </w:r>
      <w:r w:rsidR="00626ECD">
        <w:t>, le marché du solaire a changé. Il se heurte à deux nouvelles difficultés, tant quantitative que qualitative :</w:t>
      </w:r>
    </w:p>
    <w:p w:rsidR="00626ECD" w:rsidRDefault="00626ECD" w:rsidP="000E520C">
      <w:pPr>
        <w:pStyle w:val="Paragraphedeliste"/>
        <w:numPr>
          <w:ilvl w:val="0"/>
          <w:numId w:val="1"/>
        </w:numPr>
        <w:jc w:val="both"/>
      </w:pPr>
      <w:r>
        <w:t>les besoins d’investissement deviennent très importants</w:t>
      </w:r>
      <w:r w:rsidR="000E520C">
        <w:t xml:space="preserve"> </w:t>
      </w:r>
      <w:r w:rsidR="00D131C8" w:rsidRPr="00D131C8">
        <w:t xml:space="preserve">de </w:t>
      </w:r>
      <w:r w:rsidR="00D131C8">
        <w:t xml:space="preserve">l’ordre de 3 fois plus en quelques années, </w:t>
      </w:r>
    </w:p>
    <w:p w:rsidR="007100FD" w:rsidRDefault="00626ECD" w:rsidP="000E520C">
      <w:pPr>
        <w:pStyle w:val="Paragraphedeliste"/>
        <w:numPr>
          <w:ilvl w:val="0"/>
          <w:numId w:val="1"/>
        </w:numPr>
        <w:jc w:val="both"/>
      </w:pPr>
      <w:r>
        <w:t>un nouveau modèle écono</w:t>
      </w:r>
      <w:r w:rsidR="007100FD">
        <w:t>mique est à éprouver</w:t>
      </w:r>
      <w:r>
        <w:t xml:space="preserve"> face aux </w:t>
      </w:r>
      <w:r w:rsidR="007100FD">
        <w:t xml:space="preserve">maîtres d’ouvrage </w:t>
      </w:r>
      <w:r>
        <w:t>de bâtiment</w:t>
      </w:r>
      <w:r w:rsidR="007100FD">
        <w:t xml:space="preserve"> et de parcs de stationnement</w:t>
      </w:r>
      <w:r>
        <w:t xml:space="preserve"> </w:t>
      </w:r>
      <w:r w:rsidR="007100FD">
        <w:t>qui n’auront pas les capacités d’investissement et qui devront rec</w:t>
      </w:r>
      <w:r w:rsidR="000E520C">
        <w:t>ourir à des tiers-investisseurs.</w:t>
      </w:r>
    </w:p>
    <w:p w:rsidR="007100FD" w:rsidRDefault="007100FD" w:rsidP="000E520C">
      <w:pPr>
        <w:jc w:val="both"/>
      </w:pPr>
    </w:p>
    <w:p w:rsidR="007332B6" w:rsidRDefault="000E520C" w:rsidP="000E520C">
      <w:pPr>
        <w:jc w:val="both"/>
      </w:pPr>
      <w:r>
        <w:t xml:space="preserve">Dans ce contexte, aujourd’hui, une défaillance de marché peut être constatée sur le solaire. En effet, </w:t>
      </w:r>
      <w:r w:rsidR="007100FD">
        <w:t xml:space="preserve">la définition d’une </w:t>
      </w:r>
      <w:r w:rsidR="007100FD" w:rsidRPr="00FD1171">
        <w:t xml:space="preserve">défaillance du marché </w:t>
      </w:r>
      <w:r>
        <w:t>repose sur</w:t>
      </w:r>
      <w:r w:rsidR="007100FD">
        <w:t xml:space="preserve"> </w:t>
      </w:r>
      <w:r w:rsidR="007100FD" w:rsidRPr="00FD1171">
        <w:t>un concept économique qui désigne une situation dans laquelle le fonctionnement normal du marché échoue à produire un équilibre écono</w:t>
      </w:r>
      <w:r>
        <w:t>mique, ou à allouer de façon optimale</w:t>
      </w:r>
      <w:r w:rsidR="007100FD" w:rsidRPr="00FD1171">
        <w:t xml:space="preserve"> des ressources économiques</w:t>
      </w:r>
      <w:r>
        <w:t xml:space="preserve">. </w:t>
      </w:r>
    </w:p>
    <w:p w:rsidR="007332B6" w:rsidRDefault="007332B6" w:rsidP="000E520C">
      <w:pPr>
        <w:jc w:val="both"/>
      </w:pPr>
    </w:p>
    <w:p w:rsidR="00626ECD" w:rsidRDefault="000E520C" w:rsidP="000E520C">
      <w:pPr>
        <w:jc w:val="both"/>
      </w:pPr>
      <w:r>
        <w:t>Aussi, nous proposons de réviser dans ce sens l’évaluation ex-</w:t>
      </w:r>
      <w:r w:rsidR="00CF1B71">
        <w:t>ante</w:t>
      </w:r>
      <w:r>
        <w:t xml:space="preserve"> afin d’être en mesure de </w:t>
      </w:r>
      <w:r w:rsidR="009D22F3">
        <w:t xml:space="preserve">pouvoir </w:t>
      </w:r>
      <w:r>
        <w:t xml:space="preserve">mobiliser l’instrument financier sur ces projets. </w:t>
      </w:r>
    </w:p>
    <w:p w:rsidR="007100FD" w:rsidRDefault="007100FD" w:rsidP="000E520C">
      <w:pPr>
        <w:jc w:val="both"/>
      </w:pPr>
    </w:p>
    <w:p w:rsidR="007100FD" w:rsidRDefault="007100FD" w:rsidP="000E520C">
      <w:pPr>
        <w:jc w:val="both"/>
      </w:pPr>
    </w:p>
    <w:sectPr w:rsidR="007100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5A" w:rsidRDefault="0062745A" w:rsidP="0062745A">
      <w:pPr>
        <w:spacing w:after="0" w:line="240" w:lineRule="auto"/>
      </w:pPr>
      <w:r>
        <w:separator/>
      </w:r>
    </w:p>
  </w:endnote>
  <w:endnote w:type="continuationSeparator" w:id="0">
    <w:p w:rsidR="0062745A" w:rsidRDefault="0062745A" w:rsidP="0062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5A" w:rsidRDefault="006274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5A" w:rsidRPr="0062745A" w:rsidRDefault="0062745A" w:rsidP="0062745A">
    <w:pPr>
      <w:pStyle w:val="Pieddepage"/>
      <w:pBdr>
        <w:top w:val="single" w:sz="4" w:space="1" w:color="auto"/>
      </w:pBdr>
      <w:jc w:val="right"/>
      <w:rPr>
        <w:i/>
        <w:sz w:val="20"/>
        <w:szCs w:val="20"/>
      </w:rPr>
    </w:pPr>
    <w:r>
      <w:rPr>
        <w:i/>
        <w:sz w:val="20"/>
        <w:szCs w:val="20"/>
      </w:rPr>
      <w:t xml:space="preserve">Document de travail </w:t>
    </w:r>
    <w:r w:rsidRPr="0062745A">
      <w:rPr>
        <w:i/>
        <w:sz w:val="20"/>
        <w:szCs w:val="20"/>
      </w:rPr>
      <w:t>20/02/2024</w:t>
    </w:r>
    <w:r w:rsidR="00947F24">
      <w:rPr>
        <w:i/>
        <w:sz w:val="20"/>
        <w:szCs w:val="20"/>
      </w:rPr>
      <w:t xml:space="preserve"> - </w:t>
    </w:r>
    <w:r w:rsidR="00947F24" w:rsidRPr="00947F24">
      <w:rPr>
        <w:i/>
        <w:sz w:val="20"/>
        <w:szCs w:val="20"/>
      </w:rPr>
      <w:fldChar w:fldCharType="begin"/>
    </w:r>
    <w:r w:rsidR="00947F24" w:rsidRPr="00947F24">
      <w:rPr>
        <w:i/>
        <w:sz w:val="20"/>
        <w:szCs w:val="20"/>
      </w:rPr>
      <w:instrText>PAGE   \* MERGEFORMAT</w:instrText>
    </w:r>
    <w:r w:rsidR="00947F24" w:rsidRPr="00947F24">
      <w:rPr>
        <w:i/>
        <w:sz w:val="20"/>
        <w:szCs w:val="20"/>
      </w:rPr>
      <w:fldChar w:fldCharType="separate"/>
    </w:r>
    <w:r w:rsidR="00CF1B71">
      <w:rPr>
        <w:i/>
        <w:noProof/>
        <w:sz w:val="20"/>
        <w:szCs w:val="20"/>
      </w:rPr>
      <w:t>1</w:t>
    </w:r>
    <w:r w:rsidR="00947F24" w:rsidRPr="00947F24">
      <w:rPr>
        <w:i/>
        <w:sz w:val="20"/>
        <w:szCs w:val="20"/>
      </w:rPr>
      <w:fldChar w:fldCharType="end"/>
    </w:r>
    <w:r w:rsidR="00947F24">
      <w:rPr>
        <w:i/>
        <w:sz w:val="20"/>
        <w:szCs w:val="20"/>
      </w:rPr>
      <w:t>/2</w:t>
    </w:r>
  </w:p>
  <w:p w:rsidR="0062745A" w:rsidRDefault="006274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5A" w:rsidRDefault="006274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5A" w:rsidRDefault="0062745A" w:rsidP="0062745A">
      <w:pPr>
        <w:spacing w:after="0" w:line="240" w:lineRule="auto"/>
      </w:pPr>
      <w:r>
        <w:separator/>
      </w:r>
    </w:p>
  </w:footnote>
  <w:footnote w:type="continuationSeparator" w:id="0">
    <w:p w:rsidR="0062745A" w:rsidRDefault="0062745A" w:rsidP="0062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5A" w:rsidRDefault="006274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5A" w:rsidRDefault="006274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5A" w:rsidRDefault="006274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F4C4F"/>
    <w:multiLevelType w:val="hybridMultilevel"/>
    <w:tmpl w:val="0558740C"/>
    <w:lvl w:ilvl="0" w:tplc="C74075A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E8D0D4E"/>
    <w:multiLevelType w:val="hybridMultilevel"/>
    <w:tmpl w:val="468CE9F4"/>
    <w:lvl w:ilvl="0" w:tplc="DB18B8F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71"/>
    <w:rsid w:val="000E520C"/>
    <w:rsid w:val="002F601F"/>
    <w:rsid w:val="005007A9"/>
    <w:rsid w:val="00626ECD"/>
    <w:rsid w:val="0062745A"/>
    <w:rsid w:val="007100FD"/>
    <w:rsid w:val="007332B6"/>
    <w:rsid w:val="00821C73"/>
    <w:rsid w:val="00863744"/>
    <w:rsid w:val="008B0F3D"/>
    <w:rsid w:val="00900FE4"/>
    <w:rsid w:val="00947F24"/>
    <w:rsid w:val="0097128B"/>
    <w:rsid w:val="009D22F3"/>
    <w:rsid w:val="009E7167"/>
    <w:rsid w:val="00BC1788"/>
    <w:rsid w:val="00C441D5"/>
    <w:rsid w:val="00CF1B71"/>
    <w:rsid w:val="00D131C8"/>
    <w:rsid w:val="00D90D30"/>
    <w:rsid w:val="00E70746"/>
    <w:rsid w:val="00EB31FA"/>
    <w:rsid w:val="00FD1171"/>
    <w:rsid w:val="00FF7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DEE98-8D70-4880-B401-4ADB731F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F7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774C"/>
    <w:rPr>
      <w:rFonts w:asciiTheme="majorHAnsi" w:eastAsiaTheme="majorEastAsia" w:hAnsiTheme="majorHAnsi" w:cstheme="majorBidi"/>
      <w:color w:val="2E74B5" w:themeColor="accent1" w:themeShade="BF"/>
      <w:sz w:val="32"/>
      <w:szCs w:val="32"/>
    </w:rPr>
  </w:style>
  <w:style w:type="character" w:customStyle="1" w:styleId="hgkelc">
    <w:name w:val="hgkelc"/>
    <w:basedOn w:val="Policepardfaut"/>
    <w:rsid w:val="00900FE4"/>
  </w:style>
  <w:style w:type="paragraph" w:styleId="Paragraphedeliste">
    <w:name w:val="List Paragraph"/>
    <w:basedOn w:val="Normal"/>
    <w:uiPriority w:val="34"/>
    <w:qFormat/>
    <w:rsid w:val="00626ECD"/>
    <w:pPr>
      <w:ind w:left="720"/>
      <w:contextualSpacing/>
    </w:pPr>
  </w:style>
  <w:style w:type="paragraph" w:styleId="En-tte">
    <w:name w:val="header"/>
    <w:basedOn w:val="Normal"/>
    <w:link w:val="En-tteCar"/>
    <w:uiPriority w:val="99"/>
    <w:unhideWhenUsed/>
    <w:rsid w:val="0062745A"/>
    <w:pPr>
      <w:tabs>
        <w:tab w:val="center" w:pos="4536"/>
        <w:tab w:val="right" w:pos="9072"/>
      </w:tabs>
      <w:spacing w:after="0" w:line="240" w:lineRule="auto"/>
    </w:pPr>
  </w:style>
  <w:style w:type="character" w:customStyle="1" w:styleId="En-tteCar">
    <w:name w:val="En-tête Car"/>
    <w:basedOn w:val="Policepardfaut"/>
    <w:link w:val="En-tte"/>
    <w:uiPriority w:val="99"/>
    <w:rsid w:val="0062745A"/>
  </w:style>
  <w:style w:type="paragraph" w:styleId="Pieddepage">
    <w:name w:val="footer"/>
    <w:basedOn w:val="Normal"/>
    <w:link w:val="PieddepageCar"/>
    <w:uiPriority w:val="99"/>
    <w:unhideWhenUsed/>
    <w:rsid w:val="00627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7365">
      <w:bodyDiv w:val="1"/>
      <w:marLeft w:val="0"/>
      <w:marRight w:val="0"/>
      <w:marTop w:val="0"/>
      <w:marBottom w:val="0"/>
      <w:divBdr>
        <w:top w:val="none" w:sz="0" w:space="0" w:color="auto"/>
        <w:left w:val="none" w:sz="0" w:space="0" w:color="auto"/>
        <w:bottom w:val="none" w:sz="0" w:space="0" w:color="auto"/>
        <w:right w:val="none" w:sz="0" w:space="0" w:color="auto"/>
      </w:divBdr>
    </w:div>
    <w:div w:id="1560900701">
      <w:bodyDiv w:val="1"/>
      <w:marLeft w:val="0"/>
      <w:marRight w:val="0"/>
      <w:marTop w:val="0"/>
      <w:marBottom w:val="0"/>
      <w:divBdr>
        <w:top w:val="none" w:sz="0" w:space="0" w:color="auto"/>
        <w:left w:val="none" w:sz="0" w:space="0" w:color="auto"/>
        <w:bottom w:val="none" w:sz="0" w:space="0" w:color="auto"/>
        <w:right w:val="none" w:sz="0" w:space="0" w:color="auto"/>
      </w:divBdr>
    </w:div>
    <w:div w:id="16171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JAMON Sandrine</dc:creator>
  <cp:keywords/>
  <dc:description/>
  <cp:lastModifiedBy>JAMON Sandrine</cp:lastModifiedBy>
  <cp:revision>5</cp:revision>
  <dcterms:created xsi:type="dcterms:W3CDTF">2024-02-21T13:40:00Z</dcterms:created>
  <dcterms:modified xsi:type="dcterms:W3CDTF">2024-02-22T07:36:00Z</dcterms:modified>
</cp:coreProperties>
</file>