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18AF" w14:textId="2EF80181" w:rsidR="003C72EC" w:rsidRDefault="003C72EC" w:rsidP="003C72EC">
      <w:pPr>
        <w:tabs>
          <w:tab w:val="left" w:pos="1276"/>
          <w:tab w:val="center" w:pos="4762"/>
        </w:tabs>
        <w:jc w:val="center"/>
        <w:rPr>
          <w:rFonts w:ascii="Arial" w:hAnsi="Arial" w:cs="Arial"/>
          <w:b/>
          <w:bCs/>
          <w:color w:val="000000" w:themeColor="text1"/>
          <w:sz w:val="18"/>
          <w:szCs w:val="18"/>
        </w:rPr>
      </w:pPr>
    </w:p>
    <w:p w14:paraId="1632CE00" w14:textId="3EA9CC8A" w:rsidR="003C72EC" w:rsidRPr="003C72EC" w:rsidRDefault="003C72EC" w:rsidP="003C72EC">
      <w:pPr>
        <w:tabs>
          <w:tab w:val="left" w:pos="1276"/>
          <w:tab w:val="center" w:pos="4762"/>
        </w:tabs>
        <w:jc w:val="center"/>
        <w:rPr>
          <w:rFonts w:ascii="Arial" w:hAnsi="Arial" w:cs="Arial"/>
          <w:b/>
          <w:bCs/>
          <w:i/>
          <w:color w:val="000000" w:themeColor="text1"/>
          <w:sz w:val="18"/>
          <w:szCs w:val="18"/>
          <w:lang w:val="en-GB"/>
        </w:rPr>
      </w:pPr>
      <w:r w:rsidRPr="003C72EC">
        <w:rPr>
          <w:rFonts w:ascii="Arial" w:hAnsi="Arial" w:cs="Arial"/>
          <w:b/>
          <w:bCs/>
          <w:i/>
          <w:color w:val="000000" w:themeColor="text1"/>
          <w:sz w:val="18"/>
          <w:szCs w:val="18"/>
          <w:lang w:val="en-GB"/>
        </w:rPr>
        <w:t xml:space="preserve">PROGRAMME </w:t>
      </w:r>
      <w:r>
        <w:rPr>
          <w:rFonts w:ascii="Arial" w:hAnsi="Arial" w:cs="Arial"/>
          <w:b/>
          <w:bCs/>
          <w:i/>
          <w:color w:val="000000" w:themeColor="text1"/>
          <w:sz w:val="18"/>
          <w:szCs w:val="18"/>
          <w:lang w:val="en-GB"/>
        </w:rPr>
        <w:t>REGIONAL</w:t>
      </w:r>
      <w:r w:rsidRPr="003C72EC">
        <w:rPr>
          <w:rFonts w:ascii="Arial" w:hAnsi="Arial" w:cs="Arial"/>
          <w:b/>
          <w:bCs/>
          <w:i/>
          <w:color w:val="000000" w:themeColor="text1"/>
          <w:sz w:val="18"/>
          <w:szCs w:val="18"/>
          <w:lang w:val="en-GB"/>
        </w:rPr>
        <w:t xml:space="preserve"> FEDER</w:t>
      </w:r>
      <w:r>
        <w:rPr>
          <w:rFonts w:ascii="Arial" w:hAnsi="Arial" w:cs="Arial"/>
          <w:b/>
          <w:bCs/>
          <w:i/>
          <w:color w:val="000000" w:themeColor="text1"/>
          <w:sz w:val="18"/>
          <w:szCs w:val="18"/>
          <w:lang w:val="en-GB"/>
        </w:rPr>
        <w:t>/FSE+/FTJ 2021-2027</w:t>
      </w:r>
    </w:p>
    <w:p w14:paraId="3615A1FA" w14:textId="3FB21344"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Région </w:t>
      </w:r>
      <w:r>
        <w:rPr>
          <w:rFonts w:ascii="Arial" w:hAnsi="Arial" w:cs="Arial"/>
          <w:b/>
          <w:bCs/>
          <w:i/>
          <w:color w:val="000000" w:themeColor="text1"/>
          <w:sz w:val="18"/>
          <w:szCs w:val="18"/>
        </w:rPr>
        <w:t>Hauts-de-France</w:t>
      </w:r>
    </w:p>
    <w:p w14:paraId="76F3D4B3" w14:textId="564C9301"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Proposition de modification du Document de Mise en Œuvre (DOMO) à la consultation écrite </w:t>
      </w:r>
      <w:r w:rsidR="00B86328">
        <w:rPr>
          <w:rFonts w:ascii="Arial" w:hAnsi="Arial" w:cs="Arial"/>
          <w:b/>
          <w:bCs/>
          <w:i/>
          <w:color w:val="000000" w:themeColor="text1"/>
          <w:sz w:val="18"/>
          <w:szCs w:val="18"/>
        </w:rPr>
        <w:t>16/05/2024</w:t>
      </w:r>
    </w:p>
    <w:p w14:paraId="0333D1EA" w14:textId="015C4151" w:rsid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du Programme </w:t>
      </w:r>
      <w:r>
        <w:rPr>
          <w:rFonts w:ascii="Arial" w:hAnsi="Arial" w:cs="Arial"/>
          <w:b/>
          <w:bCs/>
          <w:i/>
          <w:color w:val="000000" w:themeColor="text1"/>
          <w:sz w:val="18"/>
          <w:szCs w:val="18"/>
        </w:rPr>
        <w:t>Régional</w:t>
      </w:r>
      <w:r w:rsidRPr="003C72EC">
        <w:rPr>
          <w:rFonts w:ascii="Arial" w:hAnsi="Arial" w:cs="Arial"/>
          <w:b/>
          <w:bCs/>
          <w:i/>
          <w:color w:val="000000" w:themeColor="text1"/>
          <w:sz w:val="18"/>
          <w:szCs w:val="18"/>
        </w:rPr>
        <w:t xml:space="preserve"> adopté par la commission européenne le </w:t>
      </w:r>
      <w:r>
        <w:rPr>
          <w:rFonts w:ascii="Arial" w:hAnsi="Arial" w:cs="Arial"/>
          <w:b/>
          <w:bCs/>
          <w:i/>
          <w:color w:val="000000" w:themeColor="text1"/>
          <w:sz w:val="18"/>
          <w:szCs w:val="18"/>
        </w:rPr>
        <w:t>06 octobre 2022</w:t>
      </w:r>
    </w:p>
    <w:p w14:paraId="4B4264EA" w14:textId="41ED07A5" w:rsidR="003C72EC" w:rsidRDefault="003C72EC" w:rsidP="003C72EC">
      <w:pPr>
        <w:tabs>
          <w:tab w:val="left" w:pos="1276"/>
          <w:tab w:val="center" w:pos="4762"/>
        </w:tabs>
        <w:rPr>
          <w:rFonts w:ascii="Arial" w:hAnsi="Arial" w:cs="Arial"/>
          <w:b/>
          <w:bCs/>
          <w:i/>
          <w:color w:val="000000" w:themeColor="text1"/>
          <w:sz w:val="18"/>
          <w:szCs w:val="18"/>
        </w:rPr>
      </w:pPr>
    </w:p>
    <w:p w14:paraId="6D674E3C" w14:textId="3BF5A573" w:rsidR="003C72EC" w:rsidRPr="003C72EC" w:rsidRDefault="00B86328" w:rsidP="003C72EC">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 xml:space="preserve">Partie </w:t>
      </w:r>
      <w:r w:rsidR="003C72EC">
        <w:rPr>
          <w:rFonts w:ascii="Arial" w:hAnsi="Arial" w:cs="Arial"/>
          <w:b/>
          <w:bCs/>
          <w:i/>
          <w:color w:val="000000" w:themeColor="text1"/>
          <w:sz w:val="18"/>
          <w:szCs w:val="18"/>
        </w:rPr>
        <w:t>concernée</w:t>
      </w:r>
      <w:r w:rsidR="003C72EC" w:rsidRPr="003C72EC">
        <w:rPr>
          <w:rFonts w:ascii="Arial" w:hAnsi="Arial" w:cs="Arial"/>
          <w:b/>
          <w:bCs/>
          <w:i/>
          <w:color w:val="000000" w:themeColor="text1"/>
          <w:sz w:val="18"/>
          <w:szCs w:val="18"/>
        </w:rPr>
        <w:t> :</w:t>
      </w:r>
      <w:r>
        <w:rPr>
          <w:rFonts w:ascii="Arial" w:hAnsi="Arial" w:cs="Arial"/>
          <w:b/>
          <w:bCs/>
          <w:i/>
          <w:color w:val="000000" w:themeColor="text1"/>
          <w:sz w:val="18"/>
          <w:szCs w:val="18"/>
        </w:rPr>
        <w:t xml:space="preserve"> </w:t>
      </w:r>
      <w:r w:rsidR="00B01738">
        <w:rPr>
          <w:rFonts w:ascii="Arial" w:hAnsi="Arial" w:cs="Arial"/>
          <w:b/>
          <w:bCs/>
          <w:i/>
          <w:color w:val="000000" w:themeColor="text1"/>
          <w:sz w:val="18"/>
          <w:szCs w:val="18"/>
        </w:rPr>
        <w:t>Les obligations du porteur, Les principes horizontaux</w:t>
      </w:r>
    </w:p>
    <w:p w14:paraId="2F314A56"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0"/>
        <w:gridCol w:w="8080"/>
      </w:tblGrid>
      <w:tr w:rsidR="003C72EC" w:rsidRPr="003C72EC" w14:paraId="3ADC493A" w14:textId="77777777" w:rsidTr="00B86328">
        <w:tc>
          <w:tcPr>
            <w:tcW w:w="7650" w:type="dxa"/>
          </w:tcPr>
          <w:p w14:paraId="10FD8682"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8080" w:type="dxa"/>
          </w:tcPr>
          <w:p w14:paraId="691DE4B8"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3C72EC" w:rsidRPr="003C72EC" w14:paraId="5D9A1E2C" w14:textId="77777777" w:rsidTr="00B86328">
        <w:tc>
          <w:tcPr>
            <w:tcW w:w="7650" w:type="dxa"/>
          </w:tcPr>
          <w:p w14:paraId="7DC10E07" w14:textId="6E51E774" w:rsidR="00B01738" w:rsidRPr="00EF5346" w:rsidRDefault="00B01738" w:rsidP="00B01738">
            <w:pPr>
              <w:pBdr>
                <w:top w:val="none" w:sz="4" w:space="31" w:color="000000"/>
                <w:left w:val="none" w:sz="4" w:space="0" w:color="000000"/>
                <w:bottom w:val="none" w:sz="4" w:space="0" w:color="000000"/>
                <w:right w:val="none" w:sz="4" w:space="0" w:color="000000"/>
              </w:pBdr>
              <w:spacing w:line="235" w:lineRule="atLeast"/>
              <w:jc w:val="both"/>
              <w:rPr>
                <w:rFonts w:ascii="Arial" w:eastAsia="Calibri" w:hAnsi="Arial" w:cs="Arial"/>
                <w:i/>
                <w:color w:val="0028C8"/>
                <w:sz w:val="20"/>
                <w:szCs w:val="20"/>
              </w:rPr>
            </w:pPr>
            <w:r w:rsidRPr="00EF5346">
              <w:rPr>
                <w:rFonts w:ascii="Arial" w:eastAsia="Calibri" w:hAnsi="Arial" w:cs="Arial"/>
                <w:i/>
                <w:color w:val="0028C8"/>
                <w:sz w:val="20"/>
                <w:szCs w:val="20"/>
              </w:rPr>
              <w:t>Le développement durable</w:t>
            </w:r>
          </w:p>
          <w:p w14:paraId="3C2F1CF6" w14:textId="7D8E34A6" w:rsidR="00B01738" w:rsidRPr="00DA3A68" w:rsidRDefault="00B01738" w:rsidP="00B01738">
            <w:pPr>
              <w:pBdr>
                <w:top w:val="none" w:sz="4" w:space="31" w:color="000000"/>
                <w:left w:val="none" w:sz="4" w:space="0" w:color="000000"/>
                <w:bottom w:val="none" w:sz="4" w:space="0" w:color="000000"/>
                <w:right w:val="none" w:sz="4" w:space="0" w:color="000000"/>
              </w:pBdr>
              <w:spacing w:line="235" w:lineRule="atLeast"/>
              <w:rPr>
                <w:rFonts w:ascii="Arial" w:eastAsia="Calibri" w:hAnsi="Arial" w:cs="Arial"/>
                <w:color w:val="000000"/>
                <w:sz w:val="20"/>
                <w:szCs w:val="20"/>
              </w:rPr>
            </w:pPr>
            <w:r w:rsidRPr="00EF5346">
              <w:rPr>
                <w:rFonts w:ascii="Arial" w:eastAsia="Calibri" w:hAnsi="Arial" w:cs="Arial"/>
                <w:color w:val="000000"/>
                <w:sz w:val="20"/>
                <w:szCs w:val="20"/>
              </w:rPr>
              <w:t xml:space="preserve">L’article 9 du règlement cadre (UE) n°2021/1060 relatif aux fonds européens structurels et d’investissement précise « </w:t>
            </w:r>
            <w:r w:rsidRPr="00EF5346">
              <w:rPr>
                <w:rFonts w:ascii="Arial" w:eastAsia="Calibri" w:hAnsi="Arial" w:cs="Arial"/>
                <w:i/>
                <w:color w:val="000000"/>
                <w:sz w:val="20"/>
                <w:szCs w:val="20"/>
              </w:rPr>
              <w:t>Les objectifs des Fonds sont poursuivis conformément à l’objectif consistant à promouvoir le développement durable énoncé à l’article 11 du traité sur le fonctionnement de l’Union européenne, compte tenu des objectifs de développement durable des Nations unies, de l’accord de Paris et du principe consistant à ne pas causer de préjudice important.</w:t>
            </w:r>
            <w:r w:rsidRPr="00EF5346">
              <w:rPr>
                <w:rFonts w:ascii="Arial" w:eastAsia="Calibri" w:hAnsi="Arial" w:cs="Arial"/>
                <w:color w:val="000000"/>
                <w:sz w:val="20"/>
                <w:szCs w:val="20"/>
              </w:rPr>
              <w:t xml:space="preserve"> »</w:t>
            </w:r>
          </w:p>
          <w:p w14:paraId="7676EDFE" w14:textId="77777777" w:rsidR="00B01738" w:rsidRPr="00EF5346" w:rsidRDefault="00B01738" w:rsidP="00B01738">
            <w:pPr>
              <w:pBdr>
                <w:top w:val="none" w:sz="4" w:space="31" w:color="000000"/>
                <w:left w:val="none" w:sz="4" w:space="0" w:color="000000"/>
                <w:bottom w:val="none" w:sz="4" w:space="0" w:color="000000"/>
                <w:right w:val="none" w:sz="4" w:space="0" w:color="000000"/>
              </w:pBdr>
              <w:spacing w:line="235" w:lineRule="atLeast"/>
              <w:rPr>
                <w:rFonts w:ascii="Arial" w:hAnsi="Arial" w:cs="Arial"/>
                <w:sz w:val="20"/>
                <w:szCs w:val="20"/>
              </w:rPr>
            </w:pPr>
            <w:r w:rsidRPr="00EF5346">
              <w:rPr>
                <w:rFonts w:ascii="Arial" w:eastAsia="Calibri" w:hAnsi="Arial" w:cs="Arial"/>
                <w:color w:val="000000"/>
                <w:sz w:val="20"/>
                <w:szCs w:val="20"/>
              </w:rPr>
              <w:t> </w:t>
            </w:r>
          </w:p>
          <w:tbl>
            <w:tblPr>
              <w:tblStyle w:val="Grilledutableau"/>
              <w:tblW w:w="0" w:type="auto"/>
              <w:tblBorders>
                <w:top w:val="single" w:sz="8" w:space="0" w:color="0D3E95"/>
                <w:left w:val="single" w:sz="8" w:space="0" w:color="0D3E95"/>
                <w:bottom w:val="single" w:sz="8" w:space="0" w:color="0D3E95"/>
                <w:right w:val="single" w:sz="8" w:space="0" w:color="0D3E95"/>
                <w:insideH w:val="single" w:sz="8" w:space="0" w:color="0D3E95"/>
                <w:insideV w:val="single" w:sz="8" w:space="0" w:color="0D3E95"/>
              </w:tblBorders>
              <w:tblLook w:val="04A0" w:firstRow="1" w:lastRow="0" w:firstColumn="1" w:lastColumn="0" w:noHBand="0" w:noVBand="1"/>
            </w:tblPr>
            <w:tblGrid>
              <w:gridCol w:w="3763"/>
              <w:gridCol w:w="3732"/>
            </w:tblGrid>
            <w:tr w:rsidR="00B01738" w:rsidRPr="00EF5346" w14:paraId="23A2F094" w14:textId="77777777" w:rsidTr="00972BD6">
              <w:trPr>
                <w:trHeight w:val="936"/>
              </w:trPr>
              <w:tc>
                <w:tcPr>
                  <w:tcW w:w="4782" w:type="dxa"/>
                  <w:tcBorders>
                    <w:right w:val="single" w:sz="4" w:space="0" w:color="FFFFFF" w:themeColor="background1"/>
                  </w:tcBorders>
                  <w:shd w:val="clear" w:color="auto" w:fill="0028C8"/>
                  <w:tcMar>
                    <w:top w:w="0" w:type="dxa"/>
                    <w:left w:w="70" w:type="dxa"/>
                    <w:bottom w:w="0" w:type="dxa"/>
                    <w:right w:w="70" w:type="dxa"/>
                  </w:tcMar>
                  <w:vAlign w:val="center"/>
                </w:tcPr>
                <w:p w14:paraId="4B95274D" w14:textId="77777777" w:rsidR="00B01738" w:rsidRPr="00EF5346" w:rsidRDefault="00B01738" w:rsidP="00B01738">
                  <w:pPr>
                    <w:pBdr>
                      <w:top w:val="none" w:sz="4" w:space="0" w:color="000000"/>
                      <w:left w:val="none" w:sz="4" w:space="0" w:color="000000"/>
                      <w:bottom w:val="none" w:sz="4" w:space="0" w:color="000000"/>
                      <w:right w:val="none" w:sz="4" w:space="0" w:color="000000"/>
                    </w:pBdr>
                    <w:jc w:val="center"/>
                    <w:rPr>
                      <w:rFonts w:ascii="Arial" w:hAnsi="Arial" w:cs="Arial"/>
                      <w:b/>
                      <w:color w:val="FFFFFF" w:themeColor="background1"/>
                      <w:sz w:val="20"/>
                      <w:szCs w:val="20"/>
                    </w:rPr>
                  </w:pPr>
                  <w:r w:rsidRPr="00EF5346">
                    <w:rPr>
                      <w:rFonts w:ascii="Arial" w:eastAsia="Calibri" w:hAnsi="Arial" w:cs="Arial"/>
                      <w:b/>
                      <w:color w:val="FFFFFF" w:themeColor="background1"/>
                      <w:sz w:val="20"/>
                      <w:szCs w:val="20"/>
                    </w:rPr>
                    <w:t>Exemples de contributions directes</w:t>
                  </w:r>
                </w:p>
              </w:tc>
              <w:tc>
                <w:tcPr>
                  <w:tcW w:w="4572" w:type="dxa"/>
                  <w:tcBorders>
                    <w:left w:val="single" w:sz="4" w:space="0" w:color="FFFFFF" w:themeColor="background1"/>
                    <w:right w:val="single" w:sz="4" w:space="0" w:color="0028C8"/>
                  </w:tcBorders>
                  <w:shd w:val="clear" w:color="auto" w:fill="0028C8"/>
                  <w:tcMar>
                    <w:top w:w="0" w:type="dxa"/>
                    <w:left w:w="70" w:type="dxa"/>
                    <w:bottom w:w="0" w:type="dxa"/>
                    <w:right w:w="70" w:type="dxa"/>
                  </w:tcMar>
                  <w:vAlign w:val="center"/>
                </w:tcPr>
                <w:p w14:paraId="3411A2E5" w14:textId="77777777" w:rsidR="00B01738" w:rsidRPr="00EF5346" w:rsidRDefault="00B01738" w:rsidP="00B01738">
                  <w:pPr>
                    <w:pBdr>
                      <w:top w:val="none" w:sz="4" w:space="0" w:color="000000"/>
                      <w:left w:val="none" w:sz="4" w:space="0" w:color="000000"/>
                      <w:bottom w:val="none" w:sz="4" w:space="0" w:color="000000"/>
                      <w:right w:val="none" w:sz="4" w:space="0" w:color="000000"/>
                    </w:pBdr>
                    <w:jc w:val="center"/>
                    <w:rPr>
                      <w:rFonts w:ascii="Arial" w:hAnsi="Arial" w:cs="Arial"/>
                      <w:b/>
                      <w:color w:val="FFFFFF" w:themeColor="background1"/>
                      <w:sz w:val="20"/>
                      <w:szCs w:val="20"/>
                    </w:rPr>
                  </w:pPr>
                  <w:r w:rsidRPr="00EF5346">
                    <w:rPr>
                      <w:rFonts w:ascii="Arial" w:eastAsia="Calibri" w:hAnsi="Arial" w:cs="Arial"/>
                      <w:b/>
                      <w:color w:val="FFFFFF" w:themeColor="background1"/>
                      <w:sz w:val="20"/>
                      <w:szCs w:val="20"/>
                    </w:rPr>
                    <w:t>Exemples de contributions indirectes</w:t>
                  </w:r>
                </w:p>
              </w:tc>
            </w:tr>
            <w:tr w:rsidR="00B01738" w:rsidRPr="00EF5346" w14:paraId="74B5D778" w14:textId="77777777" w:rsidTr="00972BD6">
              <w:trPr>
                <w:trHeight w:val="5224"/>
              </w:trPr>
              <w:tc>
                <w:tcPr>
                  <w:tcW w:w="4782" w:type="dxa"/>
                  <w:tcBorders>
                    <w:left w:val="single" w:sz="4" w:space="0" w:color="0028C8"/>
                    <w:bottom w:val="single" w:sz="4" w:space="0" w:color="0028C8"/>
                    <w:right w:val="single" w:sz="4" w:space="0" w:color="0028C8"/>
                  </w:tcBorders>
                  <w:tcMar>
                    <w:top w:w="0" w:type="dxa"/>
                    <w:left w:w="70" w:type="dxa"/>
                    <w:bottom w:w="0" w:type="dxa"/>
                    <w:right w:w="70" w:type="dxa"/>
                  </w:tcMar>
                </w:tcPr>
                <w:p w14:paraId="3CF418E2"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eastAsia="Calibri" w:hAnsi="Arial" w:cs="Arial"/>
                      <w:color w:val="000000"/>
                      <w:sz w:val="20"/>
                      <w:szCs w:val="20"/>
                    </w:rPr>
                  </w:pPr>
                  <w:r w:rsidRPr="00EF5346">
                    <w:rPr>
                      <w:rFonts w:ascii="Arial" w:eastAsia="Calibri" w:hAnsi="Arial" w:cs="Arial"/>
                      <w:color w:val="000000"/>
                      <w:sz w:val="20"/>
                      <w:szCs w:val="20"/>
                    </w:rPr>
                    <w:lastRenderedPageBreak/>
                    <w:t>Le projet favorise les transports alternatifs</w:t>
                  </w:r>
                </w:p>
                <w:p w14:paraId="7B6B7C00"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eastAsia="Calibri" w:hAnsi="Arial" w:cs="Arial"/>
                      <w:color w:val="000000"/>
                      <w:sz w:val="20"/>
                      <w:szCs w:val="20"/>
                    </w:rPr>
                  </w:pPr>
                  <w:r w:rsidRPr="00EF5346">
                    <w:rPr>
                      <w:rFonts w:ascii="Arial" w:eastAsia="Calibri" w:hAnsi="Arial" w:cs="Arial"/>
                      <w:color w:val="000000"/>
                      <w:sz w:val="20"/>
                      <w:szCs w:val="20"/>
                    </w:rPr>
                    <w:t xml:space="preserve"> Le projet fait l’objet d’un bilan carbone;</w:t>
                  </w:r>
                </w:p>
                <w:p w14:paraId="65810D66"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eastAsia="Calibri" w:hAnsi="Arial" w:cs="Arial"/>
                      <w:color w:val="000000"/>
                      <w:sz w:val="20"/>
                      <w:szCs w:val="20"/>
                    </w:rPr>
                  </w:pPr>
                  <w:r w:rsidRPr="00EF5346">
                    <w:rPr>
                      <w:rFonts w:ascii="Arial" w:eastAsia="Calibri" w:hAnsi="Arial" w:cs="Arial"/>
                      <w:color w:val="000000"/>
                      <w:sz w:val="20"/>
                      <w:szCs w:val="20"/>
                    </w:rPr>
                    <w:t>Le projet est étudié au regard des effets sur le changement climatique;</w:t>
                  </w:r>
                </w:p>
                <w:p w14:paraId="22EBF692"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eastAsia="Calibri" w:hAnsi="Arial" w:cs="Arial"/>
                      <w:color w:val="000000"/>
                      <w:sz w:val="20"/>
                      <w:szCs w:val="20"/>
                    </w:rPr>
                  </w:pPr>
                  <w:r w:rsidRPr="00EF5346">
                    <w:rPr>
                      <w:rFonts w:ascii="Arial" w:eastAsia="Calibri" w:hAnsi="Arial" w:cs="Arial"/>
                      <w:color w:val="000000"/>
                      <w:sz w:val="20"/>
                      <w:szCs w:val="20"/>
                    </w:rPr>
                    <w:t>Le projet contribue à produire ou diffuser des connaissances sur le changement climatique, la protection de la biodiversité ou des ressources naturelles;</w:t>
                  </w:r>
                </w:p>
                <w:p w14:paraId="515F03D3"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eastAsia="Calibri" w:hAnsi="Arial" w:cs="Arial"/>
                      <w:color w:val="000000"/>
                      <w:sz w:val="20"/>
                      <w:szCs w:val="20"/>
                    </w:rPr>
                  </w:pPr>
                  <w:r w:rsidRPr="00EF5346">
                    <w:rPr>
                      <w:rFonts w:ascii="Arial" w:eastAsia="Calibri" w:hAnsi="Arial" w:cs="Arial"/>
                      <w:color w:val="000000"/>
                      <w:sz w:val="20"/>
                      <w:szCs w:val="20"/>
                    </w:rPr>
                    <w:t>Le projet préserve ou valorise le patrimoine naturel;</w:t>
                  </w:r>
                </w:p>
                <w:p w14:paraId="452285C0"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eastAsia="Calibri" w:hAnsi="Arial" w:cs="Arial"/>
                      <w:color w:val="000000"/>
                      <w:sz w:val="20"/>
                      <w:szCs w:val="20"/>
                    </w:rPr>
                  </w:pPr>
                  <w:r w:rsidRPr="00EF5346">
                    <w:rPr>
                      <w:rFonts w:ascii="Arial" w:eastAsia="Calibri" w:hAnsi="Arial" w:cs="Arial"/>
                      <w:color w:val="000000"/>
                      <w:sz w:val="20"/>
                      <w:szCs w:val="20"/>
                    </w:rPr>
                    <w:t>Le projet intègre des enjeux liés au changement climatique (réduction des déplacements ou limitation des approvisionnements, réduction d’énergie fossile, production d’énergie de source renouvelable);</w:t>
                  </w:r>
                </w:p>
                <w:p w14:paraId="5871F742"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hAnsi="Arial" w:cs="Arial"/>
                      <w:sz w:val="20"/>
                      <w:szCs w:val="20"/>
                    </w:rPr>
                  </w:pPr>
                  <w:r w:rsidRPr="00EF5346">
                    <w:rPr>
                      <w:rFonts w:ascii="Arial" w:eastAsia="Calibri" w:hAnsi="Arial" w:cs="Arial"/>
                      <w:color w:val="000000"/>
                      <w:sz w:val="20"/>
                      <w:szCs w:val="20"/>
                    </w:rPr>
                    <w:t>Le projet a bénéficié d’un accompagnement sur le sujet environnemental (avis d’experts environnementaux ADEME, DREAL, Agence de l’eau, bureaux d’études).</w:t>
                  </w:r>
                </w:p>
              </w:tc>
              <w:tc>
                <w:tcPr>
                  <w:tcW w:w="4572" w:type="dxa"/>
                  <w:tcBorders>
                    <w:left w:val="single" w:sz="4" w:space="0" w:color="0028C8"/>
                    <w:bottom w:val="single" w:sz="4" w:space="0" w:color="0028C8"/>
                    <w:right w:val="single" w:sz="4" w:space="0" w:color="0028C8"/>
                  </w:tcBorders>
                  <w:tcMar>
                    <w:top w:w="0" w:type="dxa"/>
                    <w:left w:w="70" w:type="dxa"/>
                    <w:bottom w:w="0" w:type="dxa"/>
                    <w:right w:w="70" w:type="dxa"/>
                  </w:tcMar>
                </w:tcPr>
                <w:p w14:paraId="27277705"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eastAsia="Calibri" w:hAnsi="Arial" w:cs="Arial"/>
                      <w:color w:val="000000"/>
                      <w:sz w:val="20"/>
                      <w:szCs w:val="20"/>
                    </w:rPr>
                  </w:pPr>
                  <w:r w:rsidRPr="00EF5346">
                    <w:rPr>
                      <w:rFonts w:ascii="Arial" w:eastAsia="Calibri" w:hAnsi="Arial" w:cs="Arial"/>
                      <w:color w:val="000000"/>
                      <w:sz w:val="20"/>
                      <w:szCs w:val="20"/>
                    </w:rPr>
                    <w:t>Les procédures d’achat (marchés publics par exemple) comportent des clauses responsables;</w:t>
                  </w:r>
                </w:p>
                <w:p w14:paraId="300DBEB4"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eastAsia="Calibri" w:hAnsi="Arial" w:cs="Arial"/>
                      <w:color w:val="000000"/>
                      <w:sz w:val="20"/>
                      <w:szCs w:val="20"/>
                    </w:rPr>
                  </w:pPr>
                  <w:r w:rsidRPr="00EF5346">
                    <w:rPr>
                      <w:rFonts w:ascii="Arial" w:eastAsia="Calibri" w:hAnsi="Arial" w:cs="Arial"/>
                      <w:color w:val="000000"/>
                      <w:sz w:val="20"/>
                      <w:szCs w:val="20"/>
                    </w:rPr>
                    <w:t>Les circuits courts sont favorisés pour tous types d’approvisionnements;</w:t>
                  </w:r>
                </w:p>
                <w:p w14:paraId="1A59C899"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eastAsia="Calibri" w:hAnsi="Arial" w:cs="Arial"/>
                      <w:color w:val="000000"/>
                      <w:sz w:val="20"/>
                      <w:szCs w:val="20"/>
                    </w:rPr>
                  </w:pPr>
                  <w:r w:rsidRPr="00EF5346">
                    <w:rPr>
                      <w:rFonts w:ascii="Arial" w:eastAsia="Calibri" w:hAnsi="Arial" w:cs="Arial"/>
                      <w:color w:val="000000"/>
                      <w:sz w:val="20"/>
                      <w:szCs w:val="20"/>
                    </w:rPr>
                    <w:t>Une démarche générale en faveur de l’environnement a été initiée (certification écolabel ou équivalent);</w:t>
                  </w:r>
                </w:p>
                <w:p w14:paraId="01715AD2"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eastAsia="Calibri" w:hAnsi="Arial" w:cs="Arial"/>
                      <w:color w:val="000000"/>
                      <w:sz w:val="20"/>
                      <w:szCs w:val="20"/>
                    </w:rPr>
                  </w:pPr>
                  <w:r w:rsidRPr="00EF5346">
                    <w:rPr>
                      <w:rFonts w:ascii="Arial" w:eastAsia="Calibri" w:hAnsi="Arial" w:cs="Arial"/>
                      <w:color w:val="000000"/>
                      <w:sz w:val="20"/>
                      <w:szCs w:val="20"/>
                    </w:rPr>
                    <w:t>Une démarche de réduction de la consommation a été initiée dans un domaine spécifique (gaz, électricité, eau, déchets).</w:t>
                  </w:r>
                </w:p>
              </w:tc>
            </w:tr>
          </w:tbl>
          <w:p w14:paraId="0B3BEE23" w14:textId="4D5569E3" w:rsidR="003C72EC" w:rsidRPr="003C72EC" w:rsidRDefault="003C72EC" w:rsidP="00B01738">
            <w:pPr>
              <w:tabs>
                <w:tab w:val="left" w:pos="1276"/>
                <w:tab w:val="left" w:pos="2714"/>
                <w:tab w:val="center" w:pos="4762"/>
              </w:tabs>
              <w:rPr>
                <w:rFonts w:ascii="Arial" w:hAnsi="Arial" w:cs="Arial"/>
                <w:bCs/>
                <w:i/>
                <w:color w:val="000000" w:themeColor="text1"/>
                <w:sz w:val="18"/>
                <w:szCs w:val="18"/>
              </w:rPr>
            </w:pPr>
          </w:p>
          <w:p w14:paraId="152B6ECA" w14:textId="77777777" w:rsidR="003C72EC" w:rsidRPr="003C72EC" w:rsidRDefault="003C72EC" w:rsidP="003C72EC">
            <w:pPr>
              <w:tabs>
                <w:tab w:val="left" w:pos="1276"/>
                <w:tab w:val="center" w:pos="4762"/>
              </w:tabs>
              <w:jc w:val="center"/>
              <w:rPr>
                <w:rFonts w:ascii="Arial" w:hAnsi="Arial" w:cs="Arial"/>
                <w:bCs/>
                <w:i/>
                <w:color w:val="000000" w:themeColor="text1"/>
                <w:sz w:val="18"/>
                <w:szCs w:val="18"/>
              </w:rPr>
            </w:pPr>
          </w:p>
        </w:tc>
        <w:tc>
          <w:tcPr>
            <w:tcW w:w="8080" w:type="dxa"/>
          </w:tcPr>
          <w:p w14:paraId="3E45E618" w14:textId="77777777" w:rsidR="003C72EC" w:rsidRPr="003C72EC" w:rsidRDefault="003C72EC" w:rsidP="00B01738">
            <w:pPr>
              <w:tabs>
                <w:tab w:val="left" w:pos="1276"/>
                <w:tab w:val="center" w:pos="4762"/>
              </w:tabs>
              <w:rPr>
                <w:rFonts w:ascii="Arial" w:hAnsi="Arial" w:cs="Arial"/>
                <w:bCs/>
                <w:i/>
                <w:color w:val="000000" w:themeColor="text1"/>
                <w:sz w:val="18"/>
                <w:szCs w:val="18"/>
              </w:rPr>
            </w:pPr>
          </w:p>
          <w:p w14:paraId="7C91430D" w14:textId="545323C7" w:rsidR="00B01738" w:rsidRPr="00EF5346" w:rsidRDefault="00B01738" w:rsidP="00B01738">
            <w:pPr>
              <w:pBdr>
                <w:top w:val="none" w:sz="4" w:space="31" w:color="000000"/>
                <w:left w:val="none" w:sz="4" w:space="0" w:color="000000"/>
                <w:bottom w:val="none" w:sz="4" w:space="0" w:color="000000"/>
                <w:right w:val="none" w:sz="4" w:space="0" w:color="000000"/>
              </w:pBdr>
              <w:spacing w:line="235" w:lineRule="atLeast"/>
              <w:ind w:firstLine="709"/>
              <w:rPr>
                <w:rFonts w:ascii="Arial" w:eastAsia="Calibri" w:hAnsi="Arial" w:cs="Arial"/>
                <w:i/>
                <w:color w:val="0028C8"/>
                <w:sz w:val="20"/>
                <w:szCs w:val="20"/>
              </w:rPr>
            </w:pPr>
            <w:r w:rsidRPr="00EF5346">
              <w:rPr>
                <w:rFonts w:ascii="Arial" w:eastAsia="Calibri" w:hAnsi="Arial" w:cs="Arial"/>
                <w:i/>
                <w:color w:val="0028C8"/>
                <w:sz w:val="20"/>
                <w:szCs w:val="20"/>
              </w:rPr>
              <w:t>Le développement durable</w:t>
            </w:r>
          </w:p>
          <w:p w14:paraId="2E68795E" w14:textId="1DADA7E3" w:rsidR="00B01738" w:rsidRPr="00B01738" w:rsidRDefault="00B01738" w:rsidP="00B01738">
            <w:pPr>
              <w:pBdr>
                <w:top w:val="none" w:sz="4" w:space="31" w:color="000000"/>
                <w:left w:val="none" w:sz="4" w:space="0" w:color="000000"/>
                <w:bottom w:val="none" w:sz="4" w:space="0" w:color="000000"/>
                <w:right w:val="none" w:sz="4" w:space="0" w:color="000000"/>
              </w:pBdr>
              <w:spacing w:line="235" w:lineRule="atLeast"/>
              <w:rPr>
                <w:rFonts w:ascii="Arial" w:eastAsia="Calibri" w:hAnsi="Arial" w:cs="Arial"/>
                <w:color w:val="000000"/>
                <w:sz w:val="20"/>
                <w:szCs w:val="20"/>
              </w:rPr>
            </w:pPr>
            <w:r w:rsidRPr="00EF5346">
              <w:rPr>
                <w:rFonts w:ascii="Arial" w:eastAsia="Calibri" w:hAnsi="Arial" w:cs="Arial"/>
                <w:color w:val="000000"/>
                <w:sz w:val="20"/>
                <w:szCs w:val="20"/>
              </w:rPr>
              <w:t xml:space="preserve">L’article 9 du règlement cadre (UE) n°2021/1060 relatif aux fonds européens structurels et d’investissement précise « </w:t>
            </w:r>
            <w:r w:rsidRPr="00EF5346">
              <w:rPr>
                <w:rFonts w:ascii="Arial" w:eastAsia="Calibri" w:hAnsi="Arial" w:cs="Arial"/>
                <w:i/>
                <w:color w:val="000000"/>
                <w:sz w:val="20"/>
                <w:szCs w:val="20"/>
              </w:rPr>
              <w:t>Les objectifs des Fonds sont poursuivis conformément à l’objectif consistant à promouvoir le développement durable énoncé à l’article 11 du traité sur le fonctionnement de l’Union européenne, compte tenu des objectifs de développement durable des Nations unies, de l’accord de Paris et du principe consistant à ne pas causer de préjudice important.</w:t>
            </w:r>
            <w:r w:rsidRPr="00EF5346">
              <w:rPr>
                <w:rFonts w:ascii="Arial" w:eastAsia="Calibri" w:hAnsi="Arial" w:cs="Arial"/>
                <w:color w:val="000000"/>
                <w:sz w:val="20"/>
                <w:szCs w:val="20"/>
              </w:rPr>
              <w:t xml:space="preserve"> »</w:t>
            </w:r>
          </w:p>
          <w:tbl>
            <w:tblPr>
              <w:tblStyle w:val="Grilledutableau"/>
              <w:tblW w:w="0" w:type="auto"/>
              <w:tblBorders>
                <w:top w:val="single" w:sz="8" w:space="0" w:color="0D3E95"/>
                <w:left w:val="single" w:sz="8" w:space="0" w:color="0D3E95"/>
                <w:bottom w:val="single" w:sz="8" w:space="0" w:color="0D3E95"/>
                <w:right w:val="single" w:sz="8" w:space="0" w:color="0D3E95"/>
                <w:insideH w:val="single" w:sz="8" w:space="0" w:color="0D3E95"/>
                <w:insideV w:val="single" w:sz="8" w:space="0" w:color="0D3E95"/>
              </w:tblBorders>
              <w:tblLook w:val="04A0" w:firstRow="1" w:lastRow="0" w:firstColumn="1" w:lastColumn="0" w:noHBand="0" w:noVBand="1"/>
            </w:tblPr>
            <w:tblGrid>
              <w:gridCol w:w="3998"/>
              <w:gridCol w:w="3927"/>
            </w:tblGrid>
            <w:tr w:rsidR="00B01738" w:rsidRPr="00EF5346" w14:paraId="26613359" w14:textId="77777777" w:rsidTr="00972BD6">
              <w:trPr>
                <w:trHeight w:val="936"/>
              </w:trPr>
              <w:tc>
                <w:tcPr>
                  <w:tcW w:w="4782" w:type="dxa"/>
                  <w:tcBorders>
                    <w:right w:val="single" w:sz="4" w:space="0" w:color="FFFFFF" w:themeColor="background1"/>
                  </w:tcBorders>
                  <w:shd w:val="clear" w:color="auto" w:fill="0028C8"/>
                  <w:tcMar>
                    <w:top w:w="0" w:type="dxa"/>
                    <w:left w:w="70" w:type="dxa"/>
                    <w:bottom w:w="0" w:type="dxa"/>
                    <w:right w:w="70" w:type="dxa"/>
                  </w:tcMar>
                  <w:vAlign w:val="center"/>
                </w:tcPr>
                <w:p w14:paraId="7904D2B4" w14:textId="77777777" w:rsidR="00B01738" w:rsidRPr="00EF5346" w:rsidRDefault="00B01738" w:rsidP="00B01738">
                  <w:pPr>
                    <w:pBdr>
                      <w:top w:val="none" w:sz="4" w:space="0" w:color="000000"/>
                      <w:left w:val="none" w:sz="4" w:space="0" w:color="000000"/>
                      <w:bottom w:val="none" w:sz="4" w:space="0" w:color="000000"/>
                      <w:right w:val="none" w:sz="4" w:space="0" w:color="000000"/>
                    </w:pBdr>
                    <w:jc w:val="center"/>
                    <w:rPr>
                      <w:rFonts w:ascii="Arial" w:hAnsi="Arial" w:cs="Arial"/>
                      <w:b/>
                      <w:color w:val="FFFFFF" w:themeColor="background1"/>
                      <w:sz w:val="20"/>
                      <w:szCs w:val="20"/>
                    </w:rPr>
                  </w:pPr>
                  <w:r w:rsidRPr="00EF5346">
                    <w:rPr>
                      <w:rFonts w:ascii="Arial" w:eastAsia="Calibri" w:hAnsi="Arial" w:cs="Arial"/>
                      <w:b/>
                      <w:color w:val="FFFFFF" w:themeColor="background1"/>
                      <w:sz w:val="20"/>
                      <w:szCs w:val="20"/>
                    </w:rPr>
                    <w:t>Exemples de contributions directes</w:t>
                  </w:r>
                </w:p>
              </w:tc>
              <w:tc>
                <w:tcPr>
                  <w:tcW w:w="4572" w:type="dxa"/>
                  <w:tcBorders>
                    <w:left w:val="single" w:sz="4" w:space="0" w:color="FFFFFF" w:themeColor="background1"/>
                    <w:right w:val="single" w:sz="4" w:space="0" w:color="0028C8"/>
                  </w:tcBorders>
                  <w:shd w:val="clear" w:color="auto" w:fill="0028C8"/>
                  <w:tcMar>
                    <w:top w:w="0" w:type="dxa"/>
                    <w:left w:w="70" w:type="dxa"/>
                    <w:bottom w:w="0" w:type="dxa"/>
                    <w:right w:w="70" w:type="dxa"/>
                  </w:tcMar>
                  <w:vAlign w:val="center"/>
                </w:tcPr>
                <w:p w14:paraId="49142F23" w14:textId="77777777" w:rsidR="00B01738" w:rsidRPr="00EF5346" w:rsidRDefault="00B01738" w:rsidP="00B01738">
                  <w:pPr>
                    <w:pBdr>
                      <w:top w:val="none" w:sz="4" w:space="0" w:color="000000"/>
                      <w:left w:val="none" w:sz="4" w:space="0" w:color="000000"/>
                      <w:bottom w:val="none" w:sz="4" w:space="0" w:color="000000"/>
                      <w:right w:val="none" w:sz="4" w:space="0" w:color="000000"/>
                    </w:pBdr>
                    <w:jc w:val="center"/>
                    <w:rPr>
                      <w:rFonts w:ascii="Arial" w:hAnsi="Arial" w:cs="Arial"/>
                      <w:b/>
                      <w:color w:val="FFFFFF" w:themeColor="background1"/>
                      <w:sz w:val="20"/>
                      <w:szCs w:val="20"/>
                    </w:rPr>
                  </w:pPr>
                  <w:r w:rsidRPr="00EF5346">
                    <w:rPr>
                      <w:rFonts w:ascii="Arial" w:eastAsia="Calibri" w:hAnsi="Arial" w:cs="Arial"/>
                      <w:b/>
                      <w:color w:val="FFFFFF" w:themeColor="background1"/>
                      <w:sz w:val="20"/>
                      <w:szCs w:val="20"/>
                    </w:rPr>
                    <w:t>Exemples de contributions indirectes</w:t>
                  </w:r>
                </w:p>
              </w:tc>
            </w:tr>
            <w:tr w:rsidR="00B01738" w:rsidRPr="00EF5346" w14:paraId="41A6F3E9" w14:textId="77777777" w:rsidTr="00972BD6">
              <w:trPr>
                <w:trHeight w:val="5224"/>
              </w:trPr>
              <w:tc>
                <w:tcPr>
                  <w:tcW w:w="4782" w:type="dxa"/>
                  <w:tcBorders>
                    <w:left w:val="single" w:sz="4" w:space="0" w:color="0028C8"/>
                    <w:bottom w:val="single" w:sz="4" w:space="0" w:color="0028C8"/>
                    <w:right w:val="single" w:sz="4" w:space="0" w:color="0028C8"/>
                  </w:tcBorders>
                  <w:tcMar>
                    <w:top w:w="0" w:type="dxa"/>
                    <w:left w:w="70" w:type="dxa"/>
                    <w:bottom w:w="0" w:type="dxa"/>
                    <w:right w:w="70" w:type="dxa"/>
                  </w:tcMar>
                </w:tcPr>
                <w:p w14:paraId="79FBAACE"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eastAsia="Calibri" w:hAnsi="Arial" w:cs="Arial"/>
                      <w:color w:val="000000"/>
                      <w:sz w:val="20"/>
                      <w:szCs w:val="20"/>
                    </w:rPr>
                  </w:pPr>
                  <w:r w:rsidRPr="00EF5346">
                    <w:rPr>
                      <w:rFonts w:ascii="Arial" w:eastAsia="Calibri" w:hAnsi="Arial" w:cs="Arial"/>
                      <w:color w:val="000000"/>
                      <w:sz w:val="20"/>
                      <w:szCs w:val="20"/>
                    </w:rPr>
                    <w:lastRenderedPageBreak/>
                    <w:t>Le projet favorise les transports alternatifs</w:t>
                  </w:r>
                </w:p>
                <w:p w14:paraId="46D499FF"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eastAsia="Calibri" w:hAnsi="Arial" w:cs="Arial"/>
                      <w:color w:val="000000"/>
                      <w:sz w:val="20"/>
                      <w:szCs w:val="20"/>
                    </w:rPr>
                  </w:pPr>
                  <w:r w:rsidRPr="00EF5346">
                    <w:rPr>
                      <w:rFonts w:ascii="Arial" w:eastAsia="Calibri" w:hAnsi="Arial" w:cs="Arial"/>
                      <w:color w:val="000000"/>
                      <w:sz w:val="20"/>
                      <w:szCs w:val="20"/>
                    </w:rPr>
                    <w:t xml:space="preserve"> Le projet fait l’objet d’un bilan carbone;</w:t>
                  </w:r>
                </w:p>
                <w:p w14:paraId="65249A89"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eastAsia="Calibri" w:hAnsi="Arial" w:cs="Arial"/>
                      <w:color w:val="000000"/>
                      <w:sz w:val="20"/>
                      <w:szCs w:val="20"/>
                    </w:rPr>
                  </w:pPr>
                  <w:r w:rsidRPr="00EF5346">
                    <w:rPr>
                      <w:rFonts w:ascii="Arial" w:eastAsia="Calibri" w:hAnsi="Arial" w:cs="Arial"/>
                      <w:color w:val="000000"/>
                      <w:sz w:val="20"/>
                      <w:szCs w:val="20"/>
                    </w:rPr>
                    <w:t>Le projet est étudié au regard des effets sur le changement climatique;</w:t>
                  </w:r>
                </w:p>
                <w:p w14:paraId="48495DE0"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eastAsia="Calibri" w:hAnsi="Arial" w:cs="Arial"/>
                      <w:color w:val="000000"/>
                      <w:sz w:val="20"/>
                      <w:szCs w:val="20"/>
                    </w:rPr>
                  </w:pPr>
                  <w:r w:rsidRPr="00EF5346">
                    <w:rPr>
                      <w:rFonts w:ascii="Arial" w:eastAsia="Calibri" w:hAnsi="Arial" w:cs="Arial"/>
                      <w:color w:val="000000"/>
                      <w:sz w:val="20"/>
                      <w:szCs w:val="20"/>
                    </w:rPr>
                    <w:t>Le projet contribue à produire ou diffuser des connaissances sur le changement climatique, la protection de la biodiversité ou des ressources naturelles;</w:t>
                  </w:r>
                </w:p>
                <w:p w14:paraId="41A327A0"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eastAsia="Calibri" w:hAnsi="Arial" w:cs="Arial"/>
                      <w:color w:val="000000"/>
                      <w:sz w:val="20"/>
                      <w:szCs w:val="20"/>
                    </w:rPr>
                  </w:pPr>
                  <w:r w:rsidRPr="00EF5346">
                    <w:rPr>
                      <w:rFonts w:ascii="Arial" w:eastAsia="Calibri" w:hAnsi="Arial" w:cs="Arial"/>
                      <w:color w:val="000000"/>
                      <w:sz w:val="20"/>
                      <w:szCs w:val="20"/>
                    </w:rPr>
                    <w:t>Le projet préserve ou valorise le patrimoine naturel;</w:t>
                  </w:r>
                </w:p>
                <w:p w14:paraId="2B340961"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eastAsia="Calibri" w:hAnsi="Arial" w:cs="Arial"/>
                      <w:color w:val="000000"/>
                      <w:sz w:val="20"/>
                      <w:szCs w:val="20"/>
                    </w:rPr>
                  </w:pPr>
                  <w:r w:rsidRPr="00EF5346">
                    <w:rPr>
                      <w:rFonts w:ascii="Arial" w:eastAsia="Calibri" w:hAnsi="Arial" w:cs="Arial"/>
                      <w:color w:val="000000"/>
                      <w:sz w:val="20"/>
                      <w:szCs w:val="20"/>
                    </w:rPr>
                    <w:t>Le projet intègre des enjeux liés au changement climatique (réduction des déplacements ou limitation des approvisionnements, réduction d’énergie fossile, production d’énergie de source renouvelable);</w:t>
                  </w:r>
                </w:p>
                <w:p w14:paraId="0658A96E"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hAnsi="Arial" w:cs="Arial"/>
                      <w:sz w:val="20"/>
                      <w:szCs w:val="20"/>
                    </w:rPr>
                  </w:pPr>
                  <w:r w:rsidRPr="00EF5346">
                    <w:rPr>
                      <w:rFonts w:ascii="Arial" w:eastAsia="Calibri" w:hAnsi="Arial" w:cs="Arial"/>
                      <w:color w:val="000000"/>
                      <w:sz w:val="20"/>
                      <w:szCs w:val="20"/>
                    </w:rPr>
                    <w:t>Le projet a bénéficié d’un accompagnement sur le sujet environnemental (avis d’experts environnementaux ADEME, DREAL, Agence de l’eau, bureaux d’études).</w:t>
                  </w:r>
                </w:p>
              </w:tc>
              <w:tc>
                <w:tcPr>
                  <w:tcW w:w="4572" w:type="dxa"/>
                  <w:tcBorders>
                    <w:left w:val="single" w:sz="4" w:space="0" w:color="0028C8"/>
                    <w:bottom w:val="single" w:sz="4" w:space="0" w:color="0028C8"/>
                    <w:right w:val="single" w:sz="4" w:space="0" w:color="0028C8"/>
                  </w:tcBorders>
                  <w:tcMar>
                    <w:top w:w="0" w:type="dxa"/>
                    <w:left w:w="70" w:type="dxa"/>
                    <w:bottom w:w="0" w:type="dxa"/>
                    <w:right w:w="70" w:type="dxa"/>
                  </w:tcMar>
                </w:tcPr>
                <w:p w14:paraId="1268969D"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eastAsia="Calibri" w:hAnsi="Arial" w:cs="Arial"/>
                      <w:color w:val="000000"/>
                      <w:sz w:val="20"/>
                      <w:szCs w:val="20"/>
                    </w:rPr>
                  </w:pPr>
                  <w:r w:rsidRPr="00EF5346">
                    <w:rPr>
                      <w:rFonts w:ascii="Arial" w:eastAsia="Calibri" w:hAnsi="Arial" w:cs="Arial"/>
                      <w:color w:val="000000"/>
                      <w:sz w:val="20"/>
                      <w:szCs w:val="20"/>
                    </w:rPr>
                    <w:t>Les procédures d’achat (marchés publics par exemple) comportent des clauses responsables;</w:t>
                  </w:r>
                </w:p>
                <w:p w14:paraId="5166BA9C"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eastAsia="Calibri" w:hAnsi="Arial" w:cs="Arial"/>
                      <w:color w:val="000000"/>
                      <w:sz w:val="20"/>
                      <w:szCs w:val="20"/>
                    </w:rPr>
                  </w:pPr>
                  <w:r w:rsidRPr="00EF5346">
                    <w:rPr>
                      <w:rFonts w:ascii="Arial" w:eastAsia="Calibri" w:hAnsi="Arial" w:cs="Arial"/>
                      <w:color w:val="000000"/>
                      <w:sz w:val="20"/>
                      <w:szCs w:val="20"/>
                    </w:rPr>
                    <w:t>Les circuits courts sont favorisés pour tous types d’approvisionnements;</w:t>
                  </w:r>
                </w:p>
                <w:p w14:paraId="6D11C7A3"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eastAsia="Calibri" w:hAnsi="Arial" w:cs="Arial"/>
                      <w:color w:val="000000"/>
                      <w:sz w:val="20"/>
                      <w:szCs w:val="20"/>
                    </w:rPr>
                  </w:pPr>
                  <w:r w:rsidRPr="00EF5346">
                    <w:rPr>
                      <w:rFonts w:ascii="Arial" w:eastAsia="Calibri" w:hAnsi="Arial" w:cs="Arial"/>
                      <w:color w:val="000000"/>
                      <w:sz w:val="20"/>
                      <w:szCs w:val="20"/>
                    </w:rPr>
                    <w:t>Une démarche générale en faveur de l’environnement a été initiée (certification écolabel ou équivalent);</w:t>
                  </w:r>
                </w:p>
                <w:p w14:paraId="5E24B7AB" w14:textId="77777777" w:rsidR="00B01738" w:rsidRPr="00EF5346" w:rsidRDefault="00B01738" w:rsidP="00B01738">
                  <w:pPr>
                    <w:pStyle w:val="Paragraphedeliste"/>
                    <w:numPr>
                      <w:ilvl w:val="0"/>
                      <w:numId w:val="34"/>
                    </w:numPr>
                    <w:pBdr>
                      <w:top w:val="none" w:sz="4" w:space="0" w:color="000000"/>
                      <w:left w:val="none" w:sz="4" w:space="0" w:color="000000"/>
                      <w:bottom w:val="none" w:sz="4" w:space="0" w:color="000000"/>
                      <w:right w:val="none" w:sz="4" w:space="0" w:color="000000"/>
                    </w:pBdr>
                    <w:jc w:val="both"/>
                    <w:rPr>
                      <w:rFonts w:ascii="Arial" w:eastAsia="Calibri" w:hAnsi="Arial" w:cs="Arial"/>
                      <w:color w:val="000000"/>
                      <w:sz w:val="20"/>
                      <w:szCs w:val="20"/>
                    </w:rPr>
                  </w:pPr>
                  <w:r w:rsidRPr="00EF5346">
                    <w:rPr>
                      <w:rFonts w:ascii="Arial" w:eastAsia="Calibri" w:hAnsi="Arial" w:cs="Arial"/>
                      <w:color w:val="000000"/>
                      <w:sz w:val="20"/>
                      <w:szCs w:val="20"/>
                    </w:rPr>
                    <w:t>Une démarche de réduction de la consommation a été initiée dans un domaine spécifique (gaz, électricité, eau, déchets).</w:t>
                  </w:r>
                </w:p>
              </w:tc>
            </w:tr>
          </w:tbl>
          <w:p w14:paraId="3CE814DA" w14:textId="77777777" w:rsidR="00B01738" w:rsidRPr="00EF5346" w:rsidRDefault="00B01738" w:rsidP="00B01738">
            <w:pPr>
              <w:pBdr>
                <w:top w:val="none" w:sz="4" w:space="0" w:color="000000"/>
                <w:left w:val="none" w:sz="4" w:space="0" w:color="000000"/>
                <w:bottom w:val="none" w:sz="4" w:space="0" w:color="000000"/>
                <w:right w:val="none" w:sz="4" w:space="0" w:color="000000"/>
              </w:pBdr>
              <w:spacing w:line="235" w:lineRule="atLeast"/>
              <w:rPr>
                <w:rFonts w:ascii="Arial" w:eastAsia="Calibri" w:hAnsi="Arial" w:cs="Arial"/>
                <w:sz w:val="20"/>
                <w:szCs w:val="20"/>
              </w:rPr>
            </w:pPr>
          </w:p>
          <w:p w14:paraId="2E74B58E" w14:textId="77777777" w:rsidR="00B01738" w:rsidRPr="00EF5346" w:rsidRDefault="00B01738" w:rsidP="00B01738">
            <w:pPr>
              <w:pBdr>
                <w:top w:val="none" w:sz="4" w:space="0" w:color="000000"/>
                <w:left w:val="none" w:sz="4" w:space="0" w:color="000000"/>
                <w:bottom w:val="none" w:sz="4" w:space="0" w:color="000000"/>
                <w:right w:val="none" w:sz="4" w:space="0" w:color="000000"/>
              </w:pBdr>
              <w:spacing w:line="235" w:lineRule="atLeast"/>
              <w:rPr>
                <w:rFonts w:ascii="Arial" w:eastAsia="Calibri" w:hAnsi="Arial" w:cs="Arial"/>
                <w:sz w:val="20"/>
                <w:szCs w:val="20"/>
              </w:rPr>
            </w:pPr>
          </w:p>
          <w:p w14:paraId="4E65D191" w14:textId="77777777" w:rsidR="00B01738" w:rsidRDefault="00B01738" w:rsidP="00B01738">
            <w:pPr>
              <w:rPr>
                <w:rFonts w:ascii="Arial" w:hAnsi="Arial" w:cs="Arial"/>
                <w:sz w:val="20"/>
                <w:szCs w:val="20"/>
              </w:rPr>
            </w:pPr>
            <w:r>
              <w:rPr>
                <w:rFonts w:ascii="Arial" w:hAnsi="Arial" w:cs="Arial"/>
                <w:sz w:val="20"/>
                <w:szCs w:val="20"/>
              </w:rPr>
              <w:t>Plus précisément, l</w:t>
            </w:r>
            <w:r w:rsidRPr="00C64ADA">
              <w:rPr>
                <w:rFonts w:ascii="Arial" w:hAnsi="Arial" w:cs="Arial"/>
                <w:sz w:val="20"/>
                <w:szCs w:val="20"/>
              </w:rPr>
              <w:t>e principe du « Do not Significant Harm » correspond au respect des objectifs européens en matière environnemental</w:t>
            </w:r>
            <w:r>
              <w:rPr>
                <w:rFonts w:ascii="Arial" w:hAnsi="Arial" w:cs="Arial"/>
                <w:sz w:val="20"/>
                <w:szCs w:val="20"/>
              </w:rPr>
              <w:t>e</w:t>
            </w:r>
            <w:r w:rsidRPr="00C64ADA">
              <w:rPr>
                <w:rFonts w:ascii="Arial" w:hAnsi="Arial" w:cs="Arial"/>
                <w:sz w:val="20"/>
                <w:szCs w:val="20"/>
              </w:rPr>
              <w:t>.</w:t>
            </w:r>
            <w:r w:rsidRPr="00C64ADA">
              <w:rPr>
                <w:rFonts w:asciiTheme="majorHAnsi" w:hAnsiTheme="majorHAnsi" w:cs="Times New Roman"/>
                <w:sz w:val="24"/>
                <w:szCs w:val="24"/>
              </w:rPr>
              <w:t xml:space="preserve"> </w:t>
            </w:r>
            <w:r w:rsidRPr="00C64ADA">
              <w:rPr>
                <w:rFonts w:ascii="Arial" w:hAnsi="Arial" w:cs="Arial"/>
                <w:sz w:val="20"/>
                <w:szCs w:val="20"/>
              </w:rPr>
              <w:t xml:space="preserve">Il s’agit de mettre en conformité les investissements, réformes, législations qui auraient un impact important sur l’environnement avec la stratégie environnementale de l’Union européenne. Le principe a pour origine le </w:t>
            </w:r>
            <w:r w:rsidRPr="00C64ADA">
              <w:rPr>
                <w:rFonts w:ascii="Arial" w:hAnsi="Arial" w:cs="Arial"/>
                <w:b/>
                <w:sz w:val="20"/>
                <w:szCs w:val="20"/>
              </w:rPr>
              <w:t>Règlement 2020/852</w:t>
            </w:r>
            <w:r w:rsidRPr="00C64ADA">
              <w:rPr>
                <w:rFonts w:ascii="Arial" w:hAnsi="Arial" w:cs="Arial"/>
                <w:sz w:val="20"/>
                <w:szCs w:val="20"/>
              </w:rPr>
              <w:t xml:space="preserve"> dit « taxonomie </w:t>
            </w:r>
            <w:r>
              <w:rPr>
                <w:rFonts w:ascii="Arial" w:hAnsi="Arial" w:cs="Arial"/>
                <w:sz w:val="20"/>
                <w:szCs w:val="20"/>
              </w:rPr>
              <w:t xml:space="preserve">2020 ». </w:t>
            </w:r>
          </w:p>
          <w:p w14:paraId="33257E5E" w14:textId="77777777" w:rsidR="00B01738" w:rsidRDefault="00B01738" w:rsidP="00B01738">
            <w:pPr>
              <w:rPr>
                <w:rFonts w:ascii="Arial" w:hAnsi="Arial" w:cs="Arial"/>
                <w:sz w:val="20"/>
                <w:szCs w:val="20"/>
              </w:rPr>
            </w:pPr>
            <w:r>
              <w:rPr>
                <w:rFonts w:ascii="Arial" w:hAnsi="Arial" w:cs="Arial"/>
                <w:sz w:val="20"/>
                <w:szCs w:val="20"/>
              </w:rPr>
              <w:t>S’agissant de son champ d’application, dans le cadre de la mise en œuvre des fonds européens, l’</w:t>
            </w:r>
            <w:r w:rsidRPr="00C64ADA">
              <w:rPr>
                <w:rFonts w:ascii="Arial" w:hAnsi="Arial" w:cs="Arial"/>
                <w:sz w:val="20"/>
                <w:szCs w:val="20"/>
              </w:rPr>
              <w:t xml:space="preserve">article 9 du Règlement (UE) 2021/1060 relatif aux </w:t>
            </w:r>
            <w:r w:rsidRPr="00C64ADA">
              <w:rPr>
                <w:rFonts w:ascii="Arial" w:hAnsi="Arial" w:cs="Arial"/>
                <w:b/>
                <w:sz w:val="20"/>
                <w:szCs w:val="20"/>
              </w:rPr>
              <w:t>dispositions communes, établit le principe du DNSH</w:t>
            </w:r>
            <w:r>
              <w:rPr>
                <w:rFonts w:ascii="Arial" w:hAnsi="Arial" w:cs="Arial"/>
                <w:b/>
                <w:sz w:val="20"/>
                <w:szCs w:val="20"/>
              </w:rPr>
              <w:t xml:space="preserve"> (Do Not Significant Harm, soit « ne pas causer de préjudice important » en français)</w:t>
            </w:r>
            <w:r w:rsidRPr="00C64ADA">
              <w:rPr>
                <w:rFonts w:ascii="Arial" w:hAnsi="Arial" w:cs="Arial"/>
                <w:b/>
                <w:sz w:val="20"/>
                <w:szCs w:val="20"/>
              </w:rPr>
              <w:t>, comme principe horizontal</w:t>
            </w:r>
            <w:r w:rsidRPr="00C64ADA">
              <w:rPr>
                <w:rFonts w:ascii="Arial" w:hAnsi="Arial" w:cs="Arial"/>
                <w:sz w:val="20"/>
                <w:szCs w:val="20"/>
              </w:rPr>
              <w:t>.</w:t>
            </w:r>
            <w:r>
              <w:rPr>
                <w:rFonts w:ascii="Arial" w:hAnsi="Arial" w:cs="Arial"/>
                <w:sz w:val="20"/>
                <w:szCs w:val="20"/>
              </w:rPr>
              <w:t xml:space="preserve"> </w:t>
            </w:r>
            <w:r w:rsidRPr="00EB7437">
              <w:rPr>
                <w:rFonts w:ascii="Arial" w:hAnsi="Arial" w:cs="Arial"/>
                <w:sz w:val="20"/>
                <w:szCs w:val="20"/>
              </w:rPr>
              <w:t xml:space="preserve"> </w:t>
            </w:r>
            <w:r>
              <w:rPr>
                <w:rFonts w:ascii="Arial" w:hAnsi="Arial" w:cs="Arial"/>
                <w:sz w:val="20"/>
                <w:szCs w:val="20"/>
              </w:rPr>
              <w:t>I</w:t>
            </w:r>
            <w:r w:rsidRPr="00EB7437">
              <w:rPr>
                <w:rFonts w:ascii="Arial" w:hAnsi="Arial" w:cs="Arial"/>
                <w:sz w:val="20"/>
                <w:szCs w:val="20"/>
              </w:rPr>
              <w:t>l mentionne l’impossibilité de financer des projets qui auraient un impact négatif sur l’environnement</w:t>
            </w:r>
            <w:r>
              <w:rPr>
                <w:rFonts w:ascii="Arial" w:hAnsi="Arial" w:cs="Arial"/>
                <w:sz w:val="20"/>
                <w:szCs w:val="20"/>
              </w:rPr>
              <w:t xml:space="preserve">. </w:t>
            </w:r>
          </w:p>
          <w:p w14:paraId="406DBC0F" w14:textId="77777777" w:rsidR="00B01738" w:rsidRPr="006D7969" w:rsidRDefault="00B01738" w:rsidP="00B01738">
            <w:pPr>
              <w:rPr>
                <w:rFonts w:ascii="Arial" w:hAnsi="Arial" w:cs="Arial"/>
                <w:sz w:val="20"/>
                <w:szCs w:val="20"/>
              </w:rPr>
            </w:pPr>
            <w:r>
              <w:rPr>
                <w:rFonts w:ascii="Arial" w:hAnsi="Arial" w:cs="Arial"/>
                <w:sz w:val="20"/>
                <w:szCs w:val="20"/>
              </w:rPr>
              <w:lastRenderedPageBreak/>
              <w:t xml:space="preserve">Ainsi, les projets cofinancés sur le programme 2021-2027 doivent concourir à mettre en œuvre les 6 objectifs environnementaux de l’Union européenne : </w:t>
            </w:r>
          </w:p>
          <w:p w14:paraId="4CD4521B" w14:textId="77777777" w:rsidR="00B01738" w:rsidRPr="0037100B" w:rsidRDefault="00B01738" w:rsidP="00B01738">
            <w:pPr>
              <w:pStyle w:val="Paragraphedeliste"/>
              <w:numPr>
                <w:ilvl w:val="0"/>
                <w:numId w:val="35"/>
              </w:numPr>
              <w:spacing w:after="0"/>
              <w:jc w:val="both"/>
              <w:rPr>
                <w:rFonts w:ascii="Arial" w:hAnsi="Arial" w:cs="Arial"/>
                <w:sz w:val="20"/>
                <w:szCs w:val="20"/>
              </w:rPr>
            </w:pPr>
            <w:r w:rsidRPr="0037100B">
              <w:rPr>
                <w:rFonts w:ascii="Arial" w:hAnsi="Arial" w:cs="Arial"/>
                <w:b/>
                <w:sz w:val="20"/>
                <w:szCs w:val="20"/>
              </w:rPr>
              <w:t>L’atténuation du changement climatique</w:t>
            </w:r>
            <w:r w:rsidRPr="0037100B">
              <w:rPr>
                <w:rFonts w:ascii="Arial" w:hAnsi="Arial" w:cs="Arial"/>
                <w:sz w:val="20"/>
                <w:szCs w:val="20"/>
              </w:rPr>
              <w:t xml:space="preserve"> par la réduction des émissions de gaz à effet de serre. </w:t>
            </w:r>
          </w:p>
          <w:p w14:paraId="085EBAAA" w14:textId="77777777" w:rsidR="00B01738" w:rsidRPr="0037100B" w:rsidRDefault="00B01738" w:rsidP="00B01738">
            <w:pPr>
              <w:pStyle w:val="Paragraphedeliste"/>
              <w:numPr>
                <w:ilvl w:val="0"/>
                <w:numId w:val="35"/>
              </w:numPr>
              <w:spacing w:after="0"/>
              <w:jc w:val="both"/>
              <w:rPr>
                <w:rFonts w:ascii="Arial" w:hAnsi="Arial" w:cs="Arial"/>
                <w:sz w:val="20"/>
                <w:szCs w:val="20"/>
              </w:rPr>
            </w:pPr>
            <w:r w:rsidRPr="0037100B">
              <w:rPr>
                <w:rFonts w:ascii="Arial" w:hAnsi="Arial" w:cs="Arial"/>
                <w:b/>
                <w:sz w:val="20"/>
                <w:szCs w:val="20"/>
              </w:rPr>
              <w:t>L’adaptation au changement climatique</w:t>
            </w:r>
            <w:r w:rsidRPr="0037100B">
              <w:rPr>
                <w:rFonts w:ascii="Arial" w:hAnsi="Arial" w:cs="Arial"/>
                <w:sz w:val="20"/>
                <w:szCs w:val="20"/>
              </w:rPr>
              <w:t xml:space="preserve"> par la réduction baisse du nombre des projets ayant une incidence négative sur le climat actuel, aussi bien dans le cadre de leur réalisation que de leur évolution. </w:t>
            </w:r>
          </w:p>
          <w:p w14:paraId="352BD1F7" w14:textId="77777777" w:rsidR="00B01738" w:rsidRPr="00EB7437" w:rsidRDefault="00B01738" w:rsidP="00B01738">
            <w:pPr>
              <w:numPr>
                <w:ilvl w:val="0"/>
                <w:numId w:val="35"/>
              </w:numPr>
              <w:spacing w:after="0"/>
              <w:jc w:val="both"/>
              <w:rPr>
                <w:rFonts w:ascii="Arial" w:hAnsi="Arial" w:cs="Arial"/>
                <w:sz w:val="20"/>
                <w:szCs w:val="20"/>
              </w:rPr>
            </w:pPr>
            <w:r w:rsidRPr="00EB7437">
              <w:rPr>
                <w:rFonts w:ascii="Arial" w:hAnsi="Arial" w:cs="Arial"/>
                <w:b/>
                <w:sz w:val="20"/>
                <w:szCs w:val="20"/>
              </w:rPr>
              <w:t>L’utilisation durable et protection des ressources aquatiques et marines</w:t>
            </w:r>
            <w:r w:rsidRPr="00EB7437">
              <w:rPr>
                <w:rFonts w:ascii="Arial" w:hAnsi="Arial" w:cs="Arial"/>
                <w:sz w:val="20"/>
                <w:szCs w:val="20"/>
              </w:rPr>
              <w:t xml:space="preserve"> pour une préservation du potentiel écologique et de l’état général des masses d’eau.</w:t>
            </w:r>
          </w:p>
          <w:p w14:paraId="6D22D223" w14:textId="77777777" w:rsidR="00B01738" w:rsidRPr="00EB7437" w:rsidRDefault="00B01738" w:rsidP="00B01738">
            <w:pPr>
              <w:numPr>
                <w:ilvl w:val="0"/>
                <w:numId w:val="35"/>
              </w:numPr>
              <w:spacing w:after="0"/>
              <w:jc w:val="both"/>
              <w:rPr>
                <w:rFonts w:ascii="Arial" w:hAnsi="Arial" w:cs="Arial"/>
                <w:sz w:val="20"/>
                <w:szCs w:val="20"/>
              </w:rPr>
            </w:pPr>
            <w:r w:rsidRPr="00EB7437">
              <w:rPr>
                <w:rFonts w:ascii="Arial" w:hAnsi="Arial" w:cs="Arial"/>
                <w:b/>
                <w:sz w:val="20"/>
                <w:szCs w:val="20"/>
              </w:rPr>
              <w:t>L’économie circulaire, la prévention et le recyclage des déchets</w:t>
            </w:r>
            <w:r w:rsidRPr="00EB7437">
              <w:rPr>
                <w:rFonts w:ascii="Arial" w:hAnsi="Arial" w:cs="Arial"/>
                <w:sz w:val="20"/>
                <w:szCs w:val="20"/>
              </w:rPr>
              <w:t xml:space="preserve"> par des activités efficaces dans l’utilisation des énergies renouvelables, des matières premières et dans la production de déchets. </w:t>
            </w:r>
          </w:p>
          <w:p w14:paraId="6BE467A6" w14:textId="77777777" w:rsidR="00B01738" w:rsidRPr="006D7969" w:rsidRDefault="00B01738" w:rsidP="00B01738">
            <w:pPr>
              <w:pStyle w:val="Paragraphedeliste"/>
              <w:numPr>
                <w:ilvl w:val="0"/>
                <w:numId w:val="35"/>
              </w:numPr>
              <w:jc w:val="both"/>
              <w:rPr>
                <w:rFonts w:ascii="Arial" w:hAnsi="Arial" w:cs="Arial"/>
                <w:sz w:val="20"/>
                <w:szCs w:val="20"/>
              </w:rPr>
            </w:pPr>
            <w:r w:rsidRPr="006D7969">
              <w:rPr>
                <w:rFonts w:ascii="Arial" w:hAnsi="Arial" w:cs="Arial"/>
                <w:b/>
                <w:sz w:val="20"/>
                <w:szCs w:val="20"/>
              </w:rPr>
              <w:t>La prévention et la réduction de la pollution dans l’air, le sol et l’eau</w:t>
            </w:r>
            <w:r w:rsidRPr="006D7969">
              <w:rPr>
                <w:rFonts w:ascii="Arial" w:hAnsi="Arial" w:cs="Arial"/>
                <w:sz w:val="20"/>
                <w:szCs w:val="20"/>
              </w:rPr>
              <w:t xml:space="preserve">. </w:t>
            </w:r>
          </w:p>
          <w:p w14:paraId="34692A8A" w14:textId="77777777" w:rsidR="00B01738" w:rsidRPr="006D7969" w:rsidRDefault="00B01738" w:rsidP="00B01738">
            <w:pPr>
              <w:pStyle w:val="Paragraphedeliste"/>
              <w:numPr>
                <w:ilvl w:val="0"/>
                <w:numId w:val="35"/>
              </w:numPr>
              <w:jc w:val="both"/>
              <w:rPr>
                <w:rFonts w:ascii="Arial" w:hAnsi="Arial" w:cs="Arial"/>
                <w:sz w:val="20"/>
                <w:szCs w:val="20"/>
              </w:rPr>
            </w:pPr>
            <w:r w:rsidRPr="006D7969">
              <w:rPr>
                <w:rFonts w:ascii="Arial" w:hAnsi="Arial" w:cs="Arial"/>
                <w:b/>
                <w:sz w:val="20"/>
                <w:szCs w:val="20"/>
              </w:rPr>
              <w:t>La protection et la restauration de la biodiversité et des écosystèmes</w:t>
            </w:r>
            <w:r w:rsidRPr="006D7969">
              <w:rPr>
                <w:rFonts w:ascii="Arial" w:hAnsi="Arial" w:cs="Arial"/>
                <w:sz w:val="20"/>
                <w:szCs w:val="20"/>
              </w:rPr>
              <w:t xml:space="preserve"> par la conservation des habitats et des écosystèmes des espèces présentant un intérêt pour l’Union européenne.</w:t>
            </w:r>
          </w:p>
          <w:p w14:paraId="4191C4E0" w14:textId="77777777" w:rsidR="00B01738" w:rsidRPr="00FF1043" w:rsidRDefault="00B01738" w:rsidP="00B01738">
            <w:pPr>
              <w:rPr>
                <w:rFonts w:ascii="Arial" w:hAnsi="Arial" w:cs="Arial"/>
                <w:sz w:val="20"/>
                <w:szCs w:val="20"/>
                <w:highlight w:val="yellow"/>
              </w:rPr>
            </w:pPr>
            <w:r w:rsidRPr="0037100B">
              <w:rPr>
                <w:rFonts w:ascii="Arial" w:hAnsi="Arial" w:cs="Arial"/>
                <w:sz w:val="20"/>
                <w:szCs w:val="20"/>
              </w:rPr>
              <w:t>Les autorités de gestion des programmes FEDER-FSE+-FTJ sont soumises à la réalisation d’une évaluation stratégique environnementale (ESE) validée par l’autorité environnementale dont l’objectif est d’éviter les incidences notables des plans et programmes sur l’environnement par des mesures d’atténuation.</w:t>
            </w:r>
            <w:r>
              <w:rPr>
                <w:rFonts w:ascii="Arial" w:hAnsi="Arial" w:cs="Arial"/>
                <w:sz w:val="20"/>
                <w:szCs w:val="20"/>
              </w:rPr>
              <w:t xml:space="preserve"> La méthodologie de ces évaluations permet de justifier que la réalisation de 4 objectifs sur 6 (objectifs n°1 ; 3 ;  5  et 6 ) a été analysée. </w:t>
            </w:r>
          </w:p>
          <w:p w14:paraId="103AAFED" w14:textId="77777777" w:rsidR="00B01738" w:rsidRPr="00C64ADA" w:rsidRDefault="00B01738" w:rsidP="00B01738">
            <w:pPr>
              <w:rPr>
                <w:rFonts w:ascii="Arial" w:hAnsi="Arial" w:cs="Arial"/>
                <w:sz w:val="20"/>
                <w:szCs w:val="20"/>
              </w:rPr>
            </w:pPr>
            <w:r>
              <w:rPr>
                <w:rFonts w:ascii="Arial" w:hAnsi="Arial" w:cs="Arial"/>
                <w:sz w:val="20"/>
                <w:szCs w:val="20"/>
              </w:rPr>
              <w:t>Pour les objectifs n°2 (l’adaptation au changement climatique) et 4 (l’économie circulatire), u</w:t>
            </w:r>
            <w:r w:rsidRPr="00C64ADA">
              <w:rPr>
                <w:rFonts w:ascii="Arial" w:hAnsi="Arial" w:cs="Arial"/>
                <w:sz w:val="20"/>
                <w:szCs w:val="20"/>
              </w:rPr>
              <w:t xml:space="preserve">n </w:t>
            </w:r>
            <w:r w:rsidRPr="00C64ADA">
              <w:rPr>
                <w:rFonts w:ascii="Arial" w:hAnsi="Arial" w:cs="Arial"/>
                <w:b/>
                <w:sz w:val="20"/>
                <w:szCs w:val="20"/>
              </w:rPr>
              <w:t>référentiel national</w:t>
            </w:r>
            <w:r w:rsidRPr="00C64ADA">
              <w:rPr>
                <w:rFonts w:ascii="Arial" w:hAnsi="Arial" w:cs="Arial"/>
                <w:sz w:val="20"/>
                <w:szCs w:val="20"/>
              </w:rPr>
              <w:t xml:space="preserve"> a été déployé par l’ANCT en collaboration avec les autorités de gestion</w:t>
            </w:r>
            <w:r>
              <w:rPr>
                <w:rFonts w:ascii="Arial" w:hAnsi="Arial" w:cs="Arial"/>
                <w:sz w:val="20"/>
                <w:szCs w:val="20"/>
              </w:rPr>
              <w:t xml:space="preserve">, dans le cadre de la définition de leur Programme Régional. </w:t>
            </w:r>
            <w:r w:rsidRPr="00C64ADA">
              <w:rPr>
                <w:rFonts w:ascii="Arial" w:hAnsi="Arial" w:cs="Arial"/>
                <w:sz w:val="20"/>
                <w:szCs w:val="20"/>
              </w:rPr>
              <w:t xml:space="preserve">Ce référentiel </w:t>
            </w:r>
            <w:r>
              <w:rPr>
                <w:rFonts w:ascii="Arial" w:hAnsi="Arial" w:cs="Arial"/>
                <w:sz w:val="20"/>
                <w:szCs w:val="20"/>
              </w:rPr>
              <w:t>permet aux autorités de gestion de</w:t>
            </w:r>
            <w:r w:rsidRPr="00C64ADA">
              <w:rPr>
                <w:rFonts w:ascii="Arial" w:hAnsi="Arial" w:cs="Arial"/>
                <w:sz w:val="20"/>
                <w:szCs w:val="20"/>
              </w:rPr>
              <w:t xml:space="preserve"> déterminer si une évaluation de fond de la mesure est nécessaire. Pour cela, 3 conditions exonératoires peuvent justifier l’absence de cette étape : </w:t>
            </w:r>
          </w:p>
          <w:p w14:paraId="367BD5D0" w14:textId="77777777" w:rsidR="00B01738" w:rsidRPr="00C64ADA" w:rsidRDefault="00B01738" w:rsidP="00B01738">
            <w:pPr>
              <w:numPr>
                <w:ilvl w:val="0"/>
                <w:numId w:val="36"/>
              </w:numPr>
              <w:spacing w:after="0"/>
              <w:jc w:val="both"/>
              <w:rPr>
                <w:rFonts w:ascii="Arial" w:hAnsi="Arial" w:cs="Arial"/>
                <w:sz w:val="20"/>
                <w:szCs w:val="20"/>
              </w:rPr>
            </w:pPr>
            <w:r w:rsidRPr="00C64ADA">
              <w:rPr>
                <w:rFonts w:ascii="Arial" w:hAnsi="Arial" w:cs="Arial"/>
                <w:sz w:val="20"/>
                <w:szCs w:val="20"/>
              </w:rPr>
              <w:t xml:space="preserve">La mesure a une </w:t>
            </w:r>
            <w:r w:rsidRPr="00C64ADA">
              <w:rPr>
                <w:rFonts w:ascii="Arial" w:hAnsi="Arial" w:cs="Arial"/>
                <w:b/>
                <w:sz w:val="20"/>
                <w:szCs w:val="20"/>
              </w:rPr>
              <w:t>incidence prévisible nulle ou négligeable</w:t>
            </w:r>
            <w:r w:rsidRPr="00C64ADA">
              <w:rPr>
                <w:rFonts w:ascii="Arial" w:hAnsi="Arial" w:cs="Arial"/>
                <w:sz w:val="20"/>
                <w:szCs w:val="20"/>
              </w:rPr>
              <w:t xml:space="preserve"> sur l’objectif environnemental. </w:t>
            </w:r>
          </w:p>
          <w:p w14:paraId="47C667AD" w14:textId="77777777" w:rsidR="00B01738" w:rsidRPr="00C64ADA" w:rsidRDefault="00B01738" w:rsidP="00B01738">
            <w:pPr>
              <w:numPr>
                <w:ilvl w:val="0"/>
                <w:numId w:val="36"/>
              </w:numPr>
              <w:spacing w:after="0"/>
              <w:jc w:val="both"/>
              <w:rPr>
                <w:rFonts w:ascii="Arial" w:hAnsi="Arial" w:cs="Arial"/>
                <w:sz w:val="20"/>
                <w:szCs w:val="20"/>
              </w:rPr>
            </w:pPr>
            <w:r w:rsidRPr="00C64ADA">
              <w:rPr>
                <w:rFonts w:ascii="Arial" w:hAnsi="Arial" w:cs="Arial"/>
                <w:sz w:val="20"/>
                <w:szCs w:val="20"/>
              </w:rPr>
              <w:t xml:space="preserve">La mesure est suivie car elle </w:t>
            </w:r>
            <w:r w:rsidRPr="00C64ADA">
              <w:rPr>
                <w:rFonts w:ascii="Arial" w:hAnsi="Arial" w:cs="Arial"/>
                <w:b/>
                <w:sz w:val="20"/>
                <w:szCs w:val="20"/>
              </w:rPr>
              <w:t>soutient à 100% un objectif de changement climatique</w:t>
            </w:r>
            <w:r w:rsidRPr="00C64ADA">
              <w:rPr>
                <w:rFonts w:ascii="Arial" w:hAnsi="Arial" w:cs="Arial"/>
                <w:sz w:val="20"/>
                <w:szCs w:val="20"/>
              </w:rPr>
              <w:t xml:space="preserve"> ou environnemental. </w:t>
            </w:r>
          </w:p>
          <w:p w14:paraId="21842CE5" w14:textId="77777777" w:rsidR="00B01738" w:rsidRDefault="00B01738" w:rsidP="00B01738">
            <w:pPr>
              <w:numPr>
                <w:ilvl w:val="0"/>
                <w:numId w:val="36"/>
              </w:numPr>
              <w:spacing w:after="0"/>
              <w:jc w:val="both"/>
              <w:rPr>
                <w:rFonts w:ascii="Arial" w:hAnsi="Arial" w:cs="Arial"/>
                <w:sz w:val="20"/>
                <w:szCs w:val="20"/>
              </w:rPr>
            </w:pPr>
            <w:r w:rsidRPr="00C64ADA">
              <w:rPr>
                <w:rFonts w:ascii="Arial" w:hAnsi="Arial" w:cs="Arial"/>
                <w:sz w:val="20"/>
                <w:szCs w:val="20"/>
              </w:rPr>
              <w:t xml:space="preserve">La mesure </w:t>
            </w:r>
            <w:r w:rsidRPr="00C64ADA">
              <w:rPr>
                <w:rFonts w:ascii="Arial" w:hAnsi="Arial" w:cs="Arial"/>
                <w:b/>
                <w:sz w:val="20"/>
                <w:szCs w:val="20"/>
              </w:rPr>
              <w:t>« contribue de manière substantielle » à un objectif environnemental</w:t>
            </w:r>
            <w:r w:rsidRPr="00C64ADA">
              <w:rPr>
                <w:rFonts w:ascii="Arial" w:hAnsi="Arial" w:cs="Arial"/>
                <w:sz w:val="20"/>
                <w:szCs w:val="20"/>
              </w:rPr>
              <w:t xml:space="preserve">, conformément au règlement « taxonomie ». </w:t>
            </w:r>
          </w:p>
          <w:p w14:paraId="66BB06E2" w14:textId="77777777" w:rsidR="00B01738" w:rsidRDefault="00B01738" w:rsidP="00B01738">
            <w:pPr>
              <w:rPr>
                <w:rFonts w:ascii="Arial" w:hAnsi="Arial" w:cs="Arial"/>
                <w:sz w:val="20"/>
                <w:szCs w:val="20"/>
              </w:rPr>
            </w:pPr>
            <w:r>
              <w:rPr>
                <w:rFonts w:ascii="Arial" w:hAnsi="Arial" w:cs="Arial"/>
                <w:sz w:val="20"/>
                <w:szCs w:val="20"/>
              </w:rPr>
              <w:t xml:space="preserve">Cette analyse est en annexe du Programme régional. </w:t>
            </w:r>
          </w:p>
          <w:p w14:paraId="3004070F" w14:textId="77777777" w:rsidR="00B01738" w:rsidRDefault="00B01738" w:rsidP="00B01738">
            <w:pPr>
              <w:rPr>
                <w:rFonts w:ascii="Arial" w:hAnsi="Arial" w:cs="Arial"/>
                <w:sz w:val="20"/>
                <w:szCs w:val="20"/>
              </w:rPr>
            </w:pPr>
            <w:r>
              <w:rPr>
                <w:rFonts w:ascii="Arial" w:hAnsi="Arial" w:cs="Arial"/>
                <w:sz w:val="20"/>
                <w:szCs w:val="20"/>
              </w:rPr>
              <w:t>Lors du dépôt du dossier de subvention et du travail d’instruction, au cas par cas, si</w:t>
            </w:r>
            <w:r w:rsidRPr="00C64ADA">
              <w:rPr>
                <w:rFonts w:ascii="Arial" w:hAnsi="Arial" w:cs="Arial"/>
                <w:sz w:val="20"/>
                <w:szCs w:val="20"/>
              </w:rPr>
              <w:t xml:space="preserve"> l</w:t>
            </w:r>
            <w:r>
              <w:rPr>
                <w:rFonts w:ascii="Arial" w:hAnsi="Arial" w:cs="Arial"/>
                <w:sz w:val="20"/>
                <w:szCs w:val="20"/>
              </w:rPr>
              <w:t xml:space="preserve">’autorité de gestion estime que les </w:t>
            </w:r>
            <w:r w:rsidRPr="00C64ADA">
              <w:rPr>
                <w:rFonts w:ascii="Arial" w:hAnsi="Arial" w:cs="Arial"/>
                <w:sz w:val="20"/>
                <w:szCs w:val="20"/>
              </w:rPr>
              <w:t>conditions exonératoires ne sont pas remplies</w:t>
            </w:r>
            <w:r>
              <w:rPr>
                <w:rFonts w:ascii="Arial" w:hAnsi="Arial" w:cs="Arial"/>
                <w:sz w:val="20"/>
                <w:szCs w:val="20"/>
              </w:rPr>
              <w:t xml:space="preserve"> pour un </w:t>
            </w:r>
            <w:r>
              <w:rPr>
                <w:rFonts w:ascii="Arial" w:hAnsi="Arial" w:cs="Arial"/>
                <w:sz w:val="20"/>
                <w:szCs w:val="20"/>
              </w:rPr>
              <w:lastRenderedPageBreak/>
              <w:t>projet</w:t>
            </w:r>
            <w:r w:rsidRPr="00C64ADA">
              <w:rPr>
                <w:rFonts w:ascii="Arial" w:hAnsi="Arial" w:cs="Arial"/>
                <w:sz w:val="20"/>
                <w:szCs w:val="20"/>
              </w:rPr>
              <w:t xml:space="preserve">, le </w:t>
            </w:r>
            <w:r>
              <w:rPr>
                <w:rFonts w:ascii="Arial" w:hAnsi="Arial" w:cs="Arial"/>
                <w:sz w:val="20"/>
                <w:szCs w:val="20"/>
              </w:rPr>
              <w:t>porteur</w:t>
            </w:r>
            <w:r w:rsidRPr="00C64ADA">
              <w:rPr>
                <w:rFonts w:ascii="Arial" w:hAnsi="Arial" w:cs="Arial"/>
                <w:sz w:val="20"/>
                <w:szCs w:val="20"/>
              </w:rPr>
              <w:t xml:space="preserve"> doit fournir une réponse justifiée aux questions posées, directement en lien avec les objectifs environnementaux de l’Union européenne. </w:t>
            </w:r>
          </w:p>
          <w:p w14:paraId="780B1E66" w14:textId="258FA710" w:rsidR="003C72EC" w:rsidRPr="003C72EC" w:rsidRDefault="00B01738" w:rsidP="00B01738">
            <w:pPr>
              <w:tabs>
                <w:tab w:val="center" w:pos="4762"/>
              </w:tabs>
              <w:rPr>
                <w:rFonts w:ascii="Arial" w:hAnsi="Arial" w:cs="Arial"/>
                <w:bCs/>
                <w:i/>
                <w:color w:val="000000" w:themeColor="text1"/>
                <w:sz w:val="18"/>
                <w:szCs w:val="18"/>
              </w:rPr>
            </w:pPr>
            <w:r>
              <w:rPr>
                <w:rFonts w:ascii="Arial" w:hAnsi="Arial" w:cs="Arial"/>
                <w:sz w:val="20"/>
                <w:szCs w:val="20"/>
              </w:rPr>
              <w:t>I</w:t>
            </w:r>
            <w:r w:rsidRPr="00C64ADA">
              <w:rPr>
                <w:rFonts w:ascii="Arial" w:hAnsi="Arial" w:cs="Arial"/>
                <w:sz w:val="20"/>
                <w:szCs w:val="20"/>
              </w:rPr>
              <w:t>l s’agit de réaliser sa propre auto-évaluation en se référant au besoin à la législation en vigueur. Les impacts directs lors de la mise en œuvre du projet et indirects survenant lors de l’utilisation du projet et suffisamment prévisibles et pertinents, doivent être mentionner.</w:t>
            </w:r>
            <w:r>
              <w:rPr>
                <w:rFonts w:ascii="Arial" w:hAnsi="Arial" w:cs="Arial"/>
                <w:sz w:val="20"/>
                <w:szCs w:val="20"/>
              </w:rPr>
              <w:t xml:space="preserve"> </w:t>
            </w:r>
            <w:r w:rsidRPr="00C64ADA">
              <w:rPr>
                <w:rFonts w:ascii="Arial" w:hAnsi="Arial" w:cs="Arial"/>
                <w:sz w:val="20"/>
                <w:szCs w:val="20"/>
              </w:rPr>
              <w:t xml:space="preserve">L’absence de réponse par le candidat </w:t>
            </w:r>
            <w:r>
              <w:rPr>
                <w:rFonts w:ascii="Arial" w:hAnsi="Arial" w:cs="Arial"/>
                <w:sz w:val="20"/>
                <w:szCs w:val="20"/>
              </w:rPr>
              <w:t>peut</w:t>
            </w:r>
            <w:r w:rsidRPr="00C64ADA">
              <w:rPr>
                <w:rFonts w:ascii="Arial" w:hAnsi="Arial" w:cs="Arial"/>
                <w:sz w:val="20"/>
                <w:szCs w:val="20"/>
              </w:rPr>
              <w:t xml:space="preserve"> entraîner la non-éligibilité du projet ou l’irrégularité de l’offre soumise</w:t>
            </w:r>
            <w:r w:rsidR="003C72EC" w:rsidRPr="003C72EC">
              <w:rPr>
                <w:rFonts w:ascii="Arial" w:hAnsi="Arial" w:cs="Arial"/>
                <w:bCs/>
                <w:i/>
                <w:color w:val="000000" w:themeColor="text1"/>
                <w:sz w:val="18"/>
                <w:szCs w:val="18"/>
              </w:rPr>
              <w:tab/>
            </w:r>
          </w:p>
        </w:tc>
      </w:tr>
    </w:tbl>
    <w:p w14:paraId="26D662D7" w14:textId="2A463640" w:rsidR="00B01738" w:rsidRPr="003C72EC" w:rsidRDefault="00B01738" w:rsidP="00B01738">
      <w:pPr>
        <w:tabs>
          <w:tab w:val="left" w:pos="1276"/>
          <w:tab w:val="center" w:pos="4762"/>
        </w:tabs>
        <w:rPr>
          <w:rFonts w:ascii="Arial" w:hAnsi="Arial" w:cs="Arial"/>
          <w:b/>
          <w:bCs/>
          <w:i/>
          <w:color w:val="000000" w:themeColor="text1"/>
          <w:sz w:val="18"/>
          <w:szCs w:val="18"/>
        </w:rPr>
      </w:pPr>
    </w:p>
    <w:p w14:paraId="099AA701" w14:textId="73BFC6D2" w:rsidR="00B01738" w:rsidRDefault="00B01738" w:rsidP="00B01738">
      <w:pPr>
        <w:tabs>
          <w:tab w:val="left" w:pos="1276"/>
          <w:tab w:val="center" w:pos="4762"/>
        </w:tabs>
        <w:jc w:val="both"/>
        <w:rPr>
          <w:rFonts w:ascii="Arial" w:hAnsi="Arial" w:cs="Arial"/>
          <w:b/>
          <w:bCs/>
          <w:i/>
          <w:color w:val="000000" w:themeColor="text1"/>
          <w:sz w:val="18"/>
          <w:szCs w:val="18"/>
        </w:rPr>
      </w:pPr>
      <w:r>
        <w:rPr>
          <w:rFonts w:ascii="Arial" w:hAnsi="Arial" w:cs="Arial"/>
          <w:b/>
          <w:bCs/>
          <w:i/>
          <w:color w:val="000000" w:themeColor="text1"/>
          <w:sz w:val="18"/>
          <w:szCs w:val="18"/>
        </w:rPr>
        <w:t xml:space="preserve">Fiches-actions concernées : </w:t>
      </w:r>
    </w:p>
    <w:p w14:paraId="3DD1B2F8" w14:textId="77777777" w:rsidR="005E1A7D" w:rsidRPr="005E1A7D" w:rsidRDefault="00B01738" w:rsidP="00B01738">
      <w:pPr>
        <w:pStyle w:val="Paragraphedeliste"/>
        <w:numPr>
          <w:ilvl w:val="0"/>
          <w:numId w:val="36"/>
        </w:numPr>
        <w:tabs>
          <w:tab w:val="left" w:pos="1276"/>
          <w:tab w:val="center" w:pos="4762"/>
        </w:tabs>
        <w:jc w:val="both"/>
        <w:rPr>
          <w:rFonts w:ascii="Arial" w:hAnsi="Arial" w:cs="Arial"/>
          <w:b/>
          <w:bCs/>
          <w:i/>
          <w:color w:val="000000" w:themeColor="text1"/>
          <w:sz w:val="18"/>
          <w:szCs w:val="18"/>
        </w:rPr>
      </w:pPr>
      <w:r w:rsidRPr="005E1A7D">
        <w:rPr>
          <w:rFonts w:ascii="Arial" w:hAnsi="Arial" w:cs="Arial"/>
          <w:b/>
          <w:i/>
          <w:sz w:val="18"/>
          <w:szCs w:val="18"/>
        </w:rPr>
        <w:t>OS 1, priorité 1, OSpé 1.1/ Priorité 2, Ospé 1.3 / Priorité 3, OSpé 1.2</w:t>
      </w:r>
      <w:r w:rsidR="005E1A7D" w:rsidRPr="005E1A7D">
        <w:rPr>
          <w:rFonts w:ascii="Arial" w:hAnsi="Arial" w:cs="Arial"/>
          <w:b/>
          <w:i/>
          <w:sz w:val="18"/>
          <w:szCs w:val="18"/>
        </w:rPr>
        <w:t xml:space="preserve">, ensemble des fiches actions </w:t>
      </w:r>
    </w:p>
    <w:p w14:paraId="7274D873" w14:textId="77777777" w:rsidR="005E1A7D" w:rsidRPr="005E1A7D" w:rsidRDefault="00B01738" w:rsidP="00B01738">
      <w:pPr>
        <w:pStyle w:val="Paragraphedeliste"/>
        <w:numPr>
          <w:ilvl w:val="0"/>
          <w:numId w:val="36"/>
        </w:numPr>
        <w:tabs>
          <w:tab w:val="left" w:pos="1276"/>
          <w:tab w:val="center" w:pos="4762"/>
        </w:tabs>
        <w:jc w:val="both"/>
        <w:rPr>
          <w:rFonts w:ascii="Arial" w:hAnsi="Arial" w:cs="Arial"/>
          <w:b/>
          <w:bCs/>
          <w:i/>
          <w:color w:val="000000" w:themeColor="text1"/>
          <w:sz w:val="18"/>
          <w:szCs w:val="18"/>
        </w:rPr>
      </w:pPr>
      <w:r w:rsidRPr="005E1A7D">
        <w:rPr>
          <w:rFonts w:ascii="Arial" w:hAnsi="Arial" w:cs="Arial"/>
          <w:b/>
          <w:i/>
          <w:sz w:val="18"/>
          <w:szCs w:val="18"/>
        </w:rPr>
        <w:t>OS 1, priorité 3, OS</w:t>
      </w:r>
      <w:r w:rsidR="005E1A7D" w:rsidRPr="005E1A7D">
        <w:rPr>
          <w:rFonts w:ascii="Arial" w:hAnsi="Arial" w:cs="Arial"/>
          <w:b/>
          <w:i/>
          <w:sz w:val="18"/>
          <w:szCs w:val="18"/>
        </w:rPr>
        <w:t xml:space="preserve">pé 1.3, fiches-actions 1 et 4 </w:t>
      </w:r>
    </w:p>
    <w:p w14:paraId="5E011A02" w14:textId="77777777" w:rsidR="005E1A7D" w:rsidRPr="005E1A7D" w:rsidRDefault="00B01738" w:rsidP="00B01738">
      <w:pPr>
        <w:pStyle w:val="Paragraphedeliste"/>
        <w:numPr>
          <w:ilvl w:val="0"/>
          <w:numId w:val="36"/>
        </w:numPr>
        <w:tabs>
          <w:tab w:val="left" w:pos="1276"/>
          <w:tab w:val="center" w:pos="4762"/>
        </w:tabs>
        <w:jc w:val="both"/>
        <w:rPr>
          <w:rFonts w:ascii="Arial" w:hAnsi="Arial" w:cs="Arial"/>
          <w:b/>
          <w:bCs/>
          <w:i/>
          <w:color w:val="000000" w:themeColor="text1"/>
          <w:sz w:val="18"/>
          <w:szCs w:val="18"/>
        </w:rPr>
      </w:pPr>
      <w:r w:rsidRPr="005E1A7D">
        <w:rPr>
          <w:rFonts w:ascii="Arial" w:hAnsi="Arial" w:cs="Arial"/>
          <w:b/>
          <w:i/>
          <w:sz w:val="18"/>
          <w:szCs w:val="18"/>
        </w:rPr>
        <w:t xml:space="preserve">OS 2, ensemble des fiches </w:t>
      </w:r>
      <w:r w:rsidR="005E1A7D" w:rsidRPr="005E1A7D">
        <w:rPr>
          <w:rFonts w:ascii="Arial" w:hAnsi="Arial" w:cs="Arial"/>
          <w:b/>
          <w:i/>
          <w:sz w:val="18"/>
          <w:szCs w:val="18"/>
        </w:rPr>
        <w:t xml:space="preserve">actions </w:t>
      </w:r>
    </w:p>
    <w:p w14:paraId="359EFDDC" w14:textId="1EA34A98" w:rsidR="005E1A7D" w:rsidRPr="005E1A7D" w:rsidRDefault="00B01738" w:rsidP="00B01738">
      <w:pPr>
        <w:pStyle w:val="Paragraphedeliste"/>
        <w:numPr>
          <w:ilvl w:val="0"/>
          <w:numId w:val="36"/>
        </w:numPr>
        <w:tabs>
          <w:tab w:val="left" w:pos="1276"/>
          <w:tab w:val="center" w:pos="4762"/>
        </w:tabs>
        <w:jc w:val="both"/>
        <w:rPr>
          <w:rFonts w:ascii="Arial" w:hAnsi="Arial" w:cs="Arial"/>
          <w:b/>
          <w:bCs/>
          <w:i/>
          <w:color w:val="000000" w:themeColor="text1"/>
          <w:sz w:val="18"/>
          <w:szCs w:val="18"/>
        </w:rPr>
      </w:pPr>
      <w:r w:rsidRPr="005E1A7D">
        <w:rPr>
          <w:rFonts w:ascii="Arial" w:hAnsi="Arial" w:cs="Arial"/>
          <w:b/>
          <w:i/>
          <w:sz w:val="18"/>
          <w:szCs w:val="18"/>
        </w:rPr>
        <w:t>OS 4</w:t>
      </w:r>
      <w:r w:rsidR="005E1A7D" w:rsidRPr="005E1A7D">
        <w:rPr>
          <w:rFonts w:ascii="Arial" w:hAnsi="Arial" w:cs="Arial"/>
          <w:b/>
          <w:i/>
          <w:sz w:val="18"/>
          <w:szCs w:val="18"/>
        </w:rPr>
        <w:t xml:space="preserve">, ensemble des fiches actions </w:t>
      </w:r>
    </w:p>
    <w:p w14:paraId="79717D23" w14:textId="1ADB079A" w:rsidR="005E1A7D" w:rsidRPr="005E1A7D" w:rsidRDefault="005E1A7D" w:rsidP="00B01738">
      <w:pPr>
        <w:pStyle w:val="Paragraphedeliste"/>
        <w:numPr>
          <w:ilvl w:val="0"/>
          <w:numId w:val="36"/>
        </w:numPr>
        <w:tabs>
          <w:tab w:val="left" w:pos="1276"/>
          <w:tab w:val="center" w:pos="4762"/>
        </w:tabs>
        <w:jc w:val="both"/>
        <w:rPr>
          <w:rFonts w:ascii="Arial" w:hAnsi="Arial" w:cs="Arial"/>
          <w:b/>
          <w:bCs/>
          <w:i/>
          <w:color w:val="000000" w:themeColor="text1"/>
          <w:sz w:val="18"/>
          <w:szCs w:val="18"/>
        </w:rPr>
      </w:pPr>
      <w:r w:rsidRPr="005E1A7D">
        <w:rPr>
          <w:rFonts w:ascii="Arial" w:hAnsi="Arial" w:cs="Arial"/>
          <w:b/>
          <w:i/>
          <w:sz w:val="18"/>
          <w:szCs w:val="18"/>
        </w:rPr>
        <w:t>OS 5 : ensemble des fiches actions</w:t>
      </w:r>
    </w:p>
    <w:p w14:paraId="1F3B575C" w14:textId="123C7D48" w:rsidR="00B01738" w:rsidRPr="005E1A7D" w:rsidRDefault="00B01738" w:rsidP="00B01738">
      <w:pPr>
        <w:pStyle w:val="Paragraphedeliste"/>
        <w:numPr>
          <w:ilvl w:val="0"/>
          <w:numId w:val="36"/>
        </w:numPr>
        <w:tabs>
          <w:tab w:val="left" w:pos="1276"/>
          <w:tab w:val="center" w:pos="4762"/>
        </w:tabs>
        <w:jc w:val="both"/>
        <w:rPr>
          <w:rFonts w:ascii="Arial" w:hAnsi="Arial" w:cs="Arial"/>
          <w:b/>
          <w:bCs/>
          <w:i/>
          <w:color w:val="000000" w:themeColor="text1"/>
          <w:sz w:val="18"/>
          <w:szCs w:val="18"/>
        </w:rPr>
      </w:pPr>
      <w:r w:rsidRPr="005E1A7D">
        <w:rPr>
          <w:rFonts w:ascii="Arial" w:hAnsi="Arial" w:cs="Arial"/>
          <w:b/>
          <w:i/>
          <w:sz w:val="18"/>
          <w:szCs w:val="18"/>
        </w:rPr>
        <w:t>OS FTJ, Priorité 12, OSpé 8.1, Fiche-action Mesures pour une transition juste </w:t>
      </w:r>
    </w:p>
    <w:p w14:paraId="0551642E" w14:textId="77777777" w:rsidR="00B01738" w:rsidRPr="003C72EC" w:rsidRDefault="00B01738" w:rsidP="00B01738">
      <w:pPr>
        <w:tabs>
          <w:tab w:val="left" w:pos="1276"/>
          <w:tab w:val="center" w:pos="4762"/>
        </w:tabs>
        <w:jc w:val="both"/>
        <w:rPr>
          <w:rFonts w:ascii="Arial" w:hAnsi="Arial" w:cs="Arial"/>
          <w:b/>
          <w:bCs/>
          <w:i/>
          <w:color w:val="000000" w:themeColor="text1"/>
          <w:sz w:val="18"/>
          <w:szCs w:val="1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0"/>
        <w:gridCol w:w="8080"/>
      </w:tblGrid>
      <w:tr w:rsidR="00B01738" w:rsidRPr="003C72EC" w14:paraId="1350F9F2" w14:textId="77777777" w:rsidTr="00972BD6">
        <w:tc>
          <w:tcPr>
            <w:tcW w:w="7650" w:type="dxa"/>
          </w:tcPr>
          <w:p w14:paraId="0D057D20" w14:textId="77777777" w:rsidR="00B01738" w:rsidRPr="003C72EC" w:rsidRDefault="00B01738" w:rsidP="00972BD6">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8080" w:type="dxa"/>
          </w:tcPr>
          <w:p w14:paraId="269DEB1A" w14:textId="77777777" w:rsidR="00B01738" w:rsidRPr="003C72EC" w:rsidRDefault="00B01738" w:rsidP="00972BD6">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B01738" w:rsidRPr="003C72EC" w14:paraId="59BA363B" w14:textId="77777777" w:rsidTr="00972BD6">
        <w:tc>
          <w:tcPr>
            <w:tcW w:w="7650" w:type="dxa"/>
          </w:tcPr>
          <w:p w14:paraId="5F3ECF3F" w14:textId="77777777" w:rsidR="00B01738" w:rsidRPr="003C72EC" w:rsidRDefault="00B01738" w:rsidP="00972BD6">
            <w:pPr>
              <w:tabs>
                <w:tab w:val="left" w:pos="1276"/>
                <w:tab w:val="center" w:pos="4762"/>
              </w:tabs>
              <w:jc w:val="center"/>
              <w:rPr>
                <w:rFonts w:ascii="Arial" w:hAnsi="Arial" w:cs="Arial"/>
                <w:b/>
                <w:bCs/>
                <w:i/>
                <w:color w:val="000000" w:themeColor="text1"/>
                <w:sz w:val="18"/>
                <w:szCs w:val="18"/>
              </w:rPr>
            </w:pPr>
          </w:p>
        </w:tc>
        <w:tc>
          <w:tcPr>
            <w:tcW w:w="8080" w:type="dxa"/>
          </w:tcPr>
          <w:p w14:paraId="0379AA0D" w14:textId="77777777" w:rsidR="00B01738" w:rsidRDefault="005E1A7D" w:rsidP="005E1A7D">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Critères d’éligibilité</w:t>
            </w:r>
          </w:p>
          <w:p w14:paraId="2C241E63" w14:textId="77777777" w:rsidR="005E1A7D" w:rsidRPr="005E1A7D" w:rsidRDefault="005E1A7D" w:rsidP="005E1A7D">
            <w:pPr>
              <w:spacing w:after="0" w:line="240" w:lineRule="auto"/>
              <w:jc w:val="both"/>
              <w:rPr>
                <w:rFonts w:ascii="Arial" w:hAnsi="Arial" w:cs="Arial"/>
                <w:sz w:val="20"/>
                <w:szCs w:val="20"/>
              </w:rPr>
            </w:pPr>
            <w:r w:rsidRPr="005E1A7D">
              <w:rPr>
                <w:rFonts w:ascii="Arial" w:hAnsi="Arial" w:cs="Arial"/>
                <w:sz w:val="20"/>
                <w:szCs w:val="20"/>
              </w:rPr>
              <w:t>Les actions éligibles sont en conformité au DNSH par incidence négligeable, ou par l'évaluation DNSH de fond (Méthodologie nationale).</w:t>
            </w:r>
          </w:p>
          <w:p w14:paraId="512362F3" w14:textId="77777777" w:rsidR="005E1A7D" w:rsidRDefault="005E1A7D" w:rsidP="005E1A7D">
            <w:pPr>
              <w:spacing w:after="0"/>
              <w:rPr>
                <w:rFonts w:ascii="Arial" w:hAnsi="Arial" w:cs="Arial"/>
                <w:sz w:val="20"/>
                <w:szCs w:val="20"/>
              </w:rPr>
            </w:pPr>
            <w:r w:rsidRPr="005E1A7D">
              <w:rPr>
                <w:rFonts w:ascii="Arial" w:hAnsi="Arial" w:cs="Arial"/>
                <w:sz w:val="20"/>
                <w:szCs w:val="20"/>
              </w:rPr>
              <w:t>Lors du dépôt du dossier de subvention et du travail d'instruction, au cas par cas, si le service instructeur estime que les conditions exonératoires de respect du principe DNSH ne sont pas remplies pour un projet, le porteur devra fournir une réponse justifiée aux questions posées, directement en lien avec les objectifs environnementaux de l'Union européenne.</w:t>
            </w:r>
          </w:p>
          <w:p w14:paraId="07A1800D" w14:textId="3F2A3440" w:rsidR="005E1A7D" w:rsidRPr="005E1A7D" w:rsidRDefault="005E1A7D" w:rsidP="005E1A7D">
            <w:pPr>
              <w:spacing w:after="0"/>
              <w:rPr>
                <w:rFonts w:ascii="Arial" w:hAnsi="Arial" w:cs="Arial"/>
                <w:sz w:val="20"/>
                <w:szCs w:val="20"/>
              </w:rPr>
            </w:pPr>
            <w:r w:rsidRPr="00FB6959">
              <w:rPr>
                <w:rFonts w:ascii="Arial" w:hAnsi="Arial" w:cs="Arial"/>
                <w:sz w:val="20"/>
                <w:szCs w:val="20"/>
              </w:rPr>
              <w:t>Les projets causant un préjudice important du point de vue de l'environnement seront exclus au sens de l'article 17 du règlement 2020/852.</w:t>
            </w:r>
          </w:p>
        </w:tc>
      </w:tr>
    </w:tbl>
    <w:p w14:paraId="7BDBD7A1" w14:textId="77777777" w:rsidR="00B01738" w:rsidRPr="003C72EC" w:rsidRDefault="00B01738" w:rsidP="003C72EC">
      <w:pPr>
        <w:tabs>
          <w:tab w:val="left" w:pos="1276"/>
          <w:tab w:val="center" w:pos="4762"/>
        </w:tabs>
        <w:jc w:val="center"/>
        <w:rPr>
          <w:rFonts w:ascii="Arial" w:hAnsi="Arial" w:cs="Arial"/>
          <w:b/>
          <w:bCs/>
          <w:i/>
          <w:color w:val="000000" w:themeColor="text1"/>
          <w:sz w:val="18"/>
          <w:szCs w:val="18"/>
        </w:rPr>
      </w:pPr>
    </w:p>
    <w:p w14:paraId="7E51F27D" w14:textId="37F99C7B" w:rsidR="003C72EC" w:rsidRDefault="003C72EC" w:rsidP="003C72EC">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7DF4EC34" w14:textId="4AC86FDC" w:rsidR="00665888" w:rsidRPr="00665888" w:rsidRDefault="00665888" w:rsidP="003C72EC">
      <w:pPr>
        <w:tabs>
          <w:tab w:val="left" w:pos="1276"/>
          <w:tab w:val="center" w:pos="4762"/>
        </w:tabs>
        <w:jc w:val="both"/>
        <w:rPr>
          <w:rFonts w:ascii="Arial" w:hAnsi="Arial" w:cs="Arial"/>
          <w:bCs/>
          <w:color w:val="000000" w:themeColor="text1"/>
          <w:sz w:val="18"/>
          <w:szCs w:val="18"/>
        </w:rPr>
      </w:pPr>
      <w:r w:rsidRPr="00665888">
        <w:rPr>
          <w:rFonts w:ascii="Arial" w:hAnsi="Arial" w:cs="Arial"/>
          <w:bCs/>
          <w:color w:val="000000" w:themeColor="text1"/>
          <w:sz w:val="18"/>
          <w:szCs w:val="18"/>
        </w:rPr>
        <w:t>Cette modification permet d</w:t>
      </w:r>
      <w:r w:rsidR="005E1A7D">
        <w:rPr>
          <w:rFonts w:ascii="Arial" w:hAnsi="Arial" w:cs="Arial"/>
          <w:bCs/>
          <w:color w:val="000000" w:themeColor="text1"/>
          <w:sz w:val="18"/>
          <w:szCs w:val="18"/>
        </w:rPr>
        <w:t>’informer les porteurs de projets sur</w:t>
      </w:r>
      <w:r>
        <w:rPr>
          <w:rFonts w:ascii="Arial" w:hAnsi="Arial" w:cs="Arial"/>
          <w:bCs/>
          <w:color w:val="000000" w:themeColor="text1"/>
          <w:sz w:val="18"/>
          <w:szCs w:val="18"/>
        </w:rPr>
        <w:t xml:space="preserve"> </w:t>
      </w:r>
      <w:r w:rsidR="005E1A7D">
        <w:rPr>
          <w:rFonts w:ascii="Arial" w:hAnsi="Arial" w:cs="Arial"/>
          <w:bCs/>
          <w:color w:val="000000" w:themeColor="text1"/>
          <w:sz w:val="18"/>
          <w:szCs w:val="18"/>
        </w:rPr>
        <w:t xml:space="preserve">le principe « Do Not Significant Harm ». </w:t>
      </w:r>
    </w:p>
    <w:p w14:paraId="3D4B2D64"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p>
    <w:p w14:paraId="7B5E82A2" w14:textId="77777777" w:rsidR="003C72EC" w:rsidRPr="003C72EC" w:rsidRDefault="003C72EC" w:rsidP="003C72EC">
      <w:pPr>
        <w:tabs>
          <w:tab w:val="left" w:pos="1276"/>
          <w:tab w:val="center" w:pos="4762"/>
        </w:tabs>
        <w:jc w:val="center"/>
        <w:rPr>
          <w:rFonts w:ascii="Arial" w:hAnsi="Arial" w:cs="Arial"/>
          <w:b/>
          <w:bCs/>
          <w:color w:val="000000" w:themeColor="text1"/>
          <w:sz w:val="18"/>
          <w:szCs w:val="18"/>
        </w:rPr>
      </w:pPr>
      <w:bookmarkStart w:id="0" w:name="_GoBack"/>
      <w:bookmarkEnd w:id="0"/>
    </w:p>
    <w:sectPr w:rsidR="003C72EC" w:rsidRPr="003C72EC" w:rsidSect="00B86328">
      <w:headerReference w:type="default" r:id="rId7"/>
      <w:footerReference w:type="default" r:id="rId8"/>
      <w:pgSz w:w="16838" w:h="11906" w:orient="landscape" w:code="9"/>
      <w:pgMar w:top="851" w:right="851" w:bottom="851" w:left="737"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A0E9" w14:textId="77777777" w:rsidR="00F80ECC" w:rsidRDefault="00F80ECC" w:rsidP="00F80ECC">
      <w:pPr>
        <w:spacing w:after="0" w:line="240" w:lineRule="auto"/>
      </w:pPr>
      <w:r>
        <w:separator/>
      </w:r>
    </w:p>
  </w:endnote>
  <w:endnote w:type="continuationSeparator" w:id="0">
    <w:p w14:paraId="5748D42E" w14:textId="77777777" w:rsidR="00F80ECC" w:rsidRDefault="00F80ECC" w:rsidP="00F8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Regular">
    <w:charset w:val="00"/>
    <w:family w:val="auto"/>
    <w:pitch w:val="variable"/>
    <w:sig w:usb0="00000001" w:usb1="4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gras">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EUAlbertina">
    <w:altName w:val="EU Albertina"/>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36A9" w14:textId="77777777" w:rsidR="004D012B" w:rsidRDefault="004D012B">
    <w:pPr>
      <w:pStyle w:val="Pieddepage"/>
    </w:pPr>
  </w:p>
  <w:p w14:paraId="6A53C3A2" w14:textId="77777777" w:rsidR="004D012B" w:rsidRDefault="004D012B" w:rsidP="004D01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E736D" w14:textId="77777777" w:rsidR="00F80ECC" w:rsidRDefault="00F80ECC" w:rsidP="00F80ECC">
      <w:pPr>
        <w:spacing w:after="0" w:line="240" w:lineRule="auto"/>
      </w:pPr>
      <w:r>
        <w:separator/>
      </w:r>
    </w:p>
  </w:footnote>
  <w:footnote w:type="continuationSeparator" w:id="0">
    <w:p w14:paraId="4152167A" w14:textId="77777777" w:rsidR="00F80ECC" w:rsidRDefault="00F80ECC" w:rsidP="00F80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72A5" w14:textId="150183B7" w:rsidR="00131D4A" w:rsidRDefault="00131D4A" w:rsidP="00F80EC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F09"/>
    <w:multiLevelType w:val="hybridMultilevel"/>
    <w:tmpl w:val="C9320BA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C7214"/>
    <w:multiLevelType w:val="hybridMultilevel"/>
    <w:tmpl w:val="70CA8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92A20"/>
    <w:multiLevelType w:val="hybridMultilevel"/>
    <w:tmpl w:val="D2F47094"/>
    <w:lvl w:ilvl="0" w:tplc="F850C7D0">
      <w:numFmt w:val="bullet"/>
      <w:lvlText w:val="-"/>
      <w:lvlJc w:val="left"/>
      <w:pPr>
        <w:tabs>
          <w:tab w:val="num" w:pos="2487"/>
        </w:tabs>
        <w:ind w:left="2487" w:hanging="360"/>
      </w:pPr>
      <w:rPr>
        <w:rFonts w:ascii="DIN-Regular" w:eastAsia="Times New Roman" w:hAnsi="DIN-Regular" w:cs="Calibri" w:hint="default"/>
      </w:rPr>
    </w:lvl>
    <w:lvl w:ilvl="1" w:tplc="040C0001">
      <w:start w:val="1"/>
      <w:numFmt w:val="bullet"/>
      <w:lvlText w:val=""/>
      <w:lvlJc w:val="left"/>
      <w:pPr>
        <w:tabs>
          <w:tab w:val="num" w:pos="1140"/>
        </w:tabs>
        <w:ind w:left="1140" w:hanging="360"/>
      </w:pPr>
      <w:rPr>
        <w:rFonts w:ascii="Symbol" w:hAnsi="Symbol" w:hint="default"/>
      </w:rPr>
    </w:lvl>
    <w:lvl w:ilvl="2" w:tplc="040C0005">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89F5DCE"/>
    <w:multiLevelType w:val="hybridMultilevel"/>
    <w:tmpl w:val="06901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7B054E"/>
    <w:multiLevelType w:val="hybridMultilevel"/>
    <w:tmpl w:val="45287C7E"/>
    <w:lvl w:ilvl="0" w:tplc="57BEA0F4">
      <w:start w:val="1"/>
      <w:numFmt w:val="bullet"/>
      <w:lvlText w:val="-"/>
      <w:lvlJc w:val="left"/>
      <w:pPr>
        <w:ind w:left="720" w:hanging="360"/>
      </w:pPr>
      <w:rPr>
        <w:rFonts w:ascii="Calibri" w:eastAsiaTheme="minorHAnsi" w:hAnsi="Calibri" w:cs="Calibri" w:hint="default"/>
      </w:rPr>
    </w:lvl>
    <w:lvl w:ilvl="1" w:tplc="5BDC6E38">
      <w:start w:val="1"/>
      <w:numFmt w:val="bullet"/>
      <w:lvlText w:val="o"/>
      <w:lvlJc w:val="left"/>
      <w:pPr>
        <w:ind w:left="1440" w:hanging="360"/>
      </w:pPr>
      <w:rPr>
        <w:rFonts w:ascii="Courier New" w:hAnsi="Courier New" w:cs="Courier New" w:hint="default"/>
      </w:rPr>
    </w:lvl>
    <w:lvl w:ilvl="2" w:tplc="BF441D94">
      <w:start w:val="1"/>
      <w:numFmt w:val="bullet"/>
      <w:lvlText w:val=""/>
      <w:lvlJc w:val="left"/>
      <w:pPr>
        <w:ind w:left="2160" w:hanging="360"/>
      </w:pPr>
      <w:rPr>
        <w:rFonts w:ascii="Wingdings" w:hAnsi="Wingdings" w:hint="default"/>
      </w:rPr>
    </w:lvl>
    <w:lvl w:ilvl="3" w:tplc="405C79F8">
      <w:start w:val="1"/>
      <w:numFmt w:val="bullet"/>
      <w:lvlText w:val=""/>
      <w:lvlJc w:val="left"/>
      <w:pPr>
        <w:ind w:left="2880" w:hanging="360"/>
      </w:pPr>
      <w:rPr>
        <w:rFonts w:ascii="Symbol" w:hAnsi="Symbol" w:hint="default"/>
      </w:rPr>
    </w:lvl>
    <w:lvl w:ilvl="4" w:tplc="8228BF98">
      <w:start w:val="1"/>
      <w:numFmt w:val="bullet"/>
      <w:lvlText w:val="o"/>
      <w:lvlJc w:val="left"/>
      <w:pPr>
        <w:ind w:left="3600" w:hanging="360"/>
      </w:pPr>
      <w:rPr>
        <w:rFonts w:ascii="Courier New" w:hAnsi="Courier New" w:cs="Courier New" w:hint="default"/>
      </w:rPr>
    </w:lvl>
    <w:lvl w:ilvl="5" w:tplc="CEAC2086">
      <w:start w:val="1"/>
      <w:numFmt w:val="bullet"/>
      <w:lvlText w:val=""/>
      <w:lvlJc w:val="left"/>
      <w:pPr>
        <w:ind w:left="4320" w:hanging="360"/>
      </w:pPr>
      <w:rPr>
        <w:rFonts w:ascii="Wingdings" w:hAnsi="Wingdings" w:hint="default"/>
      </w:rPr>
    </w:lvl>
    <w:lvl w:ilvl="6" w:tplc="1E9E1978">
      <w:start w:val="1"/>
      <w:numFmt w:val="bullet"/>
      <w:lvlText w:val=""/>
      <w:lvlJc w:val="left"/>
      <w:pPr>
        <w:ind w:left="5040" w:hanging="360"/>
      </w:pPr>
      <w:rPr>
        <w:rFonts w:ascii="Symbol" w:hAnsi="Symbol" w:hint="default"/>
      </w:rPr>
    </w:lvl>
    <w:lvl w:ilvl="7" w:tplc="99EC8EAC">
      <w:start w:val="1"/>
      <w:numFmt w:val="bullet"/>
      <w:lvlText w:val="o"/>
      <w:lvlJc w:val="left"/>
      <w:pPr>
        <w:ind w:left="5760" w:hanging="360"/>
      </w:pPr>
      <w:rPr>
        <w:rFonts w:ascii="Courier New" w:hAnsi="Courier New" w:cs="Courier New" w:hint="default"/>
      </w:rPr>
    </w:lvl>
    <w:lvl w:ilvl="8" w:tplc="F5D6C7E4">
      <w:start w:val="1"/>
      <w:numFmt w:val="bullet"/>
      <w:lvlText w:val=""/>
      <w:lvlJc w:val="left"/>
      <w:pPr>
        <w:ind w:left="6480" w:hanging="360"/>
      </w:pPr>
      <w:rPr>
        <w:rFonts w:ascii="Wingdings" w:hAnsi="Wingdings" w:hint="default"/>
      </w:rPr>
    </w:lvl>
  </w:abstractNum>
  <w:abstractNum w:abstractNumId="5" w15:restartNumberingAfterBreak="0">
    <w:nsid w:val="0DB21F8B"/>
    <w:multiLevelType w:val="hybridMultilevel"/>
    <w:tmpl w:val="97E6E2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1F46B4"/>
    <w:multiLevelType w:val="hybridMultilevel"/>
    <w:tmpl w:val="4D7E4B76"/>
    <w:lvl w:ilvl="0" w:tplc="5568DDBC">
      <w:start w:val="1"/>
      <w:numFmt w:val="decimal"/>
      <w:lvlText w:val="%1)"/>
      <w:lvlJc w:val="left"/>
      <w:pPr>
        <w:ind w:left="720" w:hanging="360"/>
      </w:pPr>
      <w:rPr>
        <w:rFonts w:hint="default"/>
      </w:rPr>
    </w:lvl>
    <w:lvl w:ilvl="1" w:tplc="F1A03104">
      <w:start w:val="1"/>
      <w:numFmt w:val="lowerLetter"/>
      <w:lvlText w:val="%2."/>
      <w:lvlJc w:val="left"/>
      <w:pPr>
        <w:ind w:left="1440" w:hanging="360"/>
      </w:pPr>
    </w:lvl>
    <w:lvl w:ilvl="2" w:tplc="B28885F2">
      <w:start w:val="1"/>
      <w:numFmt w:val="lowerRoman"/>
      <w:lvlText w:val="%3."/>
      <w:lvlJc w:val="right"/>
      <w:pPr>
        <w:ind w:left="2160" w:hanging="180"/>
      </w:pPr>
    </w:lvl>
    <w:lvl w:ilvl="3" w:tplc="1F48863E">
      <w:start w:val="1"/>
      <w:numFmt w:val="decimal"/>
      <w:lvlText w:val="%4."/>
      <w:lvlJc w:val="left"/>
      <w:pPr>
        <w:ind w:left="2880" w:hanging="360"/>
      </w:pPr>
    </w:lvl>
    <w:lvl w:ilvl="4" w:tplc="A344E526">
      <w:start w:val="1"/>
      <w:numFmt w:val="lowerLetter"/>
      <w:lvlText w:val="%5."/>
      <w:lvlJc w:val="left"/>
      <w:pPr>
        <w:ind w:left="3600" w:hanging="360"/>
      </w:pPr>
    </w:lvl>
    <w:lvl w:ilvl="5" w:tplc="9750761C">
      <w:start w:val="1"/>
      <w:numFmt w:val="lowerRoman"/>
      <w:lvlText w:val="%6."/>
      <w:lvlJc w:val="right"/>
      <w:pPr>
        <w:ind w:left="4320" w:hanging="180"/>
      </w:pPr>
    </w:lvl>
    <w:lvl w:ilvl="6" w:tplc="A01266A0">
      <w:start w:val="1"/>
      <w:numFmt w:val="decimal"/>
      <w:lvlText w:val="%7."/>
      <w:lvlJc w:val="left"/>
      <w:pPr>
        <w:ind w:left="5040" w:hanging="360"/>
      </w:pPr>
    </w:lvl>
    <w:lvl w:ilvl="7" w:tplc="67268A08">
      <w:start w:val="1"/>
      <w:numFmt w:val="lowerLetter"/>
      <w:lvlText w:val="%8."/>
      <w:lvlJc w:val="left"/>
      <w:pPr>
        <w:ind w:left="5760" w:hanging="360"/>
      </w:pPr>
    </w:lvl>
    <w:lvl w:ilvl="8" w:tplc="D682F8C0">
      <w:start w:val="1"/>
      <w:numFmt w:val="lowerRoman"/>
      <w:lvlText w:val="%9."/>
      <w:lvlJc w:val="right"/>
      <w:pPr>
        <w:ind w:left="6480" w:hanging="180"/>
      </w:pPr>
    </w:lvl>
  </w:abstractNum>
  <w:abstractNum w:abstractNumId="7" w15:restartNumberingAfterBreak="0">
    <w:nsid w:val="100E221F"/>
    <w:multiLevelType w:val="hybridMultilevel"/>
    <w:tmpl w:val="C5DE5316"/>
    <w:lvl w:ilvl="0" w:tplc="040C0001">
      <w:start w:val="1"/>
      <w:numFmt w:val="bullet"/>
      <w:lvlText w:val=""/>
      <w:lvlJc w:val="left"/>
      <w:pPr>
        <w:ind w:left="720" w:hanging="360"/>
      </w:pPr>
      <w:rPr>
        <w:rFonts w:ascii="Symbol" w:hAnsi="Symbol" w:hint="default"/>
      </w:rPr>
    </w:lvl>
    <w:lvl w:ilvl="1" w:tplc="02FCC8EE">
      <w:numFmt w:val="bullet"/>
      <w:lvlText w:val="-"/>
      <w:lvlJc w:val="left"/>
      <w:pPr>
        <w:ind w:left="1440" w:hanging="360"/>
      </w:pPr>
      <w:rPr>
        <w:rFonts w:ascii="Arial gras" w:eastAsiaTheme="minorHAnsi" w:hAnsi="Arial gras" w:cs="Arial" w:hint="default"/>
        <w:b/>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8757B0"/>
    <w:multiLevelType w:val="hybridMultilevel"/>
    <w:tmpl w:val="8FDA2F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036D5B"/>
    <w:multiLevelType w:val="hybridMultilevel"/>
    <w:tmpl w:val="17A21B42"/>
    <w:lvl w:ilvl="0" w:tplc="D2024E00">
      <w:numFmt w:val="bullet"/>
      <w:lvlText w:val="-"/>
      <w:lvlJc w:val="left"/>
      <w:pPr>
        <w:ind w:left="360" w:hanging="360"/>
      </w:pPr>
      <w:rPr>
        <w:rFonts w:ascii="Calibri,Bold" w:eastAsiaTheme="minorHAnsi" w:hAnsi="Calibri,Bold" w:cs="Calibri,Bold"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FE07EEF"/>
    <w:multiLevelType w:val="hybridMultilevel"/>
    <w:tmpl w:val="E6668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F64222"/>
    <w:multiLevelType w:val="hybridMultilevel"/>
    <w:tmpl w:val="5D725FBE"/>
    <w:lvl w:ilvl="0" w:tplc="E7E4AE7C">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1A7B82"/>
    <w:multiLevelType w:val="hybridMultilevel"/>
    <w:tmpl w:val="4D7E4B76"/>
    <w:lvl w:ilvl="0" w:tplc="5568DDBC">
      <w:start w:val="1"/>
      <w:numFmt w:val="decimal"/>
      <w:lvlText w:val="%1)"/>
      <w:lvlJc w:val="left"/>
      <w:pPr>
        <w:ind w:left="720" w:hanging="360"/>
      </w:pPr>
      <w:rPr>
        <w:rFonts w:hint="default"/>
      </w:rPr>
    </w:lvl>
    <w:lvl w:ilvl="1" w:tplc="F1A03104">
      <w:start w:val="1"/>
      <w:numFmt w:val="lowerLetter"/>
      <w:lvlText w:val="%2."/>
      <w:lvlJc w:val="left"/>
      <w:pPr>
        <w:ind w:left="1440" w:hanging="360"/>
      </w:pPr>
    </w:lvl>
    <w:lvl w:ilvl="2" w:tplc="B28885F2">
      <w:start w:val="1"/>
      <w:numFmt w:val="lowerRoman"/>
      <w:lvlText w:val="%3."/>
      <w:lvlJc w:val="right"/>
      <w:pPr>
        <w:ind w:left="2160" w:hanging="180"/>
      </w:pPr>
    </w:lvl>
    <w:lvl w:ilvl="3" w:tplc="1F48863E">
      <w:start w:val="1"/>
      <w:numFmt w:val="decimal"/>
      <w:lvlText w:val="%4."/>
      <w:lvlJc w:val="left"/>
      <w:pPr>
        <w:ind w:left="2880" w:hanging="360"/>
      </w:pPr>
    </w:lvl>
    <w:lvl w:ilvl="4" w:tplc="A344E526">
      <w:start w:val="1"/>
      <w:numFmt w:val="lowerLetter"/>
      <w:lvlText w:val="%5."/>
      <w:lvlJc w:val="left"/>
      <w:pPr>
        <w:ind w:left="3600" w:hanging="360"/>
      </w:pPr>
    </w:lvl>
    <w:lvl w:ilvl="5" w:tplc="9750761C">
      <w:start w:val="1"/>
      <w:numFmt w:val="lowerRoman"/>
      <w:lvlText w:val="%6."/>
      <w:lvlJc w:val="right"/>
      <w:pPr>
        <w:ind w:left="4320" w:hanging="180"/>
      </w:pPr>
    </w:lvl>
    <w:lvl w:ilvl="6" w:tplc="A01266A0">
      <w:start w:val="1"/>
      <w:numFmt w:val="decimal"/>
      <w:lvlText w:val="%7."/>
      <w:lvlJc w:val="left"/>
      <w:pPr>
        <w:ind w:left="5040" w:hanging="360"/>
      </w:pPr>
    </w:lvl>
    <w:lvl w:ilvl="7" w:tplc="67268A08">
      <w:start w:val="1"/>
      <w:numFmt w:val="lowerLetter"/>
      <w:lvlText w:val="%8."/>
      <w:lvlJc w:val="left"/>
      <w:pPr>
        <w:ind w:left="5760" w:hanging="360"/>
      </w:pPr>
    </w:lvl>
    <w:lvl w:ilvl="8" w:tplc="D682F8C0">
      <w:start w:val="1"/>
      <w:numFmt w:val="lowerRoman"/>
      <w:lvlText w:val="%9."/>
      <w:lvlJc w:val="right"/>
      <w:pPr>
        <w:ind w:left="6480" w:hanging="180"/>
      </w:pPr>
    </w:lvl>
  </w:abstractNum>
  <w:abstractNum w:abstractNumId="13" w15:restartNumberingAfterBreak="0">
    <w:nsid w:val="26BF2747"/>
    <w:multiLevelType w:val="hybridMultilevel"/>
    <w:tmpl w:val="24482C90"/>
    <w:lvl w:ilvl="0" w:tplc="F266B9DA">
      <w:start w:val="1"/>
      <w:numFmt w:val="bullet"/>
      <w:lvlText w:val=""/>
      <w:lvlJc w:val="left"/>
      <w:pPr>
        <w:ind w:left="720" w:hanging="360"/>
      </w:pPr>
      <w:rPr>
        <w:rFonts w:ascii="Wingdings" w:hAnsi="Wingdings" w:hint="default"/>
      </w:rPr>
    </w:lvl>
    <w:lvl w:ilvl="1" w:tplc="684C9864">
      <w:start w:val="1"/>
      <w:numFmt w:val="bullet"/>
      <w:lvlText w:val="o"/>
      <w:lvlJc w:val="left"/>
      <w:pPr>
        <w:ind w:left="1440" w:hanging="360"/>
      </w:pPr>
      <w:rPr>
        <w:rFonts w:ascii="Courier New" w:hAnsi="Courier New" w:cs="Courier New" w:hint="default"/>
      </w:rPr>
    </w:lvl>
    <w:lvl w:ilvl="2" w:tplc="E416C9EC">
      <w:start w:val="1"/>
      <w:numFmt w:val="bullet"/>
      <w:lvlText w:val=""/>
      <w:lvlJc w:val="left"/>
      <w:pPr>
        <w:ind w:left="2160" w:hanging="360"/>
      </w:pPr>
      <w:rPr>
        <w:rFonts w:ascii="Wingdings" w:hAnsi="Wingdings" w:hint="default"/>
      </w:rPr>
    </w:lvl>
    <w:lvl w:ilvl="3" w:tplc="D6D4180A">
      <w:start w:val="1"/>
      <w:numFmt w:val="bullet"/>
      <w:lvlText w:val=""/>
      <w:lvlJc w:val="left"/>
      <w:pPr>
        <w:ind w:left="2880" w:hanging="360"/>
      </w:pPr>
      <w:rPr>
        <w:rFonts w:ascii="Symbol" w:hAnsi="Symbol" w:hint="default"/>
      </w:rPr>
    </w:lvl>
    <w:lvl w:ilvl="4" w:tplc="7D70915E">
      <w:start w:val="1"/>
      <w:numFmt w:val="bullet"/>
      <w:lvlText w:val="o"/>
      <w:lvlJc w:val="left"/>
      <w:pPr>
        <w:ind w:left="3600" w:hanging="360"/>
      </w:pPr>
      <w:rPr>
        <w:rFonts w:ascii="Courier New" w:hAnsi="Courier New" w:cs="Courier New" w:hint="default"/>
      </w:rPr>
    </w:lvl>
    <w:lvl w:ilvl="5" w:tplc="66B6D91A">
      <w:start w:val="1"/>
      <w:numFmt w:val="bullet"/>
      <w:lvlText w:val=""/>
      <w:lvlJc w:val="left"/>
      <w:pPr>
        <w:ind w:left="4320" w:hanging="360"/>
      </w:pPr>
      <w:rPr>
        <w:rFonts w:ascii="Wingdings" w:hAnsi="Wingdings" w:hint="default"/>
      </w:rPr>
    </w:lvl>
    <w:lvl w:ilvl="6" w:tplc="70804CF8">
      <w:start w:val="1"/>
      <w:numFmt w:val="bullet"/>
      <w:lvlText w:val=""/>
      <w:lvlJc w:val="left"/>
      <w:pPr>
        <w:ind w:left="5040" w:hanging="360"/>
      </w:pPr>
      <w:rPr>
        <w:rFonts w:ascii="Symbol" w:hAnsi="Symbol" w:hint="default"/>
      </w:rPr>
    </w:lvl>
    <w:lvl w:ilvl="7" w:tplc="2214C566">
      <w:start w:val="1"/>
      <w:numFmt w:val="bullet"/>
      <w:lvlText w:val="o"/>
      <w:lvlJc w:val="left"/>
      <w:pPr>
        <w:ind w:left="5760" w:hanging="360"/>
      </w:pPr>
      <w:rPr>
        <w:rFonts w:ascii="Courier New" w:hAnsi="Courier New" w:cs="Courier New" w:hint="default"/>
      </w:rPr>
    </w:lvl>
    <w:lvl w:ilvl="8" w:tplc="905828CE">
      <w:start w:val="1"/>
      <w:numFmt w:val="bullet"/>
      <w:lvlText w:val=""/>
      <w:lvlJc w:val="left"/>
      <w:pPr>
        <w:ind w:left="6480" w:hanging="360"/>
      </w:pPr>
      <w:rPr>
        <w:rFonts w:ascii="Wingdings" w:hAnsi="Wingdings" w:hint="default"/>
      </w:rPr>
    </w:lvl>
  </w:abstractNum>
  <w:abstractNum w:abstractNumId="14" w15:restartNumberingAfterBreak="0">
    <w:nsid w:val="2A2A3911"/>
    <w:multiLevelType w:val="hybridMultilevel"/>
    <w:tmpl w:val="DB864768"/>
    <w:lvl w:ilvl="0" w:tplc="F850C7D0">
      <w:numFmt w:val="bullet"/>
      <w:lvlText w:val="-"/>
      <w:lvlJc w:val="left"/>
      <w:pPr>
        <w:tabs>
          <w:tab w:val="num" w:pos="987"/>
        </w:tabs>
        <w:ind w:left="987" w:hanging="360"/>
      </w:pPr>
      <w:rPr>
        <w:rFonts w:ascii="DIN-Regular" w:eastAsia="Times New Roman" w:hAnsi="DIN-Regular"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33D81168"/>
    <w:multiLevelType w:val="hybridMultilevel"/>
    <w:tmpl w:val="0742D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1F0523"/>
    <w:multiLevelType w:val="hybridMultilevel"/>
    <w:tmpl w:val="91001D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534D5A"/>
    <w:multiLevelType w:val="hybridMultilevel"/>
    <w:tmpl w:val="6CAA22A2"/>
    <w:lvl w:ilvl="0" w:tplc="E7E4AE7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D74AAC"/>
    <w:multiLevelType w:val="hybridMultilevel"/>
    <w:tmpl w:val="D5906E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021B47"/>
    <w:multiLevelType w:val="hybridMultilevel"/>
    <w:tmpl w:val="4AAE5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6045CC"/>
    <w:multiLevelType w:val="hybridMultilevel"/>
    <w:tmpl w:val="C6400C34"/>
    <w:lvl w:ilvl="0" w:tplc="F850C7D0">
      <w:numFmt w:val="bullet"/>
      <w:lvlText w:val="-"/>
      <w:lvlJc w:val="left"/>
      <w:pPr>
        <w:tabs>
          <w:tab w:val="num" w:pos="2487"/>
        </w:tabs>
        <w:ind w:left="2487" w:hanging="360"/>
      </w:pPr>
      <w:rPr>
        <w:rFonts w:ascii="DIN-Regular" w:eastAsia="Times New Roman" w:hAnsi="DIN-Regular" w:cs="Calibri" w:hint="default"/>
      </w:rPr>
    </w:lvl>
    <w:lvl w:ilvl="1" w:tplc="F850C7D0">
      <w:numFmt w:val="bullet"/>
      <w:lvlText w:val="-"/>
      <w:lvlJc w:val="left"/>
      <w:pPr>
        <w:tabs>
          <w:tab w:val="num" w:pos="1140"/>
        </w:tabs>
        <w:ind w:left="1140" w:hanging="360"/>
      </w:pPr>
      <w:rPr>
        <w:rFonts w:ascii="DIN-Regular" w:eastAsia="Times New Roman" w:hAnsi="DIN-Regular" w:cs="Calibri" w:hint="default"/>
      </w:rPr>
    </w:lvl>
    <w:lvl w:ilvl="2" w:tplc="040C0005">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49A15BF3"/>
    <w:multiLevelType w:val="hybridMultilevel"/>
    <w:tmpl w:val="4D7E4B76"/>
    <w:lvl w:ilvl="0" w:tplc="5568DDBC">
      <w:start w:val="1"/>
      <w:numFmt w:val="decimal"/>
      <w:lvlText w:val="%1)"/>
      <w:lvlJc w:val="left"/>
      <w:pPr>
        <w:ind w:left="720" w:hanging="360"/>
      </w:pPr>
      <w:rPr>
        <w:rFonts w:hint="default"/>
      </w:rPr>
    </w:lvl>
    <w:lvl w:ilvl="1" w:tplc="F1A03104">
      <w:start w:val="1"/>
      <w:numFmt w:val="lowerLetter"/>
      <w:lvlText w:val="%2."/>
      <w:lvlJc w:val="left"/>
      <w:pPr>
        <w:ind w:left="1440" w:hanging="360"/>
      </w:pPr>
    </w:lvl>
    <w:lvl w:ilvl="2" w:tplc="B28885F2">
      <w:start w:val="1"/>
      <w:numFmt w:val="lowerRoman"/>
      <w:lvlText w:val="%3."/>
      <w:lvlJc w:val="right"/>
      <w:pPr>
        <w:ind w:left="2160" w:hanging="180"/>
      </w:pPr>
    </w:lvl>
    <w:lvl w:ilvl="3" w:tplc="1F48863E">
      <w:start w:val="1"/>
      <w:numFmt w:val="decimal"/>
      <w:lvlText w:val="%4."/>
      <w:lvlJc w:val="left"/>
      <w:pPr>
        <w:ind w:left="2880" w:hanging="360"/>
      </w:pPr>
    </w:lvl>
    <w:lvl w:ilvl="4" w:tplc="A344E526">
      <w:start w:val="1"/>
      <w:numFmt w:val="lowerLetter"/>
      <w:lvlText w:val="%5."/>
      <w:lvlJc w:val="left"/>
      <w:pPr>
        <w:ind w:left="3600" w:hanging="360"/>
      </w:pPr>
    </w:lvl>
    <w:lvl w:ilvl="5" w:tplc="9750761C">
      <w:start w:val="1"/>
      <w:numFmt w:val="lowerRoman"/>
      <w:lvlText w:val="%6."/>
      <w:lvlJc w:val="right"/>
      <w:pPr>
        <w:ind w:left="4320" w:hanging="180"/>
      </w:pPr>
    </w:lvl>
    <w:lvl w:ilvl="6" w:tplc="A01266A0">
      <w:start w:val="1"/>
      <w:numFmt w:val="decimal"/>
      <w:lvlText w:val="%7."/>
      <w:lvlJc w:val="left"/>
      <w:pPr>
        <w:ind w:left="5040" w:hanging="360"/>
      </w:pPr>
    </w:lvl>
    <w:lvl w:ilvl="7" w:tplc="67268A08">
      <w:start w:val="1"/>
      <w:numFmt w:val="lowerLetter"/>
      <w:lvlText w:val="%8."/>
      <w:lvlJc w:val="left"/>
      <w:pPr>
        <w:ind w:left="5760" w:hanging="360"/>
      </w:pPr>
    </w:lvl>
    <w:lvl w:ilvl="8" w:tplc="D682F8C0">
      <w:start w:val="1"/>
      <w:numFmt w:val="lowerRoman"/>
      <w:lvlText w:val="%9."/>
      <w:lvlJc w:val="right"/>
      <w:pPr>
        <w:ind w:left="6480" w:hanging="180"/>
      </w:pPr>
    </w:lvl>
  </w:abstractNum>
  <w:abstractNum w:abstractNumId="22" w15:restartNumberingAfterBreak="0">
    <w:nsid w:val="4A6E1DA5"/>
    <w:multiLevelType w:val="hybridMultilevel"/>
    <w:tmpl w:val="DEB20892"/>
    <w:lvl w:ilvl="0" w:tplc="855ED098">
      <w:numFmt w:val="bullet"/>
      <w:lvlText w:val="-"/>
      <w:lvlJc w:val="left"/>
      <w:pPr>
        <w:ind w:left="408" w:hanging="360"/>
      </w:pPr>
      <w:rPr>
        <w:rFonts w:ascii="EUAlbertina" w:eastAsiaTheme="minorHAnsi" w:hAnsi="EUAlbertina" w:cs="EUAlbertina"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3" w15:restartNumberingAfterBreak="0">
    <w:nsid w:val="552814F6"/>
    <w:multiLevelType w:val="hybridMultilevel"/>
    <w:tmpl w:val="B2E45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275C57"/>
    <w:multiLevelType w:val="hybridMultilevel"/>
    <w:tmpl w:val="9E2C66A6"/>
    <w:lvl w:ilvl="0" w:tplc="ACEC5F0A">
      <w:start w:val="1"/>
      <w:numFmt w:val="bullet"/>
      <w:lvlText w:val="-"/>
      <w:lvlJc w:val="left"/>
      <w:pPr>
        <w:ind w:left="720" w:hanging="360"/>
      </w:pPr>
      <w:rPr>
        <w:rFonts w:ascii="Arial" w:eastAsiaTheme="minorHAnsi"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6923EE3"/>
    <w:multiLevelType w:val="hybridMultilevel"/>
    <w:tmpl w:val="4D7E4B76"/>
    <w:lvl w:ilvl="0" w:tplc="5568DDBC">
      <w:start w:val="1"/>
      <w:numFmt w:val="decimal"/>
      <w:lvlText w:val="%1)"/>
      <w:lvlJc w:val="left"/>
      <w:pPr>
        <w:ind w:left="720" w:hanging="360"/>
      </w:pPr>
      <w:rPr>
        <w:rFonts w:hint="default"/>
      </w:rPr>
    </w:lvl>
    <w:lvl w:ilvl="1" w:tplc="F1A03104">
      <w:start w:val="1"/>
      <w:numFmt w:val="lowerLetter"/>
      <w:lvlText w:val="%2."/>
      <w:lvlJc w:val="left"/>
      <w:pPr>
        <w:ind w:left="1440" w:hanging="360"/>
      </w:pPr>
    </w:lvl>
    <w:lvl w:ilvl="2" w:tplc="B28885F2">
      <w:start w:val="1"/>
      <w:numFmt w:val="lowerRoman"/>
      <w:lvlText w:val="%3."/>
      <w:lvlJc w:val="right"/>
      <w:pPr>
        <w:ind w:left="2160" w:hanging="180"/>
      </w:pPr>
    </w:lvl>
    <w:lvl w:ilvl="3" w:tplc="1F48863E">
      <w:start w:val="1"/>
      <w:numFmt w:val="decimal"/>
      <w:lvlText w:val="%4."/>
      <w:lvlJc w:val="left"/>
      <w:pPr>
        <w:ind w:left="2880" w:hanging="360"/>
      </w:pPr>
    </w:lvl>
    <w:lvl w:ilvl="4" w:tplc="A344E526">
      <w:start w:val="1"/>
      <w:numFmt w:val="lowerLetter"/>
      <w:lvlText w:val="%5."/>
      <w:lvlJc w:val="left"/>
      <w:pPr>
        <w:ind w:left="3600" w:hanging="360"/>
      </w:pPr>
    </w:lvl>
    <w:lvl w:ilvl="5" w:tplc="9750761C">
      <w:start w:val="1"/>
      <w:numFmt w:val="lowerRoman"/>
      <w:lvlText w:val="%6."/>
      <w:lvlJc w:val="right"/>
      <w:pPr>
        <w:ind w:left="4320" w:hanging="180"/>
      </w:pPr>
    </w:lvl>
    <w:lvl w:ilvl="6" w:tplc="A01266A0">
      <w:start w:val="1"/>
      <w:numFmt w:val="decimal"/>
      <w:lvlText w:val="%7."/>
      <w:lvlJc w:val="left"/>
      <w:pPr>
        <w:ind w:left="5040" w:hanging="360"/>
      </w:pPr>
    </w:lvl>
    <w:lvl w:ilvl="7" w:tplc="67268A08">
      <w:start w:val="1"/>
      <w:numFmt w:val="lowerLetter"/>
      <w:lvlText w:val="%8."/>
      <w:lvlJc w:val="left"/>
      <w:pPr>
        <w:ind w:left="5760" w:hanging="360"/>
      </w:pPr>
    </w:lvl>
    <w:lvl w:ilvl="8" w:tplc="D682F8C0">
      <w:start w:val="1"/>
      <w:numFmt w:val="lowerRoman"/>
      <w:lvlText w:val="%9."/>
      <w:lvlJc w:val="right"/>
      <w:pPr>
        <w:ind w:left="6480" w:hanging="180"/>
      </w:pPr>
    </w:lvl>
  </w:abstractNum>
  <w:abstractNum w:abstractNumId="26" w15:restartNumberingAfterBreak="0">
    <w:nsid w:val="69524ECE"/>
    <w:multiLevelType w:val="hybridMultilevel"/>
    <w:tmpl w:val="DA0EC2B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6CBB239E"/>
    <w:multiLevelType w:val="hybridMultilevel"/>
    <w:tmpl w:val="C75CA3D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BC0C4A"/>
    <w:multiLevelType w:val="hybridMultilevel"/>
    <w:tmpl w:val="59EAFB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38795F"/>
    <w:multiLevelType w:val="hybridMultilevel"/>
    <w:tmpl w:val="EB5CD4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C1345D"/>
    <w:multiLevelType w:val="hybridMultilevel"/>
    <w:tmpl w:val="389C3626"/>
    <w:lvl w:ilvl="0" w:tplc="CC9C2252">
      <w:start w:val="1"/>
      <w:numFmt w:val="bullet"/>
      <w:lvlText w:val="-"/>
      <w:lvlJc w:val="left"/>
      <w:pPr>
        <w:ind w:left="720" w:hanging="360"/>
      </w:pPr>
      <w:rPr>
        <w:rFonts w:ascii="Calibri" w:eastAsiaTheme="minorHAnsi" w:hAnsi="Calibri" w:cs="Calibri" w:hint="default"/>
      </w:rPr>
    </w:lvl>
    <w:lvl w:ilvl="1" w:tplc="2DF6AC90">
      <w:start w:val="1"/>
      <w:numFmt w:val="bullet"/>
      <w:lvlText w:val=""/>
      <w:lvlJc w:val="left"/>
      <w:pPr>
        <w:ind w:left="1440" w:hanging="360"/>
      </w:pPr>
      <w:rPr>
        <w:rFonts w:ascii="Symbol" w:hAnsi="Symbol" w:hint="default"/>
      </w:rPr>
    </w:lvl>
    <w:lvl w:ilvl="2" w:tplc="7ED40668">
      <w:start w:val="1"/>
      <w:numFmt w:val="bullet"/>
      <w:lvlText w:val=""/>
      <w:lvlJc w:val="left"/>
      <w:pPr>
        <w:ind w:left="2160" w:hanging="360"/>
      </w:pPr>
      <w:rPr>
        <w:rFonts w:ascii="Wingdings" w:hAnsi="Wingdings" w:hint="default"/>
      </w:rPr>
    </w:lvl>
    <w:lvl w:ilvl="3" w:tplc="17F444F2">
      <w:start w:val="1"/>
      <w:numFmt w:val="bullet"/>
      <w:lvlText w:val=""/>
      <w:lvlJc w:val="left"/>
      <w:pPr>
        <w:ind w:left="2880" w:hanging="360"/>
      </w:pPr>
      <w:rPr>
        <w:rFonts w:ascii="Symbol" w:hAnsi="Symbol" w:hint="default"/>
      </w:rPr>
    </w:lvl>
    <w:lvl w:ilvl="4" w:tplc="780A8D38">
      <w:start w:val="1"/>
      <w:numFmt w:val="bullet"/>
      <w:lvlText w:val="o"/>
      <w:lvlJc w:val="left"/>
      <w:pPr>
        <w:ind w:left="3600" w:hanging="360"/>
      </w:pPr>
      <w:rPr>
        <w:rFonts w:ascii="Courier New" w:hAnsi="Courier New" w:cs="Courier New" w:hint="default"/>
      </w:rPr>
    </w:lvl>
    <w:lvl w:ilvl="5" w:tplc="181665AE">
      <w:start w:val="1"/>
      <w:numFmt w:val="bullet"/>
      <w:lvlText w:val=""/>
      <w:lvlJc w:val="left"/>
      <w:pPr>
        <w:ind w:left="4320" w:hanging="360"/>
      </w:pPr>
      <w:rPr>
        <w:rFonts w:ascii="Wingdings" w:hAnsi="Wingdings" w:hint="default"/>
      </w:rPr>
    </w:lvl>
    <w:lvl w:ilvl="6" w:tplc="19F42E12">
      <w:start w:val="1"/>
      <w:numFmt w:val="bullet"/>
      <w:lvlText w:val=""/>
      <w:lvlJc w:val="left"/>
      <w:pPr>
        <w:ind w:left="5040" w:hanging="360"/>
      </w:pPr>
      <w:rPr>
        <w:rFonts w:ascii="Symbol" w:hAnsi="Symbol" w:hint="default"/>
      </w:rPr>
    </w:lvl>
    <w:lvl w:ilvl="7" w:tplc="CD084440">
      <w:start w:val="1"/>
      <w:numFmt w:val="bullet"/>
      <w:lvlText w:val="o"/>
      <w:lvlJc w:val="left"/>
      <w:pPr>
        <w:ind w:left="5760" w:hanging="360"/>
      </w:pPr>
      <w:rPr>
        <w:rFonts w:ascii="Courier New" w:hAnsi="Courier New" w:cs="Courier New" w:hint="default"/>
      </w:rPr>
    </w:lvl>
    <w:lvl w:ilvl="8" w:tplc="99B8919E">
      <w:start w:val="1"/>
      <w:numFmt w:val="bullet"/>
      <w:lvlText w:val=""/>
      <w:lvlJc w:val="left"/>
      <w:pPr>
        <w:ind w:left="6480" w:hanging="360"/>
      </w:pPr>
      <w:rPr>
        <w:rFonts w:ascii="Wingdings" w:hAnsi="Wingdings" w:hint="default"/>
      </w:rPr>
    </w:lvl>
  </w:abstractNum>
  <w:abstractNum w:abstractNumId="31" w15:restartNumberingAfterBreak="0">
    <w:nsid w:val="75DF3E58"/>
    <w:multiLevelType w:val="hybridMultilevel"/>
    <w:tmpl w:val="EF120F9C"/>
    <w:lvl w:ilvl="0" w:tplc="D196F59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573F6D"/>
    <w:multiLevelType w:val="hybridMultilevel"/>
    <w:tmpl w:val="D8EA4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5A6FAB"/>
    <w:multiLevelType w:val="hybridMultilevel"/>
    <w:tmpl w:val="88C0A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C31795"/>
    <w:multiLevelType w:val="hybridMultilevel"/>
    <w:tmpl w:val="90F6B64A"/>
    <w:lvl w:ilvl="0" w:tplc="5568DDBC">
      <w:start w:val="1"/>
      <w:numFmt w:val="decimal"/>
      <w:lvlText w:val="%1)"/>
      <w:lvlJc w:val="left"/>
      <w:pPr>
        <w:ind w:left="720" w:hanging="360"/>
      </w:pPr>
      <w:rPr>
        <w:rFonts w:hint="default"/>
      </w:rPr>
    </w:lvl>
    <w:lvl w:ilvl="1" w:tplc="F1A03104">
      <w:start w:val="1"/>
      <w:numFmt w:val="lowerLetter"/>
      <w:lvlText w:val="%2."/>
      <w:lvlJc w:val="left"/>
      <w:pPr>
        <w:ind w:left="1440" w:hanging="360"/>
      </w:pPr>
    </w:lvl>
    <w:lvl w:ilvl="2" w:tplc="B28885F2">
      <w:start w:val="1"/>
      <w:numFmt w:val="lowerRoman"/>
      <w:lvlText w:val="%3."/>
      <w:lvlJc w:val="right"/>
      <w:pPr>
        <w:ind w:left="2160" w:hanging="180"/>
      </w:pPr>
    </w:lvl>
    <w:lvl w:ilvl="3" w:tplc="1F48863E">
      <w:start w:val="1"/>
      <w:numFmt w:val="decimal"/>
      <w:lvlText w:val="%4."/>
      <w:lvlJc w:val="left"/>
      <w:pPr>
        <w:ind w:left="2880" w:hanging="360"/>
      </w:pPr>
    </w:lvl>
    <w:lvl w:ilvl="4" w:tplc="A344E526">
      <w:start w:val="1"/>
      <w:numFmt w:val="lowerLetter"/>
      <w:lvlText w:val="%5."/>
      <w:lvlJc w:val="left"/>
      <w:pPr>
        <w:ind w:left="3600" w:hanging="360"/>
      </w:pPr>
    </w:lvl>
    <w:lvl w:ilvl="5" w:tplc="9750761C">
      <w:start w:val="1"/>
      <w:numFmt w:val="lowerRoman"/>
      <w:lvlText w:val="%6."/>
      <w:lvlJc w:val="right"/>
      <w:pPr>
        <w:ind w:left="4320" w:hanging="180"/>
      </w:pPr>
    </w:lvl>
    <w:lvl w:ilvl="6" w:tplc="A01266A0">
      <w:start w:val="1"/>
      <w:numFmt w:val="decimal"/>
      <w:lvlText w:val="%7."/>
      <w:lvlJc w:val="left"/>
      <w:pPr>
        <w:ind w:left="5040" w:hanging="360"/>
      </w:pPr>
    </w:lvl>
    <w:lvl w:ilvl="7" w:tplc="67268A08">
      <w:start w:val="1"/>
      <w:numFmt w:val="lowerLetter"/>
      <w:lvlText w:val="%8."/>
      <w:lvlJc w:val="left"/>
      <w:pPr>
        <w:ind w:left="5760" w:hanging="360"/>
      </w:pPr>
    </w:lvl>
    <w:lvl w:ilvl="8" w:tplc="D682F8C0">
      <w:start w:val="1"/>
      <w:numFmt w:val="lowerRoman"/>
      <w:lvlText w:val="%9."/>
      <w:lvlJc w:val="right"/>
      <w:pPr>
        <w:ind w:left="6480" w:hanging="180"/>
      </w:pPr>
    </w:lvl>
  </w:abstractNum>
  <w:abstractNum w:abstractNumId="35" w15:restartNumberingAfterBreak="0">
    <w:nsid w:val="7CD54E9B"/>
    <w:multiLevelType w:val="hybridMultilevel"/>
    <w:tmpl w:val="E14E2A8C"/>
    <w:lvl w:ilvl="0" w:tplc="B5BEA6D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2B3D22"/>
    <w:multiLevelType w:val="hybridMultilevel"/>
    <w:tmpl w:val="4356CA6C"/>
    <w:lvl w:ilvl="0" w:tplc="AE6020E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5"/>
  </w:num>
  <w:num w:numId="2">
    <w:abstractNumId w:val="11"/>
  </w:num>
  <w:num w:numId="3">
    <w:abstractNumId w:val="28"/>
  </w:num>
  <w:num w:numId="4">
    <w:abstractNumId w:val="17"/>
  </w:num>
  <w:num w:numId="5">
    <w:abstractNumId w:val="7"/>
  </w:num>
  <w:num w:numId="6">
    <w:abstractNumId w:val="8"/>
  </w:num>
  <w:num w:numId="7">
    <w:abstractNumId w:val="0"/>
  </w:num>
  <w:num w:numId="8">
    <w:abstractNumId w:val="1"/>
  </w:num>
  <w:num w:numId="9">
    <w:abstractNumId w:val="14"/>
  </w:num>
  <w:num w:numId="10">
    <w:abstractNumId w:val="20"/>
  </w:num>
  <w:num w:numId="11">
    <w:abstractNumId w:val="26"/>
  </w:num>
  <w:num w:numId="12">
    <w:abstractNumId w:val="10"/>
  </w:num>
  <w:num w:numId="13">
    <w:abstractNumId w:val="2"/>
  </w:num>
  <w:num w:numId="14">
    <w:abstractNumId w:val="32"/>
  </w:num>
  <w:num w:numId="15">
    <w:abstractNumId w:val="23"/>
  </w:num>
  <w:num w:numId="16">
    <w:abstractNumId w:val="27"/>
  </w:num>
  <w:num w:numId="17">
    <w:abstractNumId w:val="5"/>
  </w:num>
  <w:num w:numId="18">
    <w:abstractNumId w:val="16"/>
  </w:num>
  <w:num w:numId="19">
    <w:abstractNumId w:val="18"/>
  </w:num>
  <w:num w:numId="20">
    <w:abstractNumId w:val="19"/>
  </w:num>
  <w:num w:numId="21">
    <w:abstractNumId w:val="29"/>
  </w:num>
  <w:num w:numId="22">
    <w:abstractNumId w:val="33"/>
  </w:num>
  <w:num w:numId="23">
    <w:abstractNumId w:val="15"/>
  </w:num>
  <w:num w:numId="24">
    <w:abstractNumId w:val="3"/>
  </w:num>
  <w:num w:numId="25">
    <w:abstractNumId w:val="22"/>
  </w:num>
  <w:num w:numId="26">
    <w:abstractNumId w:val="13"/>
  </w:num>
  <w:num w:numId="27">
    <w:abstractNumId w:val="30"/>
  </w:num>
  <w:num w:numId="28">
    <w:abstractNumId w:val="6"/>
  </w:num>
  <w:num w:numId="29">
    <w:abstractNumId w:val="4"/>
  </w:num>
  <w:num w:numId="30">
    <w:abstractNumId w:val="12"/>
  </w:num>
  <w:num w:numId="31">
    <w:abstractNumId w:val="34"/>
  </w:num>
  <w:num w:numId="32">
    <w:abstractNumId w:val="21"/>
  </w:num>
  <w:num w:numId="33">
    <w:abstractNumId w:val="25"/>
  </w:num>
  <w:num w:numId="34">
    <w:abstractNumId w:val="31"/>
  </w:num>
  <w:num w:numId="35">
    <w:abstractNumId w:val="36"/>
  </w:num>
  <w:num w:numId="36">
    <w:abstractNumId w:val="2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8D"/>
    <w:rsid w:val="000352B6"/>
    <w:rsid w:val="00045390"/>
    <w:rsid w:val="00060F29"/>
    <w:rsid w:val="00062E91"/>
    <w:rsid w:val="00066AA1"/>
    <w:rsid w:val="000A027C"/>
    <w:rsid w:val="000A1775"/>
    <w:rsid w:val="000A41ED"/>
    <w:rsid w:val="000B1A34"/>
    <w:rsid w:val="000E760E"/>
    <w:rsid w:val="000E7E2D"/>
    <w:rsid w:val="000F4CDC"/>
    <w:rsid w:val="0010294E"/>
    <w:rsid w:val="0011319C"/>
    <w:rsid w:val="00131D4A"/>
    <w:rsid w:val="00150F2A"/>
    <w:rsid w:val="00172962"/>
    <w:rsid w:val="00184090"/>
    <w:rsid w:val="00190B1D"/>
    <w:rsid w:val="001A2108"/>
    <w:rsid w:val="001A7C17"/>
    <w:rsid w:val="001B0ED6"/>
    <w:rsid w:val="001B41EC"/>
    <w:rsid w:val="001C0CAA"/>
    <w:rsid w:val="001C4243"/>
    <w:rsid w:val="001D4892"/>
    <w:rsid w:val="001D643C"/>
    <w:rsid w:val="00227AE9"/>
    <w:rsid w:val="00240932"/>
    <w:rsid w:val="00244610"/>
    <w:rsid w:val="00254239"/>
    <w:rsid w:val="00255EFD"/>
    <w:rsid w:val="00257D7A"/>
    <w:rsid w:val="00262DD5"/>
    <w:rsid w:val="00273699"/>
    <w:rsid w:val="0029278D"/>
    <w:rsid w:val="002956EA"/>
    <w:rsid w:val="002C05DB"/>
    <w:rsid w:val="00315B26"/>
    <w:rsid w:val="00336CD4"/>
    <w:rsid w:val="00373E03"/>
    <w:rsid w:val="00387B42"/>
    <w:rsid w:val="003B7254"/>
    <w:rsid w:val="003C4004"/>
    <w:rsid w:val="003C72EC"/>
    <w:rsid w:val="003F7D4A"/>
    <w:rsid w:val="00406C8D"/>
    <w:rsid w:val="00424053"/>
    <w:rsid w:val="004D012B"/>
    <w:rsid w:val="004D18FB"/>
    <w:rsid w:val="004D3984"/>
    <w:rsid w:val="004E4666"/>
    <w:rsid w:val="004E6450"/>
    <w:rsid w:val="004E76B6"/>
    <w:rsid w:val="004E789F"/>
    <w:rsid w:val="00521226"/>
    <w:rsid w:val="0054162B"/>
    <w:rsid w:val="00553E6D"/>
    <w:rsid w:val="00560554"/>
    <w:rsid w:val="005728C9"/>
    <w:rsid w:val="00590BBE"/>
    <w:rsid w:val="005B256F"/>
    <w:rsid w:val="005E105F"/>
    <w:rsid w:val="005E1A7D"/>
    <w:rsid w:val="005F2A2B"/>
    <w:rsid w:val="0061262E"/>
    <w:rsid w:val="00632DEF"/>
    <w:rsid w:val="00640863"/>
    <w:rsid w:val="0064501E"/>
    <w:rsid w:val="00665888"/>
    <w:rsid w:val="006D3139"/>
    <w:rsid w:val="006E2576"/>
    <w:rsid w:val="007039CB"/>
    <w:rsid w:val="007159CB"/>
    <w:rsid w:val="00726526"/>
    <w:rsid w:val="00736B01"/>
    <w:rsid w:val="00740470"/>
    <w:rsid w:val="00754324"/>
    <w:rsid w:val="0075607A"/>
    <w:rsid w:val="00763481"/>
    <w:rsid w:val="007639FA"/>
    <w:rsid w:val="007B10CF"/>
    <w:rsid w:val="007B5735"/>
    <w:rsid w:val="007C0EFF"/>
    <w:rsid w:val="00804B0D"/>
    <w:rsid w:val="00805645"/>
    <w:rsid w:val="00843308"/>
    <w:rsid w:val="00847040"/>
    <w:rsid w:val="00855673"/>
    <w:rsid w:val="008613F2"/>
    <w:rsid w:val="00887883"/>
    <w:rsid w:val="008944F5"/>
    <w:rsid w:val="0090063A"/>
    <w:rsid w:val="00926018"/>
    <w:rsid w:val="00937089"/>
    <w:rsid w:val="00975353"/>
    <w:rsid w:val="009B74E3"/>
    <w:rsid w:val="009C2F34"/>
    <w:rsid w:val="009D01D3"/>
    <w:rsid w:val="009D086C"/>
    <w:rsid w:val="009E1963"/>
    <w:rsid w:val="00A42B2E"/>
    <w:rsid w:val="00A83496"/>
    <w:rsid w:val="00A871EB"/>
    <w:rsid w:val="00A928CF"/>
    <w:rsid w:val="00AB5925"/>
    <w:rsid w:val="00AE543F"/>
    <w:rsid w:val="00B01738"/>
    <w:rsid w:val="00B141BC"/>
    <w:rsid w:val="00B20F7B"/>
    <w:rsid w:val="00B25D31"/>
    <w:rsid w:val="00B30B4C"/>
    <w:rsid w:val="00B351D6"/>
    <w:rsid w:val="00B35A1A"/>
    <w:rsid w:val="00B51BCA"/>
    <w:rsid w:val="00B83EB5"/>
    <w:rsid w:val="00B86328"/>
    <w:rsid w:val="00B936B4"/>
    <w:rsid w:val="00BE5CA9"/>
    <w:rsid w:val="00C17115"/>
    <w:rsid w:val="00C43C01"/>
    <w:rsid w:val="00C51C35"/>
    <w:rsid w:val="00C571A7"/>
    <w:rsid w:val="00C71897"/>
    <w:rsid w:val="00CB3F56"/>
    <w:rsid w:val="00CD33AE"/>
    <w:rsid w:val="00CF0A7A"/>
    <w:rsid w:val="00CF3378"/>
    <w:rsid w:val="00D10495"/>
    <w:rsid w:val="00D10571"/>
    <w:rsid w:val="00D15B1F"/>
    <w:rsid w:val="00D22DD5"/>
    <w:rsid w:val="00D23799"/>
    <w:rsid w:val="00D460C3"/>
    <w:rsid w:val="00D7501E"/>
    <w:rsid w:val="00D83DD2"/>
    <w:rsid w:val="00DB2AC3"/>
    <w:rsid w:val="00DC030D"/>
    <w:rsid w:val="00DC43DD"/>
    <w:rsid w:val="00DC732A"/>
    <w:rsid w:val="00DD4C44"/>
    <w:rsid w:val="00E35F98"/>
    <w:rsid w:val="00E81ECE"/>
    <w:rsid w:val="00EC17ED"/>
    <w:rsid w:val="00EC2934"/>
    <w:rsid w:val="00F00D1E"/>
    <w:rsid w:val="00F11138"/>
    <w:rsid w:val="00F16791"/>
    <w:rsid w:val="00F222E0"/>
    <w:rsid w:val="00F45AC3"/>
    <w:rsid w:val="00F5585C"/>
    <w:rsid w:val="00F80ECC"/>
    <w:rsid w:val="00F90548"/>
    <w:rsid w:val="00FB479C"/>
    <w:rsid w:val="00FC5F39"/>
    <w:rsid w:val="00FC6B6B"/>
    <w:rsid w:val="00FD0597"/>
    <w:rsid w:val="00FE73E9"/>
    <w:rsid w:val="00FF6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2A26945"/>
  <w15:chartTrackingRefBased/>
  <w15:docId w15:val="{CE4CC3DD-5D24-4BB7-AD6D-6A9F0A1D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compact,Normal bullet 2,Paragraphe de liste 2,Reference list,Bullet list,Numbered List,List Paragraph1,1st level - Bullet List Paragraph,Lettre d'introduction,Paragraph,Bullet EY,List Paragraph11,Normal bullet 21,L,lp1"/>
    <w:basedOn w:val="Normal"/>
    <w:link w:val="ParagraphedelisteCar"/>
    <w:uiPriority w:val="34"/>
    <w:qFormat/>
    <w:rsid w:val="007039CB"/>
    <w:pPr>
      <w:ind w:left="720"/>
      <w:contextualSpacing/>
    </w:pPr>
  </w:style>
  <w:style w:type="character" w:styleId="Lienhypertexte">
    <w:name w:val="Hyperlink"/>
    <w:basedOn w:val="Policepardfaut"/>
    <w:uiPriority w:val="99"/>
    <w:unhideWhenUsed/>
    <w:rsid w:val="000B1A34"/>
    <w:rPr>
      <w:color w:val="0563C1" w:themeColor="hyperlink"/>
      <w:u w:val="single"/>
    </w:rPr>
  </w:style>
  <w:style w:type="character" w:styleId="Lienhypertextesuivivisit">
    <w:name w:val="FollowedHyperlink"/>
    <w:basedOn w:val="Policepardfaut"/>
    <w:uiPriority w:val="99"/>
    <w:semiHidden/>
    <w:unhideWhenUsed/>
    <w:rsid w:val="000B1A34"/>
    <w:rPr>
      <w:color w:val="954F72" w:themeColor="followedHyperlink"/>
      <w:u w:val="single"/>
    </w:rPr>
  </w:style>
  <w:style w:type="paragraph" w:styleId="En-tte">
    <w:name w:val="header"/>
    <w:basedOn w:val="Normal"/>
    <w:link w:val="En-tteCar"/>
    <w:uiPriority w:val="99"/>
    <w:unhideWhenUsed/>
    <w:rsid w:val="00F80ECC"/>
    <w:pPr>
      <w:tabs>
        <w:tab w:val="center" w:pos="4536"/>
        <w:tab w:val="right" w:pos="9072"/>
      </w:tabs>
      <w:spacing w:after="0" w:line="240" w:lineRule="auto"/>
    </w:pPr>
  </w:style>
  <w:style w:type="character" w:customStyle="1" w:styleId="En-tteCar">
    <w:name w:val="En-tête Car"/>
    <w:basedOn w:val="Policepardfaut"/>
    <w:link w:val="En-tte"/>
    <w:uiPriority w:val="99"/>
    <w:rsid w:val="00F80ECC"/>
  </w:style>
  <w:style w:type="paragraph" w:styleId="Pieddepage">
    <w:name w:val="footer"/>
    <w:basedOn w:val="Normal"/>
    <w:link w:val="PieddepageCar"/>
    <w:uiPriority w:val="99"/>
    <w:unhideWhenUsed/>
    <w:rsid w:val="00F80E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ECC"/>
  </w:style>
  <w:style w:type="character" w:styleId="Marquedecommentaire">
    <w:name w:val="annotation reference"/>
    <w:basedOn w:val="Policepardfaut"/>
    <w:uiPriority w:val="99"/>
    <w:semiHidden/>
    <w:unhideWhenUsed/>
    <w:rsid w:val="00FD0597"/>
    <w:rPr>
      <w:sz w:val="16"/>
      <w:szCs w:val="16"/>
    </w:rPr>
  </w:style>
  <w:style w:type="paragraph" w:styleId="Commentaire">
    <w:name w:val="annotation text"/>
    <w:basedOn w:val="Normal"/>
    <w:link w:val="CommentaireCar"/>
    <w:uiPriority w:val="99"/>
    <w:semiHidden/>
    <w:unhideWhenUsed/>
    <w:rsid w:val="00FD0597"/>
    <w:pPr>
      <w:spacing w:line="240" w:lineRule="auto"/>
    </w:pPr>
    <w:rPr>
      <w:sz w:val="20"/>
      <w:szCs w:val="20"/>
    </w:rPr>
  </w:style>
  <w:style w:type="character" w:customStyle="1" w:styleId="CommentaireCar">
    <w:name w:val="Commentaire Car"/>
    <w:basedOn w:val="Policepardfaut"/>
    <w:link w:val="Commentaire"/>
    <w:uiPriority w:val="99"/>
    <w:semiHidden/>
    <w:rsid w:val="00FD0597"/>
    <w:rPr>
      <w:sz w:val="20"/>
      <w:szCs w:val="20"/>
    </w:rPr>
  </w:style>
  <w:style w:type="paragraph" w:styleId="Objetducommentaire">
    <w:name w:val="annotation subject"/>
    <w:basedOn w:val="Commentaire"/>
    <w:next w:val="Commentaire"/>
    <w:link w:val="ObjetducommentaireCar"/>
    <w:uiPriority w:val="99"/>
    <w:semiHidden/>
    <w:unhideWhenUsed/>
    <w:rsid w:val="00FD0597"/>
    <w:rPr>
      <w:b/>
      <w:bCs/>
    </w:rPr>
  </w:style>
  <w:style w:type="character" w:customStyle="1" w:styleId="ObjetducommentaireCar">
    <w:name w:val="Objet du commentaire Car"/>
    <w:basedOn w:val="CommentaireCar"/>
    <w:link w:val="Objetducommentaire"/>
    <w:uiPriority w:val="99"/>
    <w:semiHidden/>
    <w:rsid w:val="00FD0597"/>
    <w:rPr>
      <w:b/>
      <w:bCs/>
      <w:sz w:val="20"/>
      <w:szCs w:val="20"/>
    </w:rPr>
  </w:style>
  <w:style w:type="paragraph" w:styleId="Textedebulles">
    <w:name w:val="Balloon Text"/>
    <w:basedOn w:val="Normal"/>
    <w:link w:val="TextedebullesCar"/>
    <w:uiPriority w:val="99"/>
    <w:semiHidden/>
    <w:unhideWhenUsed/>
    <w:rsid w:val="00FD05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0597"/>
    <w:rPr>
      <w:rFonts w:ascii="Segoe UI" w:hAnsi="Segoe UI" w:cs="Segoe UI"/>
      <w:sz w:val="18"/>
      <w:szCs w:val="18"/>
    </w:rPr>
  </w:style>
  <w:style w:type="character" w:styleId="Accentuation">
    <w:name w:val="Emphasis"/>
    <w:basedOn w:val="Policepardfaut"/>
    <w:uiPriority w:val="20"/>
    <w:qFormat/>
    <w:rsid w:val="00A83496"/>
    <w:rPr>
      <w:b/>
      <w:bCs/>
      <w:i w:val="0"/>
      <w:iCs w:val="0"/>
    </w:rPr>
  </w:style>
  <w:style w:type="table" w:styleId="Grilledutableau">
    <w:name w:val="Table Grid"/>
    <w:basedOn w:val="TableauNormal"/>
    <w:uiPriority w:val="39"/>
    <w:rsid w:val="006E2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257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Grille4-Accentuation6">
    <w:name w:val="Grid Table 4 Accent 6"/>
    <w:basedOn w:val="TableauNormal"/>
    <w:uiPriority w:val="49"/>
    <w:rsid w:val="001A210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M1">
    <w:name w:val="CM1"/>
    <w:basedOn w:val="Normal"/>
    <w:next w:val="Normal"/>
    <w:uiPriority w:val="99"/>
    <w:rsid w:val="0061262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61262E"/>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DD4C44"/>
    <w:pPr>
      <w:autoSpaceDE w:val="0"/>
      <w:autoSpaceDN w:val="0"/>
      <w:adjustRightInd w:val="0"/>
      <w:spacing w:after="0" w:line="240" w:lineRule="auto"/>
    </w:pPr>
    <w:rPr>
      <w:rFonts w:ascii="EUAlbertina" w:hAnsi="EUAlbertina"/>
      <w:sz w:val="24"/>
      <w:szCs w:val="24"/>
    </w:rPr>
  </w:style>
  <w:style w:type="paragraph" w:styleId="Notedebasdepage">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NotedebasdepageCar"/>
    <w:uiPriority w:val="99"/>
    <w:unhideWhenUsed/>
    <w:rsid w:val="00B86328"/>
    <w:pPr>
      <w:spacing w:after="0" w:line="252" w:lineRule="auto"/>
      <w:ind w:left="720" w:hanging="720"/>
      <w:jc w:val="both"/>
    </w:pPr>
    <w:rPr>
      <w:rFonts w:eastAsiaTheme="minorEastAsia"/>
      <w:sz w:val="20"/>
    </w:rPr>
  </w:style>
  <w:style w:type="character" w:customStyle="1" w:styleId="NotedebasdepageCar">
    <w:name w:val="Note de bas de page Car"/>
    <w:aliases w:val="Schriftart: 9 pt Car,Schriftart: 10 pt Car,Schriftart: 8 pt Car,WB-Fußnotentext Car,FoodNote Car,ft Car,Footnote text Car,Footnote Text Char Char Car,Footnote Text Char1 Char Char Car,Footnote Text Char Char Char Char Car,fn Car"/>
    <w:basedOn w:val="Policepardfaut"/>
    <w:link w:val="Notedebasdepage"/>
    <w:uiPriority w:val="99"/>
    <w:rsid w:val="00B86328"/>
    <w:rPr>
      <w:rFonts w:eastAsiaTheme="minorEastAsia"/>
      <w:sz w:val="20"/>
    </w:rPr>
  </w:style>
  <w:style w:type="character" w:styleId="Appelnotedebasdep">
    <w:name w:val="footnote reference"/>
    <w:aliases w:val="Footnote,Footnote number,Footnote symbol,Footnote Reference Number,Footnote reference number,Times 10 Point,Exposant 3 Point,Footnote Reference Superscript,EN Footnote Reference,note TESI,Voetnootverwijzing,fr,o,FR,FR1"/>
    <w:uiPriority w:val="99"/>
    <w:unhideWhenUsed/>
    <w:rsid w:val="00B86328"/>
    <w:rPr>
      <w:shd w:val="clear" w:color="auto" w:fill="auto"/>
      <w:vertAlign w:val="superscript"/>
    </w:rPr>
  </w:style>
  <w:style w:type="character" w:customStyle="1" w:styleId="ParagraphedelisteCar">
    <w:name w:val="Paragraphe de liste Car"/>
    <w:aliases w:val="List Paragraph compact Car,Normal bullet 2 Car,Paragraphe de liste 2 Car,Reference list Car,Bullet list Car,Numbered List Car,List Paragraph1 Car,1st level - Bullet List Paragraph Car,Lettre d'introduction Car,Paragraph Car,L Car"/>
    <w:link w:val="Paragraphedeliste"/>
    <w:uiPriority w:val="34"/>
    <w:qFormat/>
    <w:locked/>
    <w:rsid w:val="00B8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1359</Words>
  <Characters>7479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VALYNSEELE</dc:creator>
  <cp:keywords/>
  <dc:description/>
  <cp:lastModifiedBy>Margot MOLENDA-PRUVOST</cp:lastModifiedBy>
  <cp:revision>3</cp:revision>
  <cp:lastPrinted>2018-01-26T14:33:00Z</cp:lastPrinted>
  <dcterms:created xsi:type="dcterms:W3CDTF">2024-04-29T13:54:00Z</dcterms:created>
  <dcterms:modified xsi:type="dcterms:W3CDTF">2024-04-29T14:07:00Z</dcterms:modified>
</cp:coreProperties>
</file>