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018AF" w14:textId="2EF80181" w:rsidR="003C72EC" w:rsidRDefault="003C72EC" w:rsidP="003C72EC">
      <w:pPr>
        <w:tabs>
          <w:tab w:val="left" w:pos="1276"/>
          <w:tab w:val="center" w:pos="4762"/>
        </w:tabs>
        <w:jc w:val="center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1632CE00" w14:textId="3EA9CC8A" w:rsidR="003C72EC" w:rsidRPr="003C72EC" w:rsidRDefault="003C72EC" w:rsidP="003C72EC">
      <w:pPr>
        <w:tabs>
          <w:tab w:val="left" w:pos="1276"/>
          <w:tab w:val="center" w:pos="4762"/>
        </w:tabs>
        <w:jc w:val="center"/>
        <w:rPr>
          <w:rFonts w:ascii="Arial" w:hAnsi="Arial" w:cs="Arial"/>
          <w:b/>
          <w:bCs/>
          <w:i/>
          <w:color w:val="000000" w:themeColor="text1"/>
          <w:sz w:val="18"/>
          <w:szCs w:val="18"/>
          <w:lang w:val="en-GB"/>
        </w:rPr>
      </w:pPr>
      <w:r w:rsidRPr="003C72EC">
        <w:rPr>
          <w:rFonts w:ascii="Arial" w:hAnsi="Arial" w:cs="Arial"/>
          <w:b/>
          <w:bCs/>
          <w:i/>
          <w:color w:val="000000" w:themeColor="text1"/>
          <w:sz w:val="18"/>
          <w:szCs w:val="18"/>
          <w:lang w:val="en-GB"/>
        </w:rPr>
        <w:t xml:space="preserve">PROGRAMME </w:t>
      </w:r>
      <w:r>
        <w:rPr>
          <w:rFonts w:ascii="Arial" w:hAnsi="Arial" w:cs="Arial"/>
          <w:b/>
          <w:bCs/>
          <w:i/>
          <w:color w:val="000000" w:themeColor="text1"/>
          <w:sz w:val="18"/>
          <w:szCs w:val="18"/>
          <w:lang w:val="en-GB"/>
        </w:rPr>
        <w:t>REGIONAL</w:t>
      </w:r>
      <w:r w:rsidRPr="003C72EC">
        <w:rPr>
          <w:rFonts w:ascii="Arial" w:hAnsi="Arial" w:cs="Arial"/>
          <w:b/>
          <w:bCs/>
          <w:i/>
          <w:color w:val="000000" w:themeColor="text1"/>
          <w:sz w:val="18"/>
          <w:szCs w:val="18"/>
          <w:lang w:val="en-GB"/>
        </w:rPr>
        <w:t xml:space="preserve"> FEDER</w:t>
      </w:r>
      <w:r>
        <w:rPr>
          <w:rFonts w:ascii="Arial" w:hAnsi="Arial" w:cs="Arial"/>
          <w:b/>
          <w:bCs/>
          <w:i/>
          <w:color w:val="000000" w:themeColor="text1"/>
          <w:sz w:val="18"/>
          <w:szCs w:val="18"/>
          <w:lang w:val="en-GB"/>
        </w:rPr>
        <w:t>/FSE+/FTJ 2021-2027</w:t>
      </w:r>
    </w:p>
    <w:p w14:paraId="3615A1FA" w14:textId="3FB21344" w:rsidR="003C72EC" w:rsidRPr="003C72EC" w:rsidRDefault="003C72EC" w:rsidP="003C72EC">
      <w:pPr>
        <w:tabs>
          <w:tab w:val="left" w:pos="1276"/>
          <w:tab w:val="center" w:pos="4762"/>
        </w:tabs>
        <w:jc w:val="center"/>
        <w:rPr>
          <w:rFonts w:ascii="Arial" w:hAnsi="Arial" w:cs="Arial"/>
          <w:b/>
          <w:bCs/>
          <w:i/>
          <w:color w:val="000000" w:themeColor="text1"/>
          <w:sz w:val="18"/>
          <w:szCs w:val="18"/>
        </w:rPr>
      </w:pPr>
      <w:r w:rsidRPr="003C72EC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Région </w:t>
      </w:r>
      <w:r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Hauts-de-France</w:t>
      </w:r>
    </w:p>
    <w:p w14:paraId="76F3D4B3" w14:textId="35E0D184" w:rsidR="003C72EC" w:rsidRPr="003C72EC" w:rsidRDefault="003C72EC" w:rsidP="003C72EC">
      <w:pPr>
        <w:tabs>
          <w:tab w:val="left" w:pos="1276"/>
          <w:tab w:val="center" w:pos="4762"/>
        </w:tabs>
        <w:jc w:val="center"/>
        <w:rPr>
          <w:rFonts w:ascii="Arial" w:hAnsi="Arial" w:cs="Arial"/>
          <w:b/>
          <w:bCs/>
          <w:i/>
          <w:color w:val="000000" w:themeColor="text1"/>
          <w:sz w:val="18"/>
          <w:szCs w:val="18"/>
        </w:rPr>
      </w:pPr>
      <w:r w:rsidRPr="003C72EC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Proposition de modification du Document de Mise en Œuvre (DOMO) à la consultation écrite d</w:t>
      </w:r>
      <w:r w:rsidRPr="007E1FFD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u</w:t>
      </w:r>
      <w:r w:rsidR="007E1FFD" w:rsidRPr="007E1FFD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 15/12/2023</w:t>
      </w:r>
    </w:p>
    <w:p w14:paraId="0333D1EA" w14:textId="015C4151" w:rsidR="003C72EC" w:rsidRDefault="003C72EC" w:rsidP="003C72EC">
      <w:pPr>
        <w:tabs>
          <w:tab w:val="left" w:pos="1276"/>
          <w:tab w:val="center" w:pos="4762"/>
        </w:tabs>
        <w:jc w:val="center"/>
        <w:rPr>
          <w:rFonts w:ascii="Arial" w:hAnsi="Arial" w:cs="Arial"/>
          <w:b/>
          <w:bCs/>
          <w:i/>
          <w:color w:val="000000" w:themeColor="text1"/>
          <w:sz w:val="18"/>
          <w:szCs w:val="18"/>
        </w:rPr>
      </w:pPr>
      <w:proofErr w:type="gramStart"/>
      <w:r w:rsidRPr="003C72EC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du</w:t>
      </w:r>
      <w:proofErr w:type="gramEnd"/>
      <w:r w:rsidRPr="003C72EC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 Programme </w:t>
      </w:r>
      <w:r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Régional</w:t>
      </w:r>
      <w:r w:rsidRPr="003C72EC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 adopté par la commission européenne le </w:t>
      </w:r>
      <w:r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06 octobre 2022</w:t>
      </w:r>
    </w:p>
    <w:p w14:paraId="4B4264EA" w14:textId="41ED07A5" w:rsidR="003C72EC" w:rsidRDefault="003C72EC" w:rsidP="003C72EC">
      <w:pPr>
        <w:tabs>
          <w:tab w:val="left" w:pos="1276"/>
          <w:tab w:val="center" w:pos="4762"/>
        </w:tabs>
        <w:rPr>
          <w:rFonts w:ascii="Arial" w:hAnsi="Arial" w:cs="Arial"/>
          <w:b/>
          <w:bCs/>
          <w:i/>
          <w:color w:val="000000" w:themeColor="text1"/>
          <w:sz w:val="18"/>
          <w:szCs w:val="18"/>
        </w:rPr>
      </w:pPr>
    </w:p>
    <w:p w14:paraId="650A4CB4" w14:textId="659E10FC" w:rsidR="003C72EC" w:rsidRPr="003C72EC" w:rsidRDefault="003C72EC" w:rsidP="003C72EC">
      <w:pPr>
        <w:tabs>
          <w:tab w:val="left" w:pos="1276"/>
          <w:tab w:val="center" w:pos="4762"/>
        </w:tabs>
        <w:rPr>
          <w:rFonts w:ascii="Arial" w:hAnsi="Arial" w:cs="Arial"/>
          <w:b/>
          <w:bCs/>
          <w:i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Objectif stratégique</w:t>
      </w:r>
      <w:r w:rsidRPr="003C72EC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 : </w:t>
      </w:r>
      <w:r w:rsidR="002A769C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2 – Une Europe plus verte, résiliente et à faibles émissions de carbone évoluant vers une économie à zéro émission nette de carbone, par la promotion d’une transition énergétique propre et équitable, des investissements verts et bleus, de l’économie circulaire, de l’atténuation du changement climatique et de l’adaptation à celui-ci, de la prévention et de la gestion des risques, et d’une mobilité urbaine durable</w:t>
      </w:r>
      <w:bookmarkStart w:id="0" w:name="_GoBack"/>
      <w:bookmarkEnd w:id="0"/>
    </w:p>
    <w:p w14:paraId="572D7EF7" w14:textId="033FE419" w:rsidR="003C72EC" w:rsidRPr="003C72EC" w:rsidRDefault="003C72EC" w:rsidP="003C72EC">
      <w:pPr>
        <w:tabs>
          <w:tab w:val="left" w:pos="1276"/>
          <w:tab w:val="center" w:pos="4762"/>
        </w:tabs>
        <w:rPr>
          <w:rFonts w:ascii="Arial" w:hAnsi="Arial" w:cs="Arial"/>
          <w:b/>
          <w:bCs/>
          <w:i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Priorité</w:t>
      </w:r>
      <w:r w:rsidRPr="003C72EC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 : </w:t>
      </w:r>
      <w:r w:rsidR="002A769C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5 – Renforcement de la transition écologique des Hauts-de-France</w:t>
      </w:r>
    </w:p>
    <w:p w14:paraId="076CA0F3" w14:textId="0CC0FD28" w:rsidR="003C72EC" w:rsidRPr="003C72EC" w:rsidRDefault="003C72EC" w:rsidP="003C72EC">
      <w:pPr>
        <w:tabs>
          <w:tab w:val="left" w:pos="1276"/>
          <w:tab w:val="center" w:pos="4762"/>
        </w:tabs>
        <w:rPr>
          <w:rFonts w:ascii="Arial" w:hAnsi="Arial" w:cs="Arial"/>
          <w:b/>
          <w:bCs/>
          <w:i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Objectif spécifique : </w:t>
      </w:r>
      <w:r w:rsidR="002A769C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2.4 – Favoriser l’adaptation au changement climatique, la prévention des risques de catastrophes et la résilience, en tenant compte des approches fondées sur les écosystèmes</w:t>
      </w:r>
    </w:p>
    <w:p w14:paraId="6D674E3C" w14:textId="4B8BC499" w:rsidR="003C72EC" w:rsidRPr="003C72EC" w:rsidRDefault="003C72EC" w:rsidP="003C72EC">
      <w:pPr>
        <w:tabs>
          <w:tab w:val="left" w:pos="1276"/>
          <w:tab w:val="center" w:pos="4762"/>
        </w:tabs>
        <w:rPr>
          <w:rFonts w:ascii="Arial" w:hAnsi="Arial" w:cs="Arial"/>
          <w:b/>
          <w:bCs/>
          <w:i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Fiche-action concernée</w:t>
      </w:r>
      <w:r w:rsidRPr="003C72EC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 :</w:t>
      </w:r>
      <w:r w:rsidR="002A769C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 Type d’action 1 – Sous-action 4 : Adaptation au changement climatique des territoires urbains et ruraux</w:t>
      </w:r>
    </w:p>
    <w:p w14:paraId="2F314A56" w14:textId="77777777" w:rsidR="003C72EC" w:rsidRPr="003C72EC" w:rsidRDefault="003C72EC" w:rsidP="003C72EC">
      <w:pPr>
        <w:tabs>
          <w:tab w:val="left" w:pos="1276"/>
          <w:tab w:val="center" w:pos="4762"/>
        </w:tabs>
        <w:jc w:val="center"/>
        <w:rPr>
          <w:rFonts w:ascii="Arial" w:hAnsi="Arial" w:cs="Arial"/>
          <w:b/>
          <w:bCs/>
          <w:i/>
          <w:color w:val="000000" w:themeColor="text1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4961"/>
      </w:tblGrid>
      <w:tr w:rsidR="003C72EC" w:rsidRPr="003C72EC" w14:paraId="3ADC493A" w14:textId="77777777" w:rsidTr="003C72EC">
        <w:tc>
          <w:tcPr>
            <w:tcW w:w="4815" w:type="dxa"/>
          </w:tcPr>
          <w:p w14:paraId="10FD8682" w14:textId="77777777" w:rsidR="003C72EC" w:rsidRPr="003C72EC" w:rsidRDefault="003C72EC" w:rsidP="003C72EC">
            <w:pPr>
              <w:tabs>
                <w:tab w:val="left" w:pos="1276"/>
                <w:tab w:val="center" w:pos="4762"/>
              </w:tabs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3C72EC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Rédaction initiale</w:t>
            </w:r>
          </w:p>
        </w:tc>
        <w:tc>
          <w:tcPr>
            <w:tcW w:w="4961" w:type="dxa"/>
          </w:tcPr>
          <w:p w14:paraId="691DE4B8" w14:textId="77777777" w:rsidR="003C72EC" w:rsidRPr="003C72EC" w:rsidRDefault="003C72EC" w:rsidP="003C72EC">
            <w:pPr>
              <w:tabs>
                <w:tab w:val="left" w:pos="1276"/>
                <w:tab w:val="center" w:pos="4762"/>
              </w:tabs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3C72EC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Proposition de modification</w:t>
            </w:r>
          </w:p>
        </w:tc>
      </w:tr>
      <w:tr w:rsidR="003C72EC" w:rsidRPr="003C72EC" w14:paraId="5D9A1E2C" w14:textId="77777777" w:rsidTr="003C72EC">
        <w:tc>
          <w:tcPr>
            <w:tcW w:w="4815" w:type="dxa"/>
          </w:tcPr>
          <w:p w14:paraId="741B8F2B" w14:textId="77777777" w:rsidR="002A769C" w:rsidRDefault="002A769C" w:rsidP="003C72EC">
            <w:pPr>
              <w:tabs>
                <w:tab w:val="left" w:pos="1276"/>
                <w:tab w:val="center" w:pos="4762"/>
              </w:tabs>
              <w:jc w:val="center"/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(Exemples d’action)</w:t>
            </w:r>
          </w:p>
          <w:p w14:paraId="1654D529" w14:textId="235C45E8" w:rsidR="002A769C" w:rsidRDefault="002A769C" w:rsidP="00F05961">
            <w:pPr>
              <w:tabs>
                <w:tab w:val="left" w:pos="1276"/>
                <w:tab w:val="center" w:pos="4762"/>
              </w:tabs>
              <w:jc w:val="center"/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(…)</w:t>
            </w:r>
          </w:p>
          <w:p w14:paraId="2FF1FC81" w14:textId="66375125" w:rsidR="003C72EC" w:rsidRDefault="002A769C" w:rsidP="002A769C">
            <w:pPr>
              <w:pStyle w:val="Paragraphedeliste"/>
              <w:numPr>
                <w:ilvl w:val="0"/>
                <w:numId w:val="26"/>
              </w:numPr>
              <w:tabs>
                <w:tab w:val="left" w:pos="1276"/>
                <w:tab w:val="center" w:pos="4762"/>
              </w:tabs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Ruissellement en milieu urbain :</w:t>
            </w:r>
          </w:p>
          <w:p w14:paraId="7330DAAB" w14:textId="7D14FE6F" w:rsidR="002A769C" w:rsidRPr="00E95943" w:rsidRDefault="002A769C" w:rsidP="00E95943">
            <w:pPr>
              <w:pStyle w:val="Paragraphedeliste"/>
              <w:numPr>
                <w:ilvl w:val="0"/>
                <w:numId w:val="25"/>
              </w:numPr>
              <w:tabs>
                <w:tab w:val="left" w:pos="1276"/>
                <w:tab w:val="center" w:pos="4762"/>
              </w:tabs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  <w:r w:rsidRPr="00E95943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Etudes opérationnelles</w:t>
            </w:r>
            <w:r w:rsidR="00E95943" w:rsidRPr="00E95943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 ;</w:t>
            </w:r>
          </w:p>
          <w:p w14:paraId="75DC6E84" w14:textId="0C5B1D85" w:rsidR="00E95943" w:rsidRDefault="00E95943" w:rsidP="00E95943">
            <w:pPr>
              <w:pStyle w:val="Paragraphedeliste"/>
              <w:numPr>
                <w:ilvl w:val="0"/>
                <w:numId w:val="25"/>
              </w:numPr>
              <w:tabs>
                <w:tab w:val="left" w:pos="1276"/>
                <w:tab w:val="center" w:pos="4762"/>
              </w:tabs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  <w:r w:rsidRPr="00E95943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Maîtrise d’œuvre</w:t>
            </w:r>
            <w:r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 ;</w:t>
            </w:r>
          </w:p>
          <w:p w14:paraId="1E882074" w14:textId="123D23B9" w:rsidR="00E95943" w:rsidRPr="00E95943" w:rsidRDefault="00E95943" w:rsidP="00E95943">
            <w:pPr>
              <w:pStyle w:val="Paragraphedeliste"/>
              <w:numPr>
                <w:ilvl w:val="0"/>
                <w:numId w:val="25"/>
              </w:numPr>
              <w:tabs>
                <w:tab w:val="left" w:pos="1276"/>
                <w:tab w:val="center" w:pos="4762"/>
              </w:tabs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 xml:space="preserve">Travaux d’adaptation sur le </w:t>
            </w:r>
            <w:r w:rsidRPr="00E95943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  <w:u w:val="single"/>
              </w:rPr>
              <w:t>milieu urbain existant</w:t>
            </w:r>
            <w:r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 xml:space="preserve"> pour augmenter les surfaces non imperméabilisées et végétales permettant l’infiltration des eaux pluviales et la régulation des températures urbaines (noues, jardins de pluie, échelles de pluie, zones d’infiltration paysagères – les substrats perméables minéraux et chaussées réservoirs sont inclus s’ils ne constituent pas l’essentiel du projet).</w:t>
            </w:r>
          </w:p>
          <w:p w14:paraId="152B6ECA" w14:textId="6E7A392B" w:rsidR="003C72EC" w:rsidRPr="003C72EC" w:rsidRDefault="003C72EC" w:rsidP="006A5E1C">
            <w:pPr>
              <w:tabs>
                <w:tab w:val="left" w:pos="1276"/>
                <w:tab w:val="center" w:pos="4762"/>
              </w:tabs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4961" w:type="dxa"/>
          </w:tcPr>
          <w:p w14:paraId="155640E2" w14:textId="77777777" w:rsidR="00E95943" w:rsidRDefault="00E95943" w:rsidP="00E95943">
            <w:pPr>
              <w:tabs>
                <w:tab w:val="left" w:pos="1276"/>
                <w:tab w:val="center" w:pos="4762"/>
              </w:tabs>
              <w:jc w:val="center"/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(Exemples d’action)</w:t>
            </w:r>
          </w:p>
          <w:p w14:paraId="087940E8" w14:textId="547CBC06" w:rsidR="00E95943" w:rsidRDefault="00E95943" w:rsidP="00F05961">
            <w:pPr>
              <w:tabs>
                <w:tab w:val="left" w:pos="1276"/>
                <w:tab w:val="center" w:pos="4762"/>
              </w:tabs>
              <w:jc w:val="center"/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(…)</w:t>
            </w:r>
          </w:p>
          <w:p w14:paraId="79C56C12" w14:textId="77777777" w:rsidR="00E95943" w:rsidRDefault="00E95943" w:rsidP="00E95943">
            <w:pPr>
              <w:pStyle w:val="Paragraphedeliste"/>
              <w:numPr>
                <w:ilvl w:val="0"/>
                <w:numId w:val="26"/>
              </w:numPr>
              <w:tabs>
                <w:tab w:val="left" w:pos="1276"/>
                <w:tab w:val="center" w:pos="4762"/>
              </w:tabs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Ruissellement en milieu urbain :</w:t>
            </w:r>
          </w:p>
          <w:p w14:paraId="24299AFC" w14:textId="77777777" w:rsidR="00C95D10" w:rsidRDefault="00C95D10" w:rsidP="00E95943">
            <w:pPr>
              <w:pStyle w:val="Paragraphedeliste"/>
              <w:numPr>
                <w:ilvl w:val="0"/>
                <w:numId w:val="25"/>
              </w:numPr>
              <w:tabs>
                <w:tab w:val="left" w:pos="1276"/>
                <w:tab w:val="center" w:pos="4762"/>
              </w:tabs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 xml:space="preserve">Travaux d’adaptation sur le </w:t>
            </w:r>
            <w:r w:rsidRPr="00E95943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  <w:u w:val="single"/>
              </w:rPr>
              <w:t>milieu urbain existant</w:t>
            </w:r>
            <w:r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 xml:space="preserve"> pour augmenter les surfaces non imperméabilisées et végétales permettant l’infiltration des eaux pluviales et la régulation des températures urbaines (noues, jardins de pluie, échelles de pluie, zones d’infiltration paysagères – les substrats perméables minéraux et chaussées réservoirs sont inclus s’ils ne constituent pas l’essentiel du projet).</w:t>
            </w:r>
          </w:p>
          <w:p w14:paraId="25CFD98A" w14:textId="39F40DBB" w:rsidR="00E95943" w:rsidRPr="009F6344" w:rsidRDefault="00C95D10" w:rsidP="009F6344">
            <w:pPr>
              <w:pStyle w:val="Paragraphedeliste"/>
              <w:tabs>
                <w:tab w:val="left" w:pos="1276"/>
                <w:tab w:val="center" w:pos="4762"/>
              </w:tabs>
              <w:ind w:left="408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Les dépenses d’é</w:t>
            </w:r>
            <w:r w:rsidR="00E95943" w:rsidRPr="00E95943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 xml:space="preserve">tudes opérationnelles </w:t>
            </w:r>
            <w:r w:rsidRPr="009F6344">
              <w:rPr>
                <w:rFonts w:ascii="Arial" w:hAnsi="Arial" w:cs="Arial"/>
                <w:bCs/>
                <w:i/>
                <w:sz w:val="18"/>
                <w:szCs w:val="18"/>
              </w:rPr>
              <w:t>et de maîtrise d’œuvre associées aux travaux sont éligibles</w:t>
            </w:r>
            <w:r w:rsidR="009F6344" w:rsidRPr="009F6344">
              <w:rPr>
                <w:rFonts w:ascii="Arial" w:hAnsi="Arial" w:cs="Arial"/>
                <w:bCs/>
                <w:i/>
                <w:sz w:val="18"/>
                <w:szCs w:val="18"/>
              </w:rPr>
              <w:t>.</w:t>
            </w:r>
          </w:p>
          <w:p w14:paraId="780B1E66" w14:textId="0F4F7E2C" w:rsidR="003C72EC" w:rsidRPr="006A5E1C" w:rsidRDefault="003C72EC" w:rsidP="009F6344">
            <w:pPr>
              <w:pStyle w:val="Paragraphedeliste"/>
              <w:tabs>
                <w:tab w:val="left" w:pos="1276"/>
                <w:tab w:val="center" w:pos="4762"/>
              </w:tabs>
              <w:ind w:left="408"/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  <w:r w:rsidRPr="009F6344">
              <w:rPr>
                <w:rFonts w:ascii="Arial" w:hAnsi="Arial" w:cs="Arial"/>
                <w:bCs/>
                <w:i/>
                <w:sz w:val="18"/>
                <w:szCs w:val="18"/>
              </w:rPr>
              <w:tab/>
            </w:r>
          </w:p>
        </w:tc>
      </w:tr>
      <w:tr w:rsidR="006A5E1C" w:rsidRPr="003C72EC" w14:paraId="24B734F1" w14:textId="77777777" w:rsidTr="003C72EC">
        <w:tc>
          <w:tcPr>
            <w:tcW w:w="4815" w:type="dxa"/>
          </w:tcPr>
          <w:p w14:paraId="754F623F" w14:textId="2A017C21" w:rsidR="006A5E1C" w:rsidRDefault="006A5E1C" w:rsidP="003C72EC">
            <w:pPr>
              <w:tabs>
                <w:tab w:val="left" w:pos="1276"/>
                <w:tab w:val="center" w:pos="4762"/>
              </w:tabs>
              <w:jc w:val="center"/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(Critères d’éligibilité)</w:t>
            </w:r>
          </w:p>
          <w:p w14:paraId="5E8770FB" w14:textId="252ED0A6" w:rsidR="006A5E1C" w:rsidRDefault="006A5E1C" w:rsidP="003C72EC">
            <w:pPr>
              <w:tabs>
                <w:tab w:val="left" w:pos="1276"/>
                <w:tab w:val="center" w:pos="4762"/>
              </w:tabs>
              <w:jc w:val="center"/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(…)</w:t>
            </w:r>
          </w:p>
          <w:p w14:paraId="100730E5" w14:textId="30D2C43A" w:rsidR="006A5E1C" w:rsidRPr="006A5E1C" w:rsidRDefault="006A5E1C" w:rsidP="006A5E1C">
            <w:pPr>
              <w:pStyle w:val="Paragraphedeliste"/>
              <w:numPr>
                <w:ilvl w:val="0"/>
                <w:numId w:val="25"/>
              </w:numPr>
              <w:tabs>
                <w:tab w:val="left" w:pos="1276"/>
                <w:tab w:val="center" w:pos="4762"/>
              </w:tabs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La mise en place de surfaces végétalisées en milieu urbain ne peut se réaliser sans mettre en œuvre une gestion durable des eaux pluviales par infiltration à la parcelle. Un minimum de réduction de 50% de la surface imperméable initiale est visé.</w:t>
            </w:r>
          </w:p>
          <w:p w14:paraId="5DCC04B4" w14:textId="1C4A9C00" w:rsidR="006A5E1C" w:rsidRDefault="006A5E1C" w:rsidP="003C72EC">
            <w:pPr>
              <w:tabs>
                <w:tab w:val="left" w:pos="1276"/>
                <w:tab w:val="center" w:pos="4762"/>
              </w:tabs>
              <w:jc w:val="center"/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4961" w:type="dxa"/>
          </w:tcPr>
          <w:p w14:paraId="5F65C720" w14:textId="77777777" w:rsidR="006A5E1C" w:rsidRDefault="006A5E1C" w:rsidP="006A5E1C">
            <w:pPr>
              <w:tabs>
                <w:tab w:val="left" w:pos="1276"/>
                <w:tab w:val="center" w:pos="4762"/>
              </w:tabs>
              <w:jc w:val="center"/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(Critères d’éligibilité)</w:t>
            </w:r>
          </w:p>
          <w:p w14:paraId="5E94FCFA" w14:textId="77777777" w:rsidR="006A5E1C" w:rsidRDefault="006A5E1C" w:rsidP="006A5E1C">
            <w:pPr>
              <w:tabs>
                <w:tab w:val="left" w:pos="1276"/>
                <w:tab w:val="center" w:pos="4762"/>
              </w:tabs>
              <w:jc w:val="center"/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(…)</w:t>
            </w:r>
          </w:p>
          <w:p w14:paraId="14B9E14F" w14:textId="4F6728DF" w:rsidR="006A5E1C" w:rsidRPr="009F6344" w:rsidRDefault="006A5E1C" w:rsidP="006A5E1C">
            <w:pPr>
              <w:pStyle w:val="Paragraphedeliste"/>
              <w:numPr>
                <w:ilvl w:val="0"/>
                <w:numId w:val="25"/>
              </w:numPr>
              <w:tabs>
                <w:tab w:val="left" w:pos="1276"/>
                <w:tab w:val="center" w:pos="4762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 xml:space="preserve">La mise en place de surfaces végétalisées en milieu urbain ne peut se réaliser sans mettre en œuvre une gestion durable des eaux pluviales par infiltration à la parcelle. Un minimum de réduction de 50% de la surface imperméable initiale </w:t>
            </w:r>
            <w:r w:rsidRPr="009F6344">
              <w:rPr>
                <w:rFonts w:ascii="Arial" w:hAnsi="Arial" w:cs="Arial"/>
                <w:bCs/>
                <w:i/>
                <w:sz w:val="18"/>
                <w:szCs w:val="18"/>
              </w:rPr>
              <w:t>de l’emprise totale du projet est visé</w:t>
            </w:r>
            <w:r w:rsidR="009F6344" w:rsidRPr="009F6344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 w:rsidR="007C47F4" w:rsidRPr="009F6344">
              <w:rPr>
                <w:rFonts w:ascii="Arial" w:hAnsi="Arial" w:cs="Arial"/>
                <w:bCs/>
                <w:i/>
                <w:sz w:val="18"/>
                <w:szCs w:val="18"/>
              </w:rPr>
              <w:t>(</w:t>
            </w:r>
            <w:r w:rsidRPr="009F6344">
              <w:rPr>
                <w:rFonts w:ascii="Arial" w:hAnsi="Arial" w:cs="Arial"/>
                <w:bCs/>
                <w:i/>
                <w:sz w:val="18"/>
                <w:szCs w:val="18"/>
              </w:rPr>
              <w:t>afin de tenir compte des éventuelles surfaces imperméabilisées dans le même projet</w:t>
            </w:r>
            <w:r w:rsidR="007C47F4" w:rsidRPr="009F6344">
              <w:rPr>
                <w:rFonts w:ascii="Arial" w:hAnsi="Arial" w:cs="Arial"/>
                <w:bCs/>
                <w:i/>
                <w:sz w:val="18"/>
                <w:szCs w:val="18"/>
              </w:rPr>
              <w:t>)</w:t>
            </w:r>
            <w:r w:rsidRPr="009F6344">
              <w:rPr>
                <w:rFonts w:ascii="Arial" w:hAnsi="Arial" w:cs="Arial"/>
                <w:bCs/>
                <w:i/>
                <w:sz w:val="18"/>
                <w:szCs w:val="18"/>
              </w:rPr>
              <w:t>.</w:t>
            </w:r>
          </w:p>
          <w:p w14:paraId="76DD5949" w14:textId="77777777" w:rsidR="006A5E1C" w:rsidRDefault="006A5E1C" w:rsidP="00E95943">
            <w:pPr>
              <w:tabs>
                <w:tab w:val="left" w:pos="1276"/>
                <w:tab w:val="center" w:pos="4762"/>
              </w:tabs>
              <w:jc w:val="center"/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</w:p>
        </w:tc>
      </w:tr>
    </w:tbl>
    <w:p w14:paraId="7C846635" w14:textId="77777777" w:rsidR="003C72EC" w:rsidRPr="003C72EC" w:rsidRDefault="003C72EC" w:rsidP="003C72EC">
      <w:pPr>
        <w:tabs>
          <w:tab w:val="left" w:pos="1276"/>
          <w:tab w:val="center" w:pos="4762"/>
        </w:tabs>
        <w:jc w:val="center"/>
        <w:rPr>
          <w:rFonts w:ascii="Arial" w:hAnsi="Arial" w:cs="Arial"/>
          <w:b/>
          <w:bCs/>
          <w:i/>
          <w:color w:val="000000" w:themeColor="text1"/>
          <w:sz w:val="18"/>
          <w:szCs w:val="18"/>
        </w:rPr>
      </w:pPr>
    </w:p>
    <w:p w14:paraId="7E51F27D" w14:textId="77777777" w:rsidR="003C72EC" w:rsidRPr="003C72EC" w:rsidRDefault="003C72EC" w:rsidP="003C72EC">
      <w:pPr>
        <w:tabs>
          <w:tab w:val="left" w:pos="1276"/>
          <w:tab w:val="center" w:pos="4762"/>
        </w:tabs>
        <w:jc w:val="both"/>
        <w:rPr>
          <w:rFonts w:ascii="Arial" w:hAnsi="Arial" w:cs="Arial"/>
          <w:b/>
          <w:bCs/>
          <w:i/>
          <w:color w:val="000000" w:themeColor="text1"/>
          <w:sz w:val="18"/>
          <w:szCs w:val="18"/>
        </w:rPr>
      </w:pPr>
      <w:r w:rsidRPr="003C72EC">
        <w:rPr>
          <w:rFonts w:ascii="Arial" w:hAnsi="Arial" w:cs="Arial"/>
          <w:b/>
          <w:bCs/>
          <w:i/>
          <w:color w:val="000000" w:themeColor="text1"/>
          <w:sz w:val="18"/>
          <w:szCs w:val="18"/>
          <w:u w:val="single"/>
        </w:rPr>
        <w:t>Commentaires et motivation</w:t>
      </w:r>
      <w:r w:rsidRPr="003C72EC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 :  </w:t>
      </w:r>
    </w:p>
    <w:p w14:paraId="3D4B2D64" w14:textId="78E2D1DF" w:rsidR="003C72EC" w:rsidRDefault="00F05961" w:rsidP="00F05961">
      <w:pPr>
        <w:tabs>
          <w:tab w:val="left" w:pos="1276"/>
          <w:tab w:val="center" w:pos="4762"/>
        </w:tabs>
        <w:jc w:val="both"/>
        <w:rPr>
          <w:rFonts w:ascii="Arial" w:hAnsi="Arial" w:cs="Arial"/>
          <w:b/>
          <w:bCs/>
          <w:i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Sans précision sur les études, le </w:t>
      </w:r>
      <w:proofErr w:type="spellStart"/>
      <w:r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Feder</w:t>
      </w:r>
      <w:proofErr w:type="spellEnd"/>
      <w:r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 pourrait financer des études opérationnelles qui n’atteindraient pas les critères d’éligibilité du projet en phase travaux, ou qui ne seraient pas suivies de travaux.</w:t>
      </w:r>
    </w:p>
    <w:p w14:paraId="309A3F30" w14:textId="05D52BFE" w:rsidR="00F05961" w:rsidRPr="003C72EC" w:rsidRDefault="00F05961" w:rsidP="00F05961">
      <w:pPr>
        <w:tabs>
          <w:tab w:val="left" w:pos="1276"/>
          <w:tab w:val="center" w:pos="4762"/>
        </w:tabs>
        <w:jc w:val="both"/>
        <w:rPr>
          <w:rFonts w:ascii="Arial" w:hAnsi="Arial" w:cs="Arial"/>
          <w:b/>
          <w:bCs/>
          <w:i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Sans précision sur le calcul des surfaces dés-imperméabilisées à l’échelle de l’emprise totale d’un projet de travaux, le </w:t>
      </w:r>
      <w:proofErr w:type="spellStart"/>
      <w:r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Feder</w:t>
      </w:r>
      <w:proofErr w:type="spellEnd"/>
      <w:r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 pourrait accompagner des opérations de travaux qui généreraient plus d’imperméabilisation que de dés-imperméabilisation, ou des opérations dont les surfaces dés-imperméabilisées n’atteindraient pas 50% de la surface imperméable initiale</w:t>
      </w:r>
      <w:r w:rsidR="0054024C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,</w:t>
      </w:r>
      <w:r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 en tenant compte des éventuelles </w:t>
      </w:r>
      <w:r w:rsidR="00FA55B4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nouvelles </w:t>
      </w:r>
      <w:r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surfaces imperméabilisées</w:t>
      </w:r>
      <w:r w:rsidR="0054024C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 sur la même opération de travaux</w:t>
      </w:r>
      <w:r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.</w:t>
      </w:r>
    </w:p>
    <w:p w14:paraId="7B5E82A2" w14:textId="77777777" w:rsidR="003C72EC" w:rsidRPr="003C72EC" w:rsidRDefault="003C72EC" w:rsidP="003C72EC">
      <w:pPr>
        <w:tabs>
          <w:tab w:val="left" w:pos="1276"/>
          <w:tab w:val="center" w:pos="4762"/>
        </w:tabs>
        <w:jc w:val="center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sectPr w:rsidR="003C72EC" w:rsidRPr="003C72EC" w:rsidSect="004E789F">
      <w:headerReference w:type="default" r:id="rId7"/>
      <w:footerReference w:type="default" r:id="rId8"/>
      <w:pgSz w:w="11906" w:h="16838" w:code="9"/>
      <w:pgMar w:top="851" w:right="851" w:bottom="737" w:left="851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9A0E9" w14:textId="77777777" w:rsidR="00F80ECC" w:rsidRDefault="00F80ECC" w:rsidP="00F80ECC">
      <w:pPr>
        <w:spacing w:after="0" w:line="240" w:lineRule="auto"/>
      </w:pPr>
      <w:r>
        <w:separator/>
      </w:r>
    </w:p>
  </w:endnote>
  <w:endnote w:type="continuationSeparator" w:id="0">
    <w:p w14:paraId="5748D42E" w14:textId="77777777" w:rsidR="00F80ECC" w:rsidRDefault="00F80ECC" w:rsidP="00F80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IN-Regular">
    <w:charset w:val="00"/>
    <w:family w:val="auto"/>
    <w:pitch w:val="variable"/>
    <w:sig w:usb0="A00000AF" w:usb1="40002048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gras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altName w:val="EU Albertina"/>
    <w:charset w:val="00"/>
    <w:family w:val="roman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C36A9" w14:textId="77777777" w:rsidR="004D012B" w:rsidRDefault="004D012B">
    <w:pPr>
      <w:pStyle w:val="Pieddepage"/>
    </w:pPr>
  </w:p>
  <w:p w14:paraId="6A53C3A2" w14:textId="77777777" w:rsidR="004D012B" w:rsidRDefault="004D012B" w:rsidP="004D012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E736D" w14:textId="77777777" w:rsidR="00F80ECC" w:rsidRDefault="00F80ECC" w:rsidP="00F80ECC">
      <w:pPr>
        <w:spacing w:after="0" w:line="240" w:lineRule="auto"/>
      </w:pPr>
      <w:r>
        <w:separator/>
      </w:r>
    </w:p>
  </w:footnote>
  <w:footnote w:type="continuationSeparator" w:id="0">
    <w:p w14:paraId="4152167A" w14:textId="77777777" w:rsidR="00F80ECC" w:rsidRDefault="00F80ECC" w:rsidP="00F80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E72A5" w14:textId="150183B7" w:rsidR="00131D4A" w:rsidRDefault="00131D4A" w:rsidP="00F80ECC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1F09"/>
    <w:multiLevelType w:val="hybridMultilevel"/>
    <w:tmpl w:val="C9320B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C7214"/>
    <w:multiLevelType w:val="hybridMultilevel"/>
    <w:tmpl w:val="70CA89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92A20"/>
    <w:multiLevelType w:val="hybridMultilevel"/>
    <w:tmpl w:val="D2F47094"/>
    <w:lvl w:ilvl="0" w:tplc="F850C7D0"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ascii="DIN-Regular" w:eastAsia="Times New Roman" w:hAnsi="DIN-Regular" w:cs="Calibri" w:hint="default"/>
      </w:rPr>
    </w:lvl>
    <w:lvl w:ilvl="1" w:tplc="040C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89F5DCE"/>
    <w:multiLevelType w:val="hybridMultilevel"/>
    <w:tmpl w:val="069010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21F8B"/>
    <w:multiLevelType w:val="hybridMultilevel"/>
    <w:tmpl w:val="97E6E20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E221F"/>
    <w:multiLevelType w:val="hybridMultilevel"/>
    <w:tmpl w:val="C5DE53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FCC8EE">
      <w:numFmt w:val="bullet"/>
      <w:lvlText w:val="-"/>
      <w:lvlJc w:val="left"/>
      <w:pPr>
        <w:ind w:left="1440" w:hanging="360"/>
      </w:pPr>
      <w:rPr>
        <w:rFonts w:ascii="Arial gras" w:eastAsiaTheme="minorHAnsi" w:hAnsi="Arial gras" w:cs="Arial" w:hint="default"/>
        <w:b/>
        <w:sz w:val="2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757B0"/>
    <w:multiLevelType w:val="hybridMultilevel"/>
    <w:tmpl w:val="8FDA2F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07EEF"/>
    <w:multiLevelType w:val="hybridMultilevel"/>
    <w:tmpl w:val="E66687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64222"/>
    <w:multiLevelType w:val="hybridMultilevel"/>
    <w:tmpl w:val="5D725FBE"/>
    <w:lvl w:ilvl="0" w:tplc="E7E4AE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A3911"/>
    <w:multiLevelType w:val="hybridMultilevel"/>
    <w:tmpl w:val="DB864768"/>
    <w:lvl w:ilvl="0" w:tplc="F850C7D0">
      <w:numFmt w:val="bullet"/>
      <w:lvlText w:val="-"/>
      <w:lvlJc w:val="left"/>
      <w:pPr>
        <w:tabs>
          <w:tab w:val="num" w:pos="987"/>
        </w:tabs>
        <w:ind w:left="987" w:hanging="360"/>
      </w:pPr>
      <w:rPr>
        <w:rFonts w:ascii="DIN-Regular" w:eastAsia="Times New Roman" w:hAnsi="DIN-Regular" w:cs="Calibri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3D81168"/>
    <w:multiLevelType w:val="hybridMultilevel"/>
    <w:tmpl w:val="0742D0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F0523"/>
    <w:multiLevelType w:val="hybridMultilevel"/>
    <w:tmpl w:val="91001D7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34D5A"/>
    <w:multiLevelType w:val="hybridMultilevel"/>
    <w:tmpl w:val="6CAA22A2"/>
    <w:lvl w:ilvl="0" w:tplc="E7E4AE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D74AAC"/>
    <w:multiLevelType w:val="hybridMultilevel"/>
    <w:tmpl w:val="D5906EA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21B47"/>
    <w:multiLevelType w:val="hybridMultilevel"/>
    <w:tmpl w:val="4AAE52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6045CC"/>
    <w:multiLevelType w:val="hybridMultilevel"/>
    <w:tmpl w:val="C6400C34"/>
    <w:lvl w:ilvl="0" w:tplc="F850C7D0"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ascii="DIN-Regular" w:eastAsia="Times New Roman" w:hAnsi="DIN-Regular" w:cs="Calibri" w:hint="default"/>
      </w:rPr>
    </w:lvl>
    <w:lvl w:ilvl="1" w:tplc="F850C7D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DIN-Regular" w:eastAsia="Times New Roman" w:hAnsi="DIN-Regular" w:cs="Calibri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4A6E1DA5"/>
    <w:multiLevelType w:val="hybridMultilevel"/>
    <w:tmpl w:val="DEB20892"/>
    <w:lvl w:ilvl="0" w:tplc="855ED098">
      <w:numFmt w:val="bullet"/>
      <w:lvlText w:val="-"/>
      <w:lvlJc w:val="left"/>
      <w:pPr>
        <w:ind w:left="408" w:hanging="360"/>
      </w:pPr>
      <w:rPr>
        <w:rFonts w:ascii="EUAlbertina" w:eastAsiaTheme="minorHAnsi" w:hAnsi="EUAlbertina" w:cs="EUAlbertina" w:hint="default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7" w15:restartNumberingAfterBreak="0">
    <w:nsid w:val="552814F6"/>
    <w:multiLevelType w:val="hybridMultilevel"/>
    <w:tmpl w:val="B2E45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FD5EFD"/>
    <w:multiLevelType w:val="hybridMultilevel"/>
    <w:tmpl w:val="A5A05386"/>
    <w:lvl w:ilvl="0" w:tplc="04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9" w15:restartNumberingAfterBreak="0">
    <w:nsid w:val="69524ECE"/>
    <w:multiLevelType w:val="hybridMultilevel"/>
    <w:tmpl w:val="DA0EC2BC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CBB239E"/>
    <w:multiLevelType w:val="hybridMultilevel"/>
    <w:tmpl w:val="C75CA3D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BC0C4A"/>
    <w:multiLevelType w:val="hybridMultilevel"/>
    <w:tmpl w:val="59EAFBB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38795F"/>
    <w:multiLevelType w:val="hybridMultilevel"/>
    <w:tmpl w:val="EB5CD4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573F6D"/>
    <w:multiLevelType w:val="hybridMultilevel"/>
    <w:tmpl w:val="D8EA4A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5A6FAB"/>
    <w:multiLevelType w:val="hybridMultilevel"/>
    <w:tmpl w:val="88C0A5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D54E9B"/>
    <w:multiLevelType w:val="hybridMultilevel"/>
    <w:tmpl w:val="E14E2A8C"/>
    <w:lvl w:ilvl="0" w:tplc="B5BEA6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21"/>
  </w:num>
  <w:num w:numId="4">
    <w:abstractNumId w:val="12"/>
  </w:num>
  <w:num w:numId="5">
    <w:abstractNumId w:val="5"/>
  </w:num>
  <w:num w:numId="6">
    <w:abstractNumId w:val="6"/>
  </w:num>
  <w:num w:numId="7">
    <w:abstractNumId w:val="0"/>
  </w:num>
  <w:num w:numId="8">
    <w:abstractNumId w:val="1"/>
  </w:num>
  <w:num w:numId="9">
    <w:abstractNumId w:val="9"/>
  </w:num>
  <w:num w:numId="10">
    <w:abstractNumId w:val="15"/>
  </w:num>
  <w:num w:numId="11">
    <w:abstractNumId w:val="19"/>
  </w:num>
  <w:num w:numId="12">
    <w:abstractNumId w:val="7"/>
  </w:num>
  <w:num w:numId="13">
    <w:abstractNumId w:val="2"/>
  </w:num>
  <w:num w:numId="14">
    <w:abstractNumId w:val="23"/>
  </w:num>
  <w:num w:numId="15">
    <w:abstractNumId w:val="17"/>
  </w:num>
  <w:num w:numId="16">
    <w:abstractNumId w:val="20"/>
  </w:num>
  <w:num w:numId="17">
    <w:abstractNumId w:val="4"/>
  </w:num>
  <w:num w:numId="18">
    <w:abstractNumId w:val="11"/>
  </w:num>
  <w:num w:numId="19">
    <w:abstractNumId w:val="13"/>
  </w:num>
  <w:num w:numId="20">
    <w:abstractNumId w:val="14"/>
  </w:num>
  <w:num w:numId="21">
    <w:abstractNumId w:val="22"/>
  </w:num>
  <w:num w:numId="22">
    <w:abstractNumId w:val="24"/>
  </w:num>
  <w:num w:numId="23">
    <w:abstractNumId w:val="10"/>
  </w:num>
  <w:num w:numId="24">
    <w:abstractNumId w:val="3"/>
  </w:num>
  <w:num w:numId="25">
    <w:abstractNumId w:val="16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8D"/>
    <w:rsid w:val="000352B6"/>
    <w:rsid w:val="00045390"/>
    <w:rsid w:val="00060F29"/>
    <w:rsid w:val="00062E91"/>
    <w:rsid w:val="00066AA1"/>
    <w:rsid w:val="00095F90"/>
    <w:rsid w:val="000A027C"/>
    <w:rsid w:val="000A1775"/>
    <w:rsid w:val="000A41ED"/>
    <w:rsid w:val="000B1A34"/>
    <w:rsid w:val="000E760E"/>
    <w:rsid w:val="000E7E2D"/>
    <w:rsid w:val="000F4CDC"/>
    <w:rsid w:val="0010294E"/>
    <w:rsid w:val="0011319C"/>
    <w:rsid w:val="00131D4A"/>
    <w:rsid w:val="00150F2A"/>
    <w:rsid w:val="00172962"/>
    <w:rsid w:val="00184090"/>
    <w:rsid w:val="00190B1D"/>
    <w:rsid w:val="001A2108"/>
    <w:rsid w:val="001A7C17"/>
    <w:rsid w:val="001B0ED6"/>
    <w:rsid w:val="001B41EC"/>
    <w:rsid w:val="001C0CAA"/>
    <w:rsid w:val="001C4243"/>
    <w:rsid w:val="001D4892"/>
    <w:rsid w:val="001D643C"/>
    <w:rsid w:val="00227AE9"/>
    <w:rsid w:val="00240932"/>
    <w:rsid w:val="00244610"/>
    <w:rsid w:val="00254239"/>
    <w:rsid w:val="00255EFD"/>
    <w:rsid w:val="00257D7A"/>
    <w:rsid w:val="00273699"/>
    <w:rsid w:val="0029278D"/>
    <w:rsid w:val="002956EA"/>
    <w:rsid w:val="002A769C"/>
    <w:rsid w:val="002C05DB"/>
    <w:rsid w:val="00315B26"/>
    <w:rsid w:val="00336CD4"/>
    <w:rsid w:val="00373E03"/>
    <w:rsid w:val="00387B42"/>
    <w:rsid w:val="003B7254"/>
    <w:rsid w:val="003C4004"/>
    <w:rsid w:val="003C72EC"/>
    <w:rsid w:val="003F7D4A"/>
    <w:rsid w:val="00406C8D"/>
    <w:rsid w:val="00424053"/>
    <w:rsid w:val="004342AB"/>
    <w:rsid w:val="004D012B"/>
    <w:rsid w:val="004D18FB"/>
    <w:rsid w:val="004D3984"/>
    <w:rsid w:val="004E4666"/>
    <w:rsid w:val="004E6450"/>
    <w:rsid w:val="004E76B6"/>
    <w:rsid w:val="004E789F"/>
    <w:rsid w:val="00515039"/>
    <w:rsid w:val="00521226"/>
    <w:rsid w:val="0054024C"/>
    <w:rsid w:val="0054162B"/>
    <w:rsid w:val="00553E6D"/>
    <w:rsid w:val="00560554"/>
    <w:rsid w:val="005728C9"/>
    <w:rsid w:val="00590BBE"/>
    <w:rsid w:val="005B256F"/>
    <w:rsid w:val="005E105F"/>
    <w:rsid w:val="0061262E"/>
    <w:rsid w:val="00632DEF"/>
    <w:rsid w:val="00640863"/>
    <w:rsid w:val="0064501E"/>
    <w:rsid w:val="006A5E1C"/>
    <w:rsid w:val="006D3139"/>
    <w:rsid w:val="006E2576"/>
    <w:rsid w:val="007039CB"/>
    <w:rsid w:val="007159CB"/>
    <w:rsid w:val="00726526"/>
    <w:rsid w:val="00736B01"/>
    <w:rsid w:val="00740470"/>
    <w:rsid w:val="00754324"/>
    <w:rsid w:val="0075607A"/>
    <w:rsid w:val="00763481"/>
    <w:rsid w:val="007639FA"/>
    <w:rsid w:val="007715A4"/>
    <w:rsid w:val="007B10CF"/>
    <w:rsid w:val="007B5735"/>
    <w:rsid w:val="007C0EFF"/>
    <w:rsid w:val="007C47F4"/>
    <w:rsid w:val="007E1FFD"/>
    <w:rsid w:val="00804B0D"/>
    <w:rsid w:val="00805645"/>
    <w:rsid w:val="00843308"/>
    <w:rsid w:val="00847040"/>
    <w:rsid w:val="00855673"/>
    <w:rsid w:val="008613F2"/>
    <w:rsid w:val="00887883"/>
    <w:rsid w:val="008944F5"/>
    <w:rsid w:val="0090063A"/>
    <w:rsid w:val="00926018"/>
    <w:rsid w:val="00937089"/>
    <w:rsid w:val="00975353"/>
    <w:rsid w:val="009B74E3"/>
    <w:rsid w:val="009C2F34"/>
    <w:rsid w:val="009D01D3"/>
    <w:rsid w:val="009D086C"/>
    <w:rsid w:val="009E1963"/>
    <w:rsid w:val="009F6344"/>
    <w:rsid w:val="00A42B2E"/>
    <w:rsid w:val="00A83496"/>
    <w:rsid w:val="00A871EB"/>
    <w:rsid w:val="00A928CF"/>
    <w:rsid w:val="00AB5925"/>
    <w:rsid w:val="00AE543F"/>
    <w:rsid w:val="00B141BC"/>
    <w:rsid w:val="00B20F7B"/>
    <w:rsid w:val="00B25D31"/>
    <w:rsid w:val="00B30B4C"/>
    <w:rsid w:val="00B351D6"/>
    <w:rsid w:val="00B35A1A"/>
    <w:rsid w:val="00B51BCA"/>
    <w:rsid w:val="00B83EB5"/>
    <w:rsid w:val="00B9360C"/>
    <w:rsid w:val="00B936B4"/>
    <w:rsid w:val="00BE5CA9"/>
    <w:rsid w:val="00C17115"/>
    <w:rsid w:val="00C43C01"/>
    <w:rsid w:val="00C51C35"/>
    <w:rsid w:val="00C571A7"/>
    <w:rsid w:val="00C71897"/>
    <w:rsid w:val="00C95D10"/>
    <w:rsid w:val="00CB3F56"/>
    <w:rsid w:val="00CD33AE"/>
    <w:rsid w:val="00CF0A7A"/>
    <w:rsid w:val="00CF3378"/>
    <w:rsid w:val="00D10495"/>
    <w:rsid w:val="00D10571"/>
    <w:rsid w:val="00D15B1F"/>
    <w:rsid w:val="00D22DD5"/>
    <w:rsid w:val="00D23799"/>
    <w:rsid w:val="00D460C3"/>
    <w:rsid w:val="00D7501E"/>
    <w:rsid w:val="00D83DD2"/>
    <w:rsid w:val="00DB2AC3"/>
    <w:rsid w:val="00DC030D"/>
    <w:rsid w:val="00DC43DD"/>
    <w:rsid w:val="00DC732A"/>
    <w:rsid w:val="00DD4C44"/>
    <w:rsid w:val="00E35F98"/>
    <w:rsid w:val="00E81ECE"/>
    <w:rsid w:val="00E95943"/>
    <w:rsid w:val="00EC17ED"/>
    <w:rsid w:val="00EC2934"/>
    <w:rsid w:val="00F00D1E"/>
    <w:rsid w:val="00F05961"/>
    <w:rsid w:val="00F11138"/>
    <w:rsid w:val="00F16791"/>
    <w:rsid w:val="00F222E0"/>
    <w:rsid w:val="00F45AC3"/>
    <w:rsid w:val="00F5585C"/>
    <w:rsid w:val="00F80ECC"/>
    <w:rsid w:val="00F90548"/>
    <w:rsid w:val="00FA55B4"/>
    <w:rsid w:val="00FB479C"/>
    <w:rsid w:val="00FC5F39"/>
    <w:rsid w:val="00FC6B6B"/>
    <w:rsid w:val="00FD0597"/>
    <w:rsid w:val="00FE73E9"/>
    <w:rsid w:val="00FF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72A26945"/>
  <w15:chartTrackingRefBased/>
  <w15:docId w15:val="{CE4CC3DD-5D24-4BB7-AD6D-6A9F0A1D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39C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B1A34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B1A34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80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0ECC"/>
  </w:style>
  <w:style w:type="paragraph" w:styleId="Pieddepage">
    <w:name w:val="footer"/>
    <w:basedOn w:val="Normal"/>
    <w:link w:val="PieddepageCar"/>
    <w:uiPriority w:val="99"/>
    <w:unhideWhenUsed/>
    <w:rsid w:val="00F80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0ECC"/>
  </w:style>
  <w:style w:type="character" w:styleId="Marquedecommentaire">
    <w:name w:val="annotation reference"/>
    <w:basedOn w:val="Policepardfaut"/>
    <w:uiPriority w:val="99"/>
    <w:semiHidden/>
    <w:unhideWhenUsed/>
    <w:rsid w:val="00FD059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D059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D059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D05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D059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0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0597"/>
    <w:rPr>
      <w:rFonts w:ascii="Segoe UI" w:hAnsi="Segoe UI" w:cs="Segoe UI"/>
      <w:sz w:val="18"/>
      <w:szCs w:val="18"/>
    </w:rPr>
  </w:style>
  <w:style w:type="character" w:styleId="Accentuation">
    <w:name w:val="Emphasis"/>
    <w:basedOn w:val="Policepardfaut"/>
    <w:uiPriority w:val="20"/>
    <w:qFormat/>
    <w:rsid w:val="00A83496"/>
    <w:rPr>
      <w:b/>
      <w:bCs/>
      <w:i w:val="0"/>
      <w:iCs w:val="0"/>
    </w:rPr>
  </w:style>
  <w:style w:type="table" w:styleId="Grilledutableau">
    <w:name w:val="Table Grid"/>
    <w:basedOn w:val="TableauNormal"/>
    <w:uiPriority w:val="39"/>
    <w:rsid w:val="006E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E2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TableauGrille4-Accentuation6">
    <w:name w:val="Grid Table 4 Accent 6"/>
    <w:basedOn w:val="TableauNormal"/>
    <w:uiPriority w:val="49"/>
    <w:rsid w:val="001A210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CM1">
    <w:name w:val="CM1"/>
    <w:basedOn w:val="Normal"/>
    <w:next w:val="Normal"/>
    <w:uiPriority w:val="99"/>
    <w:rsid w:val="0061262E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61262E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DD4C44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7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Hauts-de-France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Rémi VALYNSEELE</dc:creator>
  <cp:keywords/>
  <dc:description/>
  <cp:lastModifiedBy>Margot MOLENDA-PRUVOST</cp:lastModifiedBy>
  <cp:revision>5</cp:revision>
  <cp:lastPrinted>2018-01-26T14:33:00Z</cp:lastPrinted>
  <dcterms:created xsi:type="dcterms:W3CDTF">2023-11-02T17:35:00Z</dcterms:created>
  <dcterms:modified xsi:type="dcterms:W3CDTF">2023-11-20T08:11:00Z</dcterms:modified>
</cp:coreProperties>
</file>