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2B" w:rsidRDefault="007C2F2B" w:rsidP="007C2F2B">
      <w:pPr>
        <w:tabs>
          <w:tab w:val="left" w:pos="1956"/>
        </w:tabs>
        <w:autoSpaceDE w:val="0"/>
        <w:autoSpaceDN w:val="0"/>
        <w:adjustRightInd w:val="0"/>
        <w:rPr>
          <w:rFonts w:eastAsia="MS Mincho"/>
        </w:rPr>
      </w:pPr>
      <w:r>
        <w:rPr>
          <w:rFonts w:eastAsia="MS Mincho"/>
        </w:rPr>
        <w:tab/>
      </w:r>
    </w:p>
    <w:tbl>
      <w:tblPr>
        <w:tblW w:w="96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484"/>
      </w:tblGrid>
      <w:tr w:rsidR="007C2F2B" w:rsidRPr="00E85FE6" w:rsidTr="002D5476">
        <w:tc>
          <w:tcPr>
            <w:tcW w:w="9611" w:type="dxa"/>
            <w:gridSpan w:val="2"/>
            <w:tcBorders>
              <w:bottom w:val="single" w:sz="4" w:space="0" w:color="auto"/>
            </w:tcBorders>
            <w:shd w:val="clear" w:color="auto" w:fill="A51B77"/>
          </w:tcPr>
          <w:p w:rsidR="007C2F2B" w:rsidRPr="00E85FE6" w:rsidRDefault="007C2F2B" w:rsidP="00C23141">
            <w:pPr>
              <w:autoSpaceDE w:val="0"/>
              <w:autoSpaceDN w:val="0"/>
              <w:adjustRightInd w:val="0"/>
              <w:rPr>
                <w:rFonts w:ascii="Calibri" w:hAnsi="Calibri"/>
                <w:b/>
                <w:bCs/>
                <w:caps/>
                <w:color w:val="FFFFFF"/>
                <w:sz w:val="32"/>
                <w:szCs w:val="32"/>
              </w:rPr>
            </w:pPr>
            <w:r w:rsidRPr="00A70D60">
              <w:rPr>
                <w:rFonts w:eastAsia="MS Mincho"/>
              </w:rPr>
              <w:br w:type="page"/>
            </w:r>
            <w:r>
              <w:rPr>
                <w:rFonts w:eastAsia="MS Mincho"/>
                <w:b/>
                <w:bCs/>
                <w:caps/>
                <w:color w:val="FFFFFF"/>
              </w:rPr>
              <w:t xml:space="preserve">AXE PRIORITAIRE </w:t>
            </w:r>
            <w:r w:rsidRPr="00E85FE6">
              <w:rPr>
                <w:rFonts w:eastAsia="MS Mincho"/>
                <w:b/>
                <w:bCs/>
                <w:caps/>
                <w:color w:val="FFFFFF"/>
              </w:rPr>
              <w:t xml:space="preserve"> : </w:t>
            </w:r>
            <w:r w:rsidR="00C23141">
              <w:rPr>
                <w:rFonts w:eastAsia="MS Mincho"/>
                <w:b/>
                <w:bCs/>
                <w:caps/>
                <w:color w:val="FFFFFF"/>
              </w:rPr>
              <w:t xml:space="preserve">REACT EU </w:t>
            </w:r>
          </w:p>
        </w:tc>
      </w:tr>
      <w:tr w:rsidR="007C2F2B" w:rsidRPr="00E85FE6" w:rsidTr="002D5476">
        <w:tc>
          <w:tcPr>
            <w:tcW w:w="9611" w:type="dxa"/>
            <w:gridSpan w:val="2"/>
            <w:tcBorders>
              <w:bottom w:val="single" w:sz="4" w:space="0" w:color="auto"/>
            </w:tcBorders>
            <w:shd w:val="clear" w:color="auto" w:fill="ED7D31"/>
          </w:tcPr>
          <w:p w:rsidR="007C2F2B" w:rsidRPr="00E85FE6" w:rsidRDefault="007C2F2B" w:rsidP="008F08AA">
            <w:pPr>
              <w:autoSpaceDE w:val="0"/>
              <w:autoSpaceDN w:val="0"/>
              <w:adjustRightInd w:val="0"/>
              <w:rPr>
                <w:b/>
                <w:caps/>
                <w:color w:val="FF6600"/>
              </w:rPr>
            </w:pPr>
            <w:r w:rsidRPr="00E85FE6">
              <w:rPr>
                <w:rFonts w:ascii="Calibri" w:hAnsi="Calibri"/>
                <w:b/>
                <w:bCs/>
                <w:caps/>
                <w:color w:val="FFFFFF"/>
                <w:sz w:val="32"/>
                <w:szCs w:val="32"/>
              </w:rPr>
              <w:t xml:space="preserve"> </w:t>
            </w:r>
            <w:r w:rsidR="00C23141">
              <w:rPr>
                <w:b/>
                <w:bCs/>
                <w:caps/>
                <w:color w:val="FFFFFF"/>
              </w:rPr>
              <w:t xml:space="preserve">MESURE </w:t>
            </w:r>
            <w:r w:rsidR="008F08AA">
              <w:rPr>
                <w:b/>
                <w:bCs/>
                <w:caps/>
                <w:color w:val="FFFFFF"/>
              </w:rPr>
              <w:t>2</w:t>
            </w:r>
            <w:r w:rsidRPr="00E85FE6">
              <w:rPr>
                <w:b/>
                <w:bCs/>
                <w:caps/>
                <w:color w:val="FFFFFF"/>
              </w:rPr>
              <w:t xml:space="preserve"> : </w:t>
            </w:r>
            <w:r w:rsidR="008F08AA">
              <w:rPr>
                <w:b/>
                <w:bCs/>
                <w:caps/>
                <w:color w:val="FFFFFF"/>
              </w:rPr>
              <w:t>RELANCE PAR LA TRANSTION NUMERIQUE</w:t>
            </w:r>
          </w:p>
        </w:tc>
      </w:tr>
      <w:tr w:rsidR="007C2F2B" w:rsidRPr="00E85FE6" w:rsidTr="002D5476">
        <w:tc>
          <w:tcPr>
            <w:tcW w:w="9611" w:type="dxa"/>
            <w:gridSpan w:val="2"/>
            <w:tcBorders>
              <w:top w:val="single" w:sz="4" w:space="0" w:color="auto"/>
              <w:left w:val="single" w:sz="4" w:space="0" w:color="auto"/>
              <w:bottom w:val="single" w:sz="4" w:space="0" w:color="auto"/>
              <w:right w:val="single" w:sz="4" w:space="0" w:color="auto"/>
            </w:tcBorders>
            <w:shd w:val="clear" w:color="auto" w:fill="2F5496"/>
          </w:tcPr>
          <w:p w:rsidR="007C2F2B" w:rsidRPr="00E85FE6" w:rsidRDefault="007C2F2B" w:rsidP="00202DC6">
            <w:pPr>
              <w:autoSpaceDE w:val="0"/>
              <w:autoSpaceDN w:val="0"/>
              <w:adjustRightInd w:val="0"/>
              <w:rPr>
                <w:b/>
                <w:bCs/>
                <w:caps/>
                <w:color w:val="FFFFFF"/>
              </w:rPr>
            </w:pPr>
          </w:p>
        </w:tc>
      </w:tr>
      <w:tr w:rsidR="007C2F2B" w:rsidRPr="00E85FE6" w:rsidTr="002D5476">
        <w:tc>
          <w:tcPr>
            <w:tcW w:w="9611" w:type="dxa"/>
            <w:gridSpan w:val="2"/>
            <w:tcBorders>
              <w:top w:val="single" w:sz="4" w:space="0" w:color="auto"/>
            </w:tcBorders>
            <w:shd w:val="clear" w:color="auto" w:fill="5B9BD5"/>
          </w:tcPr>
          <w:p w:rsidR="007C2F2B" w:rsidRPr="002767CB" w:rsidRDefault="007C2F2B" w:rsidP="00202DC6">
            <w:pPr>
              <w:tabs>
                <w:tab w:val="num" w:pos="720"/>
              </w:tabs>
              <w:autoSpaceDE w:val="0"/>
              <w:autoSpaceDN w:val="0"/>
              <w:adjustRightInd w:val="0"/>
              <w:rPr>
                <w:b/>
                <w:bCs/>
                <w:caps/>
                <w:color w:val="1F3864"/>
              </w:rPr>
            </w:pPr>
          </w:p>
        </w:tc>
      </w:tr>
      <w:tr w:rsidR="007C2F2B" w:rsidRPr="00BC4C34" w:rsidTr="003773F9">
        <w:tc>
          <w:tcPr>
            <w:tcW w:w="2127" w:type="dxa"/>
            <w:shd w:val="clear" w:color="auto" w:fill="auto"/>
          </w:tcPr>
          <w:p w:rsidR="007C2F2B" w:rsidRPr="00431262" w:rsidRDefault="007C2F2B" w:rsidP="00202DC6">
            <w:pPr>
              <w:tabs>
                <w:tab w:val="num" w:pos="720"/>
              </w:tabs>
              <w:autoSpaceDE w:val="0"/>
              <w:autoSpaceDN w:val="0"/>
              <w:adjustRightInd w:val="0"/>
              <w:rPr>
                <w:rFonts w:ascii="Calibri" w:hAnsi="Calibri"/>
                <w:b/>
                <w:color w:val="1F4E79"/>
              </w:rPr>
            </w:pPr>
            <w:r w:rsidRPr="00431262">
              <w:rPr>
                <w:rFonts w:ascii="Calibri" w:hAnsi="Calibri"/>
                <w:b/>
                <w:color w:val="1F4E79"/>
              </w:rPr>
              <w:t>Eléments de diagnostic</w:t>
            </w:r>
          </w:p>
          <w:p w:rsidR="007C2F2B" w:rsidRPr="00431262" w:rsidRDefault="007C2F2B" w:rsidP="00202DC6">
            <w:pPr>
              <w:tabs>
                <w:tab w:val="num" w:pos="720"/>
              </w:tabs>
              <w:autoSpaceDE w:val="0"/>
              <w:autoSpaceDN w:val="0"/>
              <w:adjustRightInd w:val="0"/>
              <w:jc w:val="center"/>
              <w:rPr>
                <w:rFonts w:ascii="Calibri" w:hAnsi="Calibri"/>
                <w:b/>
                <w:color w:val="1F4E79"/>
              </w:rPr>
            </w:pPr>
          </w:p>
          <w:p w:rsidR="007C2F2B" w:rsidRPr="00431262" w:rsidRDefault="007C2F2B" w:rsidP="00202DC6">
            <w:pPr>
              <w:tabs>
                <w:tab w:val="num" w:pos="720"/>
              </w:tabs>
              <w:autoSpaceDE w:val="0"/>
              <w:autoSpaceDN w:val="0"/>
              <w:adjustRightInd w:val="0"/>
              <w:jc w:val="center"/>
              <w:rPr>
                <w:rFonts w:ascii="Calibri" w:hAnsi="Calibri"/>
                <w:b/>
                <w:color w:val="0000FF"/>
              </w:rPr>
            </w:pPr>
          </w:p>
        </w:tc>
        <w:tc>
          <w:tcPr>
            <w:tcW w:w="7484" w:type="dxa"/>
            <w:shd w:val="clear" w:color="auto" w:fill="auto"/>
          </w:tcPr>
          <w:p w:rsidR="0010541D" w:rsidRPr="00976795" w:rsidRDefault="0010541D" w:rsidP="0010541D">
            <w:pPr>
              <w:pStyle w:val="Paragraphedeliste"/>
              <w:numPr>
                <w:ilvl w:val="0"/>
                <w:numId w:val="1"/>
              </w:numPr>
              <w:spacing w:line="259" w:lineRule="auto"/>
              <w:contextualSpacing/>
              <w:jc w:val="both"/>
              <w:rPr>
                <w:rFonts w:ascii="Arial" w:hAnsi="Arial" w:cs="Arial"/>
                <w:sz w:val="20"/>
                <w:szCs w:val="20"/>
              </w:rPr>
            </w:pPr>
            <w:r w:rsidRPr="00976795">
              <w:rPr>
                <w:rFonts w:ascii="Arial" w:hAnsi="Arial" w:cs="Arial"/>
                <w:sz w:val="20"/>
                <w:szCs w:val="20"/>
              </w:rPr>
              <w:t>Précarité numérique de nombreux publics et constat de l’exclusion numérique d’un grand nombre d’élèves, ressentie encore plus fortement pendant les confinements</w:t>
            </w:r>
          </w:p>
          <w:p w:rsidR="0010541D" w:rsidRPr="00976795" w:rsidRDefault="0010541D" w:rsidP="0010541D">
            <w:pPr>
              <w:pStyle w:val="Paragraphedeliste"/>
              <w:numPr>
                <w:ilvl w:val="0"/>
                <w:numId w:val="1"/>
              </w:numPr>
              <w:tabs>
                <w:tab w:val="left" w:pos="2780"/>
              </w:tabs>
              <w:contextualSpacing/>
              <w:jc w:val="both"/>
              <w:rPr>
                <w:rFonts w:ascii="Arial" w:hAnsi="Arial" w:cs="Arial"/>
                <w:sz w:val="20"/>
                <w:szCs w:val="20"/>
              </w:rPr>
            </w:pPr>
            <w:r w:rsidRPr="00976795">
              <w:rPr>
                <w:rFonts w:ascii="Arial" w:hAnsi="Arial" w:cs="Arial"/>
                <w:sz w:val="20"/>
                <w:szCs w:val="20"/>
              </w:rPr>
              <w:t>Retard dans l’organisation du télétravail dans beaucoup de collectivités territoriales</w:t>
            </w:r>
          </w:p>
          <w:p w:rsidR="0010541D" w:rsidRPr="00976795" w:rsidRDefault="0010541D" w:rsidP="0010541D">
            <w:pPr>
              <w:pStyle w:val="Paragraphedeliste"/>
              <w:numPr>
                <w:ilvl w:val="0"/>
                <w:numId w:val="1"/>
              </w:numPr>
              <w:tabs>
                <w:tab w:val="left" w:pos="2780"/>
              </w:tabs>
              <w:contextualSpacing/>
              <w:jc w:val="both"/>
              <w:rPr>
                <w:rFonts w:ascii="Arial" w:hAnsi="Arial" w:cs="Arial"/>
                <w:sz w:val="20"/>
                <w:szCs w:val="20"/>
              </w:rPr>
            </w:pPr>
            <w:r w:rsidRPr="00976795">
              <w:rPr>
                <w:rFonts w:ascii="Arial" w:hAnsi="Arial" w:cs="Arial"/>
                <w:sz w:val="20"/>
                <w:szCs w:val="20"/>
              </w:rPr>
              <w:t>Retard dans la dématérialisation des activités des Services publics locaux</w:t>
            </w:r>
          </w:p>
          <w:p w:rsidR="007C2F2B" w:rsidRPr="004C130F" w:rsidRDefault="007C2F2B" w:rsidP="0010541D">
            <w:pPr>
              <w:widowControl w:val="0"/>
              <w:autoSpaceDE w:val="0"/>
              <w:autoSpaceDN w:val="0"/>
              <w:adjustRightInd w:val="0"/>
              <w:ind w:left="927"/>
              <w:rPr>
                <w:color w:val="000000"/>
              </w:rPr>
            </w:pPr>
          </w:p>
        </w:tc>
      </w:tr>
      <w:tr w:rsidR="007C2F2B" w:rsidRPr="00BC4C34" w:rsidTr="003773F9">
        <w:trPr>
          <w:trHeight w:val="966"/>
        </w:trPr>
        <w:tc>
          <w:tcPr>
            <w:tcW w:w="2127" w:type="dxa"/>
            <w:shd w:val="clear" w:color="auto" w:fill="auto"/>
          </w:tcPr>
          <w:p w:rsidR="007C2F2B" w:rsidRPr="00431262" w:rsidRDefault="007C2F2B" w:rsidP="00202DC6">
            <w:pPr>
              <w:tabs>
                <w:tab w:val="num" w:pos="720"/>
              </w:tabs>
              <w:autoSpaceDE w:val="0"/>
              <w:autoSpaceDN w:val="0"/>
              <w:adjustRightInd w:val="0"/>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1F4E79"/>
              </w:rPr>
            </w:pPr>
            <w:r w:rsidRPr="00431262">
              <w:rPr>
                <w:rFonts w:ascii="Calibri" w:hAnsi="Calibri"/>
                <w:b/>
                <w:color w:val="1F4E79"/>
              </w:rPr>
              <w:t>Stratégie</w:t>
            </w:r>
          </w:p>
          <w:p w:rsidR="007C2F2B" w:rsidRPr="00431262" w:rsidRDefault="007C2F2B" w:rsidP="00202DC6">
            <w:pPr>
              <w:tabs>
                <w:tab w:val="num" w:pos="720"/>
              </w:tabs>
              <w:autoSpaceDE w:val="0"/>
              <w:autoSpaceDN w:val="0"/>
              <w:adjustRightInd w:val="0"/>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ED7D31"/>
              </w:rPr>
            </w:pPr>
          </w:p>
        </w:tc>
        <w:tc>
          <w:tcPr>
            <w:tcW w:w="7484" w:type="dxa"/>
            <w:shd w:val="clear" w:color="auto" w:fill="auto"/>
          </w:tcPr>
          <w:p w:rsidR="00C01E6F" w:rsidRPr="00C01E6F" w:rsidRDefault="00C01E6F" w:rsidP="00C01E6F">
            <w:pPr>
              <w:pStyle w:val="Paragraphedeliste"/>
              <w:numPr>
                <w:ilvl w:val="0"/>
                <w:numId w:val="1"/>
              </w:numPr>
              <w:spacing w:line="259" w:lineRule="auto"/>
              <w:contextualSpacing/>
              <w:jc w:val="both"/>
              <w:rPr>
                <w:rFonts w:ascii="Arial" w:hAnsi="Arial" w:cs="Arial"/>
                <w:sz w:val="20"/>
                <w:szCs w:val="20"/>
              </w:rPr>
            </w:pPr>
            <w:r w:rsidRPr="00C01E6F">
              <w:rPr>
                <w:rFonts w:ascii="Arial" w:hAnsi="Arial" w:cs="Arial"/>
                <w:sz w:val="20"/>
                <w:szCs w:val="20"/>
              </w:rPr>
              <w:t xml:space="preserve">Assurer la continuité d’activité de l’administration </w:t>
            </w:r>
          </w:p>
          <w:p w:rsidR="00C01E6F" w:rsidRPr="00C01E6F" w:rsidRDefault="00C01E6F" w:rsidP="00C01E6F">
            <w:pPr>
              <w:pStyle w:val="Paragraphedeliste"/>
              <w:numPr>
                <w:ilvl w:val="0"/>
                <w:numId w:val="1"/>
              </w:numPr>
              <w:spacing w:line="259" w:lineRule="auto"/>
              <w:contextualSpacing/>
              <w:jc w:val="both"/>
              <w:rPr>
                <w:rFonts w:ascii="Arial" w:hAnsi="Arial" w:cs="Arial"/>
                <w:sz w:val="20"/>
                <w:szCs w:val="20"/>
              </w:rPr>
            </w:pPr>
            <w:r w:rsidRPr="00C01E6F">
              <w:rPr>
                <w:rFonts w:ascii="Arial" w:hAnsi="Arial" w:cs="Arial"/>
                <w:sz w:val="20"/>
                <w:szCs w:val="20"/>
              </w:rPr>
              <w:t xml:space="preserve">Assurer la continuité éducative </w:t>
            </w:r>
          </w:p>
          <w:p w:rsidR="00C01E6F" w:rsidRPr="00C01E6F" w:rsidRDefault="00C01E6F" w:rsidP="00C01E6F">
            <w:pPr>
              <w:pStyle w:val="Paragraphedeliste"/>
              <w:numPr>
                <w:ilvl w:val="0"/>
                <w:numId w:val="1"/>
              </w:numPr>
              <w:spacing w:line="259" w:lineRule="auto"/>
              <w:contextualSpacing/>
              <w:jc w:val="both"/>
              <w:rPr>
                <w:rFonts w:ascii="Arial" w:hAnsi="Arial" w:cs="Arial"/>
                <w:sz w:val="20"/>
                <w:szCs w:val="20"/>
              </w:rPr>
            </w:pPr>
            <w:r w:rsidRPr="00C01E6F">
              <w:rPr>
                <w:rFonts w:ascii="Arial" w:hAnsi="Arial" w:cs="Arial"/>
                <w:sz w:val="20"/>
                <w:szCs w:val="20"/>
              </w:rPr>
              <w:t>Accompagner la transition numérique des entreprises face aux nouveaux modes de consommation</w:t>
            </w:r>
          </w:p>
          <w:p w:rsidR="00C01E6F" w:rsidRPr="00C01E6F" w:rsidRDefault="00C01E6F" w:rsidP="00C01E6F">
            <w:pPr>
              <w:pStyle w:val="Paragraphedeliste"/>
              <w:numPr>
                <w:ilvl w:val="0"/>
                <w:numId w:val="1"/>
              </w:numPr>
              <w:spacing w:line="259" w:lineRule="auto"/>
              <w:contextualSpacing/>
              <w:jc w:val="both"/>
              <w:rPr>
                <w:rFonts w:ascii="Arial" w:hAnsi="Arial" w:cs="Arial"/>
                <w:sz w:val="20"/>
                <w:szCs w:val="20"/>
              </w:rPr>
            </w:pPr>
            <w:r w:rsidRPr="00C01E6F">
              <w:rPr>
                <w:rFonts w:ascii="Arial" w:hAnsi="Arial" w:cs="Arial"/>
                <w:sz w:val="20"/>
                <w:szCs w:val="20"/>
              </w:rPr>
              <w:t xml:space="preserve">Développer la e-santé pour améliorer les prises en charges et les parcours patients </w:t>
            </w:r>
          </w:p>
          <w:p w:rsidR="00C01E6F" w:rsidRPr="00C01E6F" w:rsidRDefault="00C01E6F" w:rsidP="00C01E6F">
            <w:pPr>
              <w:pStyle w:val="Paragraphedeliste"/>
              <w:numPr>
                <w:ilvl w:val="0"/>
                <w:numId w:val="1"/>
              </w:numPr>
              <w:spacing w:line="259" w:lineRule="auto"/>
              <w:contextualSpacing/>
              <w:jc w:val="both"/>
              <w:rPr>
                <w:rFonts w:ascii="Arial" w:hAnsi="Arial" w:cs="Arial"/>
                <w:sz w:val="20"/>
                <w:szCs w:val="20"/>
              </w:rPr>
            </w:pPr>
            <w:r w:rsidRPr="00C01E6F">
              <w:rPr>
                <w:rFonts w:ascii="Arial" w:hAnsi="Arial" w:cs="Arial"/>
                <w:sz w:val="20"/>
                <w:szCs w:val="20"/>
              </w:rPr>
              <w:t>Améliorer l’e-inclusion pour préserver les solidarités et limiter les décrochages</w:t>
            </w:r>
          </w:p>
          <w:p w:rsidR="007C2F2B" w:rsidRPr="004C130F" w:rsidRDefault="007C2F2B" w:rsidP="00202DC6">
            <w:pPr>
              <w:autoSpaceDE w:val="0"/>
              <w:autoSpaceDN w:val="0"/>
              <w:adjustRightInd w:val="0"/>
              <w:spacing w:after="44"/>
              <w:rPr>
                <w:rFonts w:eastAsia="Calibri"/>
              </w:rPr>
            </w:pPr>
          </w:p>
        </w:tc>
      </w:tr>
      <w:tr w:rsidR="007C2F2B" w:rsidRPr="00BC4C34" w:rsidTr="003773F9">
        <w:tc>
          <w:tcPr>
            <w:tcW w:w="2127" w:type="dxa"/>
            <w:shd w:val="clear" w:color="auto" w:fill="auto"/>
          </w:tcPr>
          <w:p w:rsidR="007C2F2B" w:rsidRPr="00431262" w:rsidRDefault="007C2F2B" w:rsidP="00202DC6">
            <w:pPr>
              <w:tabs>
                <w:tab w:val="num" w:pos="720"/>
              </w:tabs>
              <w:autoSpaceDE w:val="0"/>
              <w:autoSpaceDN w:val="0"/>
              <w:adjustRightInd w:val="0"/>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1F4E79"/>
              </w:rPr>
            </w:pPr>
            <w:r w:rsidRPr="00431262">
              <w:rPr>
                <w:rFonts w:ascii="Calibri" w:hAnsi="Calibri"/>
                <w:b/>
                <w:color w:val="1F4E79"/>
              </w:rPr>
              <w:t>Objectifs attendus</w:t>
            </w:r>
          </w:p>
          <w:p w:rsidR="007C2F2B" w:rsidRPr="00431262" w:rsidRDefault="007C2F2B" w:rsidP="00202DC6">
            <w:pPr>
              <w:tabs>
                <w:tab w:val="num" w:pos="720"/>
              </w:tabs>
              <w:autoSpaceDE w:val="0"/>
              <w:autoSpaceDN w:val="0"/>
              <w:adjustRightInd w:val="0"/>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ED7D31"/>
              </w:rPr>
            </w:pPr>
          </w:p>
        </w:tc>
        <w:tc>
          <w:tcPr>
            <w:tcW w:w="7484" w:type="dxa"/>
            <w:shd w:val="clear" w:color="auto" w:fill="auto"/>
          </w:tcPr>
          <w:p w:rsidR="006376C6" w:rsidRPr="006376C6" w:rsidRDefault="006376C6" w:rsidP="006376C6">
            <w:pPr>
              <w:pStyle w:val="Paragraphedeliste"/>
              <w:widowControl w:val="0"/>
              <w:numPr>
                <w:ilvl w:val="0"/>
                <w:numId w:val="8"/>
              </w:numPr>
              <w:contextualSpacing/>
            </w:pPr>
            <w:r>
              <w:rPr>
                <w:rFonts w:ascii="Arial" w:hAnsi="Arial" w:cs="Arial"/>
                <w:sz w:val="20"/>
                <w:szCs w:val="20"/>
              </w:rPr>
              <w:t>a</w:t>
            </w:r>
            <w:r w:rsidRPr="00AD5BA2">
              <w:rPr>
                <w:rFonts w:ascii="Arial" w:hAnsi="Arial" w:cs="Arial"/>
                <w:sz w:val="20"/>
                <w:szCs w:val="20"/>
              </w:rPr>
              <w:t xml:space="preserve">ccélérer le déploiement du télétravail </w:t>
            </w:r>
            <w:r>
              <w:rPr>
                <w:rFonts w:ascii="Arial" w:hAnsi="Arial" w:cs="Arial"/>
                <w:sz w:val="20"/>
                <w:szCs w:val="20"/>
              </w:rPr>
              <w:t xml:space="preserve">et de la télémédecine, </w:t>
            </w:r>
          </w:p>
          <w:p w:rsidR="006376C6" w:rsidRPr="006376C6" w:rsidRDefault="006376C6" w:rsidP="006376C6">
            <w:pPr>
              <w:pStyle w:val="Paragraphedeliste"/>
              <w:widowControl w:val="0"/>
              <w:numPr>
                <w:ilvl w:val="0"/>
                <w:numId w:val="8"/>
              </w:numPr>
              <w:contextualSpacing/>
            </w:pPr>
            <w:r>
              <w:rPr>
                <w:rFonts w:ascii="Arial" w:hAnsi="Arial" w:cs="Arial"/>
                <w:sz w:val="20"/>
                <w:szCs w:val="20"/>
              </w:rPr>
              <w:t xml:space="preserve">accélérer également la transformation numérique de l’administration, de l’entreprise </w:t>
            </w:r>
          </w:p>
          <w:p w:rsidR="007C2F2B" w:rsidRPr="004C130F" w:rsidRDefault="006376C6" w:rsidP="006376C6">
            <w:pPr>
              <w:pStyle w:val="Paragraphedeliste"/>
              <w:widowControl w:val="0"/>
              <w:numPr>
                <w:ilvl w:val="0"/>
                <w:numId w:val="8"/>
              </w:numPr>
              <w:contextualSpacing/>
            </w:pPr>
            <w:r>
              <w:rPr>
                <w:rFonts w:ascii="Arial" w:hAnsi="Arial" w:cs="Arial"/>
                <w:sz w:val="20"/>
                <w:szCs w:val="20"/>
              </w:rPr>
              <w:t xml:space="preserve">atténuer l’effet de l’inégalité sociale en réduisant la </w:t>
            </w:r>
            <w:r w:rsidRPr="00F71ADC">
              <w:rPr>
                <w:rFonts w:ascii="Arial" w:hAnsi="Arial" w:cs="Arial"/>
                <w:sz w:val="20"/>
                <w:szCs w:val="20"/>
              </w:rPr>
              <w:t>fracture</w:t>
            </w:r>
            <w:r w:rsidRPr="000D2931">
              <w:rPr>
                <w:rFonts w:ascii="Arial" w:hAnsi="Arial" w:cs="Arial"/>
                <w:color w:val="4472C4" w:themeColor="accent5"/>
                <w:sz w:val="20"/>
                <w:szCs w:val="20"/>
              </w:rPr>
              <w:t xml:space="preserve"> </w:t>
            </w:r>
            <w:r>
              <w:rPr>
                <w:rFonts w:ascii="Arial" w:hAnsi="Arial" w:cs="Arial"/>
                <w:sz w:val="20"/>
                <w:szCs w:val="20"/>
              </w:rPr>
              <w:t>numérique dans le milieu scolaire/d’enseignement</w:t>
            </w:r>
          </w:p>
        </w:tc>
      </w:tr>
      <w:tr w:rsidR="007C2F2B" w:rsidRPr="00BC4C34" w:rsidTr="003773F9">
        <w:tc>
          <w:tcPr>
            <w:tcW w:w="2127" w:type="dxa"/>
            <w:shd w:val="clear" w:color="auto" w:fill="auto"/>
          </w:tcPr>
          <w:p w:rsidR="007C2F2B" w:rsidRPr="00431262" w:rsidRDefault="007C2F2B" w:rsidP="00202DC6">
            <w:pPr>
              <w:tabs>
                <w:tab w:val="num" w:pos="720"/>
              </w:tabs>
              <w:autoSpaceDE w:val="0"/>
              <w:autoSpaceDN w:val="0"/>
              <w:adjustRightInd w:val="0"/>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1F4E79"/>
              </w:rPr>
            </w:pPr>
            <w:r w:rsidRPr="00431262">
              <w:rPr>
                <w:rFonts w:ascii="Calibri" w:hAnsi="Calibri"/>
                <w:b/>
                <w:color w:val="1F4E79"/>
              </w:rPr>
              <w:t>Indicateurs choisis</w:t>
            </w:r>
          </w:p>
          <w:p w:rsidR="007C2F2B" w:rsidRPr="00431262" w:rsidRDefault="007C2F2B" w:rsidP="00202DC6">
            <w:pPr>
              <w:tabs>
                <w:tab w:val="num" w:pos="720"/>
              </w:tabs>
              <w:autoSpaceDE w:val="0"/>
              <w:autoSpaceDN w:val="0"/>
              <w:adjustRightInd w:val="0"/>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ED7D31"/>
              </w:rPr>
            </w:pPr>
          </w:p>
        </w:tc>
        <w:tc>
          <w:tcPr>
            <w:tcW w:w="7484" w:type="dxa"/>
            <w:shd w:val="clear" w:color="auto" w:fill="auto"/>
          </w:tcPr>
          <w:p w:rsidR="007C2F2B" w:rsidRPr="004C130F" w:rsidRDefault="007C2F2B" w:rsidP="00202DC6">
            <w:pPr>
              <w:keepNext/>
              <w:jc w:val="both"/>
              <w:rPr>
                <w:rFonts w:eastAsia="Calibri"/>
              </w:rPr>
            </w:pPr>
            <w:r w:rsidRPr="004C130F">
              <w:rPr>
                <w:rFonts w:eastAsia="Calibri"/>
              </w:rPr>
              <w:t>Les indicateurs de résultats et de réalisation sont obligatoires pour apprécier l’impact des fonds européens sur le développement régional. Ils sont à renseigner tout au long de l’avancement du projet. Les actions programmées devront permettre d’atteindre les objectifs collectifs fixés. La contribution de chaque projet à ces objectifs constitue donc un élément important dans la sélection des opérations. Par ailleurs, en fonction du futur programme d’évaluation, ces indicateurs pourront être complétés par d’autres, afin de mesurer au mieux les actions programmées.</w:t>
            </w:r>
          </w:p>
          <w:p w:rsidR="007C2F2B" w:rsidRPr="004C130F" w:rsidRDefault="007C2F2B" w:rsidP="00202DC6">
            <w:pPr>
              <w:keepNext/>
              <w:jc w:val="both"/>
              <w:rPr>
                <w:rFonts w:eastAsia="Calibri"/>
              </w:rPr>
            </w:pPr>
          </w:p>
          <w:p w:rsidR="007C2F2B" w:rsidRDefault="007C2F2B" w:rsidP="00202DC6">
            <w:pPr>
              <w:keepNext/>
              <w:jc w:val="both"/>
              <w:rPr>
                <w:rFonts w:eastAsia="Calibri"/>
                <w:b/>
                <w:color w:val="000000"/>
                <w:u w:val="single"/>
              </w:rPr>
            </w:pPr>
            <w:r w:rsidRPr="004C130F">
              <w:rPr>
                <w:rFonts w:eastAsia="Calibri"/>
                <w:b/>
                <w:color w:val="000000"/>
                <w:u w:val="single"/>
              </w:rPr>
              <w:t>Indicateur(s) de résultat :</w:t>
            </w:r>
          </w:p>
          <w:p w:rsidR="0080782C" w:rsidRDefault="0080782C" w:rsidP="00202DC6">
            <w:pPr>
              <w:keepNext/>
              <w:jc w:val="both"/>
              <w:rPr>
                <w:rFonts w:eastAsia="Calibri"/>
                <w:b/>
                <w:color w:val="000000"/>
                <w:u w:val="single"/>
              </w:rPr>
            </w:pPr>
          </w:p>
          <w:p w:rsidR="00AD2119" w:rsidRPr="00AD2119" w:rsidRDefault="006762AD" w:rsidP="00202DC6">
            <w:pPr>
              <w:keepNext/>
              <w:jc w:val="both"/>
            </w:pPr>
            <w:r>
              <w:rPr>
                <w:rFonts w:eastAsia="Calibri"/>
                <w:color w:val="000000"/>
              </w:rPr>
              <w:t xml:space="preserve">IR </w:t>
            </w:r>
            <w:r w:rsidR="0080782C" w:rsidRPr="0080782C">
              <w:rPr>
                <w:rFonts w:eastAsia="Calibri"/>
                <w:color w:val="000000"/>
              </w:rPr>
              <w:t>9</w:t>
            </w:r>
            <w:r w:rsidR="0080782C">
              <w:rPr>
                <w:rFonts w:eastAsia="Calibri"/>
                <w:color w:val="000000"/>
              </w:rPr>
              <w:t> :</w:t>
            </w:r>
            <w:r w:rsidR="006B5634">
              <w:rPr>
                <w:rFonts w:eastAsia="Calibri"/>
                <w:color w:val="000000"/>
              </w:rPr>
              <w:t xml:space="preserve"> </w:t>
            </w:r>
            <w:r w:rsidRPr="00BD40CF">
              <w:t>Taux de particuliers utilisant internet dans les relations avec l'administration publique</w:t>
            </w:r>
          </w:p>
          <w:p w:rsidR="007C2F2B" w:rsidRPr="004C130F" w:rsidRDefault="007C2F2B" w:rsidP="00202DC6">
            <w:pPr>
              <w:keepNext/>
              <w:jc w:val="both"/>
              <w:rPr>
                <w:rFonts w:eastAsia="Calibri"/>
                <w:color w:val="000000"/>
              </w:rPr>
            </w:pPr>
          </w:p>
          <w:p w:rsidR="007C2F2B" w:rsidRPr="004C130F" w:rsidRDefault="007C2F2B" w:rsidP="00202DC6">
            <w:pPr>
              <w:keepNext/>
              <w:jc w:val="both"/>
              <w:rPr>
                <w:rFonts w:eastAsia="Calibri"/>
                <w:b/>
                <w:color w:val="000000"/>
                <w:u w:val="single"/>
              </w:rPr>
            </w:pPr>
            <w:r w:rsidRPr="004C130F">
              <w:rPr>
                <w:rFonts w:eastAsia="Calibri"/>
                <w:b/>
                <w:color w:val="000000"/>
                <w:u w:val="single"/>
              </w:rPr>
              <w:t>Indicateur(s) de réalisation de la</w:t>
            </w:r>
            <w:r w:rsidR="00C23141">
              <w:rPr>
                <w:rFonts w:eastAsia="Calibri"/>
                <w:b/>
                <w:color w:val="000000"/>
                <w:u w:val="single"/>
              </w:rPr>
              <w:t xml:space="preserve"> mesure </w:t>
            </w:r>
            <w:r w:rsidRPr="004C130F">
              <w:rPr>
                <w:rFonts w:eastAsia="Calibri"/>
                <w:b/>
                <w:color w:val="000000"/>
                <w:u w:val="single"/>
              </w:rPr>
              <w:t>:</w:t>
            </w:r>
          </w:p>
          <w:p w:rsidR="007C2F2B" w:rsidRPr="004C130F" w:rsidRDefault="007C2F2B" w:rsidP="00202DC6">
            <w:pPr>
              <w:keepNext/>
              <w:jc w:val="both"/>
              <w:rPr>
                <w:rFonts w:eastAsia="Calibri"/>
                <w:b/>
                <w:color w:val="1F4E79"/>
              </w:rPr>
            </w:pPr>
          </w:p>
          <w:tbl>
            <w:tblPr>
              <w:tblW w:w="7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5"/>
              <w:gridCol w:w="1134"/>
              <w:gridCol w:w="567"/>
              <w:gridCol w:w="567"/>
              <w:gridCol w:w="706"/>
              <w:gridCol w:w="287"/>
              <w:gridCol w:w="425"/>
              <w:gridCol w:w="425"/>
              <w:gridCol w:w="1134"/>
              <w:gridCol w:w="1418"/>
            </w:tblGrid>
            <w:tr w:rsidR="007C2F2B" w:rsidRPr="004C130F" w:rsidTr="00202DC6">
              <w:trPr>
                <w:trHeight w:val="370"/>
              </w:trPr>
              <w:tc>
                <w:tcPr>
                  <w:tcW w:w="725" w:type="dxa"/>
                  <w:vMerge w:val="restart"/>
                </w:tcPr>
                <w:p w:rsidR="007C2F2B" w:rsidRPr="004C130F" w:rsidRDefault="007C2F2B" w:rsidP="00202DC6">
                  <w:pPr>
                    <w:keepNext/>
                    <w:rPr>
                      <w:b/>
                      <w:color w:val="7B7B7B"/>
                      <w:sz w:val="16"/>
                      <w:szCs w:val="16"/>
                    </w:rPr>
                  </w:pPr>
                  <w:r w:rsidRPr="004C130F">
                    <w:rPr>
                      <w:b/>
                      <w:color w:val="7B7B7B"/>
                      <w:sz w:val="16"/>
                      <w:szCs w:val="16"/>
                    </w:rPr>
                    <w:t>Numéro d’indicateur (si appartenant au socle commun)</w:t>
                  </w:r>
                </w:p>
              </w:tc>
              <w:tc>
                <w:tcPr>
                  <w:tcW w:w="1134" w:type="dxa"/>
                  <w:vMerge w:val="restart"/>
                </w:tcPr>
                <w:p w:rsidR="007C2F2B" w:rsidRPr="004C130F" w:rsidRDefault="007C2F2B" w:rsidP="00202DC6">
                  <w:pPr>
                    <w:keepNext/>
                    <w:rPr>
                      <w:b/>
                      <w:color w:val="7B7B7B"/>
                      <w:sz w:val="16"/>
                      <w:szCs w:val="16"/>
                    </w:rPr>
                  </w:pPr>
                  <w:r w:rsidRPr="004C130F">
                    <w:rPr>
                      <w:b/>
                      <w:color w:val="7B7B7B"/>
                      <w:sz w:val="16"/>
                      <w:szCs w:val="16"/>
                    </w:rPr>
                    <w:t>Indicateur</w:t>
                  </w:r>
                </w:p>
              </w:tc>
              <w:tc>
                <w:tcPr>
                  <w:tcW w:w="567" w:type="dxa"/>
                  <w:vMerge w:val="restart"/>
                </w:tcPr>
                <w:p w:rsidR="007C2F2B" w:rsidRPr="004C130F" w:rsidRDefault="007C2F2B" w:rsidP="00202DC6">
                  <w:pPr>
                    <w:keepNext/>
                    <w:rPr>
                      <w:b/>
                      <w:color w:val="7B7B7B"/>
                      <w:sz w:val="16"/>
                      <w:szCs w:val="16"/>
                    </w:rPr>
                  </w:pPr>
                  <w:r w:rsidRPr="004C130F">
                    <w:rPr>
                      <w:b/>
                      <w:color w:val="7B7B7B"/>
                      <w:sz w:val="16"/>
                      <w:szCs w:val="16"/>
                    </w:rPr>
                    <w:t>Unités de mesure</w:t>
                  </w:r>
                </w:p>
                <w:p w:rsidR="007C2F2B" w:rsidRPr="004C130F" w:rsidRDefault="007C2F2B" w:rsidP="00202DC6">
                  <w:pPr>
                    <w:keepNext/>
                    <w:rPr>
                      <w:b/>
                      <w:color w:val="7B7B7B"/>
                      <w:sz w:val="16"/>
                      <w:szCs w:val="16"/>
                    </w:rPr>
                  </w:pPr>
                </w:p>
              </w:tc>
              <w:tc>
                <w:tcPr>
                  <w:tcW w:w="567" w:type="dxa"/>
                  <w:vMerge w:val="restart"/>
                </w:tcPr>
                <w:p w:rsidR="007C2F2B" w:rsidRPr="004C130F" w:rsidRDefault="007C2F2B" w:rsidP="00202DC6">
                  <w:pPr>
                    <w:keepNext/>
                    <w:rPr>
                      <w:b/>
                      <w:color w:val="7B7B7B"/>
                      <w:sz w:val="16"/>
                      <w:szCs w:val="16"/>
                    </w:rPr>
                  </w:pPr>
                  <w:r w:rsidRPr="004C130F">
                    <w:rPr>
                      <w:b/>
                      <w:color w:val="7B7B7B"/>
                      <w:sz w:val="16"/>
                      <w:szCs w:val="16"/>
                    </w:rPr>
                    <w:t>Valeur de référence</w:t>
                  </w:r>
                </w:p>
              </w:tc>
              <w:tc>
                <w:tcPr>
                  <w:tcW w:w="706" w:type="dxa"/>
                  <w:vMerge w:val="restart"/>
                </w:tcPr>
                <w:p w:rsidR="007C2F2B" w:rsidRPr="004C130F" w:rsidRDefault="007C2F2B" w:rsidP="00202DC6">
                  <w:pPr>
                    <w:keepNext/>
                    <w:rPr>
                      <w:b/>
                      <w:color w:val="7B7B7B"/>
                      <w:sz w:val="16"/>
                      <w:szCs w:val="16"/>
                    </w:rPr>
                  </w:pPr>
                  <w:r w:rsidRPr="004C130F">
                    <w:rPr>
                      <w:b/>
                      <w:color w:val="7B7B7B"/>
                      <w:sz w:val="16"/>
                      <w:szCs w:val="16"/>
                    </w:rPr>
                    <w:t>Année de référence</w:t>
                  </w:r>
                </w:p>
              </w:tc>
              <w:tc>
                <w:tcPr>
                  <w:tcW w:w="1137" w:type="dxa"/>
                  <w:gridSpan w:val="3"/>
                </w:tcPr>
                <w:p w:rsidR="007C2F2B" w:rsidRPr="004C130F" w:rsidRDefault="007C2F2B" w:rsidP="00202DC6">
                  <w:pPr>
                    <w:keepNext/>
                    <w:jc w:val="center"/>
                    <w:rPr>
                      <w:b/>
                      <w:color w:val="7B7B7B"/>
                      <w:sz w:val="16"/>
                      <w:szCs w:val="16"/>
                    </w:rPr>
                  </w:pPr>
                  <w:r w:rsidRPr="004C130F">
                    <w:rPr>
                      <w:b/>
                      <w:color w:val="7B7B7B"/>
                      <w:sz w:val="16"/>
                      <w:szCs w:val="16"/>
                    </w:rPr>
                    <w:t>Valeur Cible 2023</w:t>
                  </w:r>
                </w:p>
              </w:tc>
              <w:tc>
                <w:tcPr>
                  <w:tcW w:w="1134" w:type="dxa"/>
                  <w:vMerge w:val="restart"/>
                  <w:tcMar>
                    <w:top w:w="0" w:type="dxa"/>
                    <w:left w:w="108" w:type="dxa"/>
                    <w:bottom w:w="0" w:type="dxa"/>
                    <w:right w:w="108" w:type="dxa"/>
                  </w:tcMar>
                </w:tcPr>
                <w:p w:rsidR="007C2F2B" w:rsidRPr="004C130F" w:rsidRDefault="007C2F2B" w:rsidP="00202DC6">
                  <w:pPr>
                    <w:keepNext/>
                    <w:rPr>
                      <w:b/>
                      <w:color w:val="7B7B7B"/>
                      <w:sz w:val="16"/>
                      <w:szCs w:val="16"/>
                    </w:rPr>
                  </w:pPr>
                  <w:r w:rsidRPr="004C130F">
                    <w:rPr>
                      <w:b/>
                      <w:color w:val="7B7B7B"/>
                      <w:sz w:val="16"/>
                      <w:szCs w:val="16"/>
                    </w:rPr>
                    <w:t>Source de l’information</w:t>
                  </w:r>
                </w:p>
              </w:tc>
              <w:tc>
                <w:tcPr>
                  <w:tcW w:w="1418" w:type="dxa"/>
                  <w:vMerge w:val="restart"/>
                  <w:tcMar>
                    <w:top w:w="0" w:type="dxa"/>
                    <w:left w:w="108" w:type="dxa"/>
                    <w:bottom w:w="0" w:type="dxa"/>
                    <w:right w:w="108" w:type="dxa"/>
                  </w:tcMar>
                </w:tcPr>
                <w:p w:rsidR="007C2F2B" w:rsidRPr="004C130F" w:rsidRDefault="007C2F2B" w:rsidP="00202DC6">
                  <w:pPr>
                    <w:keepNext/>
                    <w:rPr>
                      <w:b/>
                      <w:color w:val="7B7B7B"/>
                      <w:sz w:val="16"/>
                      <w:szCs w:val="16"/>
                    </w:rPr>
                  </w:pPr>
                  <w:r w:rsidRPr="004C130F">
                    <w:rPr>
                      <w:b/>
                      <w:color w:val="7B7B7B"/>
                      <w:sz w:val="16"/>
                      <w:szCs w:val="16"/>
                    </w:rPr>
                    <w:t>Fréquence d’établissement</w:t>
                  </w:r>
                </w:p>
              </w:tc>
            </w:tr>
            <w:tr w:rsidR="007C2F2B" w:rsidRPr="00865504" w:rsidTr="00202DC6">
              <w:trPr>
                <w:trHeight w:val="369"/>
              </w:trPr>
              <w:tc>
                <w:tcPr>
                  <w:tcW w:w="725" w:type="dxa"/>
                  <w:vMerge/>
                </w:tcPr>
                <w:p w:rsidR="007C2F2B" w:rsidRPr="00865504" w:rsidRDefault="007C2F2B" w:rsidP="00202DC6">
                  <w:pPr>
                    <w:keepNext/>
                    <w:rPr>
                      <w:color w:val="7B7B7B"/>
                      <w:sz w:val="16"/>
                      <w:szCs w:val="16"/>
                    </w:rPr>
                  </w:pPr>
                </w:p>
              </w:tc>
              <w:tc>
                <w:tcPr>
                  <w:tcW w:w="1134" w:type="dxa"/>
                  <w:vMerge/>
                </w:tcPr>
                <w:p w:rsidR="007C2F2B" w:rsidRPr="00865504" w:rsidRDefault="007C2F2B" w:rsidP="00202DC6">
                  <w:pPr>
                    <w:keepNext/>
                    <w:rPr>
                      <w:color w:val="7B7B7B"/>
                      <w:sz w:val="16"/>
                      <w:szCs w:val="16"/>
                    </w:rPr>
                  </w:pPr>
                </w:p>
              </w:tc>
              <w:tc>
                <w:tcPr>
                  <w:tcW w:w="567" w:type="dxa"/>
                  <w:vMerge/>
                </w:tcPr>
                <w:p w:rsidR="007C2F2B" w:rsidRPr="00865504" w:rsidRDefault="007C2F2B" w:rsidP="00202DC6">
                  <w:pPr>
                    <w:keepNext/>
                    <w:rPr>
                      <w:color w:val="7B7B7B"/>
                      <w:sz w:val="16"/>
                      <w:szCs w:val="16"/>
                    </w:rPr>
                  </w:pPr>
                </w:p>
              </w:tc>
              <w:tc>
                <w:tcPr>
                  <w:tcW w:w="567" w:type="dxa"/>
                  <w:vMerge/>
                </w:tcPr>
                <w:p w:rsidR="007C2F2B" w:rsidRPr="00865504" w:rsidRDefault="007C2F2B" w:rsidP="00202DC6">
                  <w:pPr>
                    <w:keepNext/>
                    <w:rPr>
                      <w:color w:val="7B7B7B"/>
                      <w:sz w:val="16"/>
                      <w:szCs w:val="16"/>
                    </w:rPr>
                  </w:pPr>
                </w:p>
              </w:tc>
              <w:tc>
                <w:tcPr>
                  <w:tcW w:w="706" w:type="dxa"/>
                  <w:vMerge/>
                </w:tcPr>
                <w:p w:rsidR="007C2F2B" w:rsidRPr="00865504" w:rsidRDefault="007C2F2B" w:rsidP="00202DC6">
                  <w:pPr>
                    <w:keepNext/>
                    <w:rPr>
                      <w:color w:val="7B7B7B"/>
                      <w:sz w:val="16"/>
                      <w:szCs w:val="16"/>
                    </w:rPr>
                  </w:pPr>
                </w:p>
              </w:tc>
              <w:tc>
                <w:tcPr>
                  <w:tcW w:w="287" w:type="dxa"/>
                </w:tcPr>
                <w:p w:rsidR="007C2F2B" w:rsidRPr="00865504" w:rsidRDefault="007C2F2B" w:rsidP="00202DC6">
                  <w:pPr>
                    <w:keepNext/>
                    <w:jc w:val="center"/>
                    <w:rPr>
                      <w:color w:val="7B7B7B"/>
                      <w:sz w:val="16"/>
                      <w:szCs w:val="16"/>
                    </w:rPr>
                  </w:pPr>
                  <w:r w:rsidRPr="00865504">
                    <w:rPr>
                      <w:color w:val="7B7B7B"/>
                      <w:sz w:val="16"/>
                      <w:szCs w:val="16"/>
                    </w:rPr>
                    <w:t>H</w:t>
                  </w:r>
                </w:p>
              </w:tc>
              <w:tc>
                <w:tcPr>
                  <w:tcW w:w="425" w:type="dxa"/>
                </w:tcPr>
                <w:p w:rsidR="007C2F2B" w:rsidRPr="00865504" w:rsidRDefault="007C2F2B" w:rsidP="00202DC6">
                  <w:pPr>
                    <w:keepNext/>
                    <w:jc w:val="center"/>
                    <w:rPr>
                      <w:color w:val="7B7B7B"/>
                      <w:sz w:val="16"/>
                      <w:szCs w:val="16"/>
                    </w:rPr>
                  </w:pPr>
                  <w:r w:rsidRPr="00865504">
                    <w:rPr>
                      <w:color w:val="7B7B7B"/>
                      <w:sz w:val="16"/>
                      <w:szCs w:val="16"/>
                    </w:rPr>
                    <w:t>F</w:t>
                  </w:r>
                </w:p>
              </w:tc>
              <w:tc>
                <w:tcPr>
                  <w:tcW w:w="425" w:type="dxa"/>
                </w:tcPr>
                <w:p w:rsidR="007C2F2B" w:rsidRPr="00865504" w:rsidRDefault="007C2F2B" w:rsidP="00202DC6">
                  <w:pPr>
                    <w:keepNext/>
                    <w:jc w:val="center"/>
                    <w:rPr>
                      <w:color w:val="7B7B7B"/>
                      <w:sz w:val="16"/>
                      <w:szCs w:val="16"/>
                    </w:rPr>
                  </w:pPr>
                  <w:r w:rsidRPr="00865504">
                    <w:rPr>
                      <w:color w:val="7B7B7B"/>
                      <w:sz w:val="16"/>
                      <w:szCs w:val="16"/>
                    </w:rPr>
                    <w:t>T</w:t>
                  </w:r>
                </w:p>
              </w:tc>
              <w:tc>
                <w:tcPr>
                  <w:tcW w:w="1134" w:type="dxa"/>
                  <w:vMerge/>
                  <w:tcMar>
                    <w:top w:w="0" w:type="dxa"/>
                    <w:left w:w="108" w:type="dxa"/>
                    <w:bottom w:w="0" w:type="dxa"/>
                    <w:right w:w="108" w:type="dxa"/>
                  </w:tcMar>
                </w:tcPr>
                <w:p w:rsidR="007C2F2B" w:rsidRPr="00865504" w:rsidRDefault="007C2F2B" w:rsidP="00202DC6">
                  <w:pPr>
                    <w:keepNext/>
                    <w:rPr>
                      <w:color w:val="7B7B7B"/>
                      <w:sz w:val="16"/>
                      <w:szCs w:val="16"/>
                    </w:rPr>
                  </w:pPr>
                </w:p>
              </w:tc>
              <w:tc>
                <w:tcPr>
                  <w:tcW w:w="1418" w:type="dxa"/>
                  <w:vMerge/>
                  <w:tcMar>
                    <w:top w:w="0" w:type="dxa"/>
                    <w:left w:w="108" w:type="dxa"/>
                    <w:bottom w:w="0" w:type="dxa"/>
                    <w:right w:w="108" w:type="dxa"/>
                  </w:tcMar>
                </w:tcPr>
                <w:p w:rsidR="007C2F2B" w:rsidRPr="00865504" w:rsidRDefault="007C2F2B" w:rsidP="00202DC6">
                  <w:pPr>
                    <w:keepNext/>
                    <w:rPr>
                      <w:color w:val="7B7B7B"/>
                      <w:sz w:val="16"/>
                      <w:szCs w:val="16"/>
                    </w:rPr>
                  </w:pPr>
                </w:p>
              </w:tc>
            </w:tr>
            <w:tr w:rsidR="007C2F2B" w:rsidRPr="00865504" w:rsidTr="00202DC6">
              <w:tc>
                <w:tcPr>
                  <w:tcW w:w="725"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rPr>
                      <w:color w:val="7B7B7B"/>
                      <w:sz w:val="16"/>
                      <w:szCs w:val="16"/>
                    </w:rPr>
                  </w:pPr>
                </w:p>
                <w:p w:rsidR="007C2F2B" w:rsidRPr="004C130F" w:rsidRDefault="00AD2119" w:rsidP="00202DC6">
                  <w:pPr>
                    <w:keepNext/>
                    <w:rPr>
                      <w:color w:val="7B7B7B"/>
                      <w:sz w:val="16"/>
                      <w:szCs w:val="16"/>
                    </w:rPr>
                  </w:pPr>
                  <w:r>
                    <w:rPr>
                      <w:color w:val="7B7B7B"/>
                      <w:sz w:val="16"/>
                      <w:szCs w:val="16"/>
                    </w:rPr>
                    <w:t>CV 4</w:t>
                  </w:r>
                </w:p>
              </w:tc>
              <w:tc>
                <w:tcPr>
                  <w:tcW w:w="1134" w:type="dxa"/>
                  <w:tcBorders>
                    <w:top w:val="single" w:sz="4" w:space="0" w:color="auto"/>
                    <w:left w:val="single" w:sz="4" w:space="0" w:color="auto"/>
                    <w:bottom w:val="single" w:sz="4" w:space="0" w:color="auto"/>
                    <w:right w:val="single" w:sz="4" w:space="0" w:color="auto"/>
                  </w:tcBorders>
                </w:tcPr>
                <w:p w:rsidR="007C2F2B" w:rsidRPr="006B5634" w:rsidRDefault="00AD2119" w:rsidP="006B5634">
                  <w:pPr>
                    <w:pStyle w:val="Default"/>
                    <w:rPr>
                      <w:rFonts w:ascii="Times New Roman" w:hAnsi="Times New Roman" w:cs="Times New Roman"/>
                      <w:color w:val="7B7B7B"/>
                      <w:sz w:val="16"/>
                      <w:szCs w:val="16"/>
                    </w:rPr>
                  </w:pPr>
                  <w:r w:rsidRPr="00AD2119">
                    <w:rPr>
                      <w:rFonts w:ascii="Times New Roman" w:hAnsi="Times New Roman" w:cs="Times New Roman"/>
                      <w:color w:val="7B7B7B"/>
                      <w:sz w:val="16"/>
                      <w:szCs w:val="16"/>
                    </w:rPr>
                    <w:t xml:space="preserve">Valeur de matériel informatique et des logiciels / licences liés à la </w:t>
                  </w:r>
                  <w:r w:rsidRPr="00AD2119">
                    <w:rPr>
                      <w:rFonts w:ascii="Times New Roman" w:hAnsi="Times New Roman" w:cs="Times New Roman"/>
                      <w:color w:val="7B7B7B"/>
                      <w:sz w:val="16"/>
                      <w:szCs w:val="16"/>
                    </w:rPr>
                    <w:lastRenderedPageBreak/>
                    <w:t>COVID-19, financés</w:t>
                  </w:r>
                </w:p>
              </w:tc>
              <w:tc>
                <w:tcPr>
                  <w:tcW w:w="567"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rPr>
                      <w:color w:val="7B7B7B"/>
                      <w:sz w:val="16"/>
                      <w:szCs w:val="16"/>
                    </w:rPr>
                  </w:pPr>
                </w:p>
                <w:p w:rsidR="007C2F2B" w:rsidRPr="004C130F" w:rsidRDefault="00AD2119" w:rsidP="00AD2119">
                  <w:pPr>
                    <w:keepNext/>
                    <w:rPr>
                      <w:color w:val="7B7B7B"/>
                      <w:sz w:val="16"/>
                      <w:szCs w:val="16"/>
                    </w:rPr>
                  </w:pPr>
                  <w:r>
                    <w:rPr>
                      <w:color w:val="7B7B7B"/>
                      <w:sz w:val="16"/>
                      <w:szCs w:val="16"/>
                    </w:rPr>
                    <w:t>Euros</w:t>
                  </w:r>
                </w:p>
              </w:tc>
              <w:tc>
                <w:tcPr>
                  <w:tcW w:w="567"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rPr>
                      <w:color w:val="7B7B7B"/>
                      <w:sz w:val="16"/>
                      <w:szCs w:val="16"/>
                    </w:rPr>
                  </w:pPr>
                </w:p>
                <w:p w:rsidR="007C2F2B" w:rsidRPr="004C130F" w:rsidRDefault="006B5634" w:rsidP="00202DC6">
                  <w:pPr>
                    <w:keepNext/>
                    <w:rPr>
                      <w:color w:val="7B7B7B"/>
                      <w:sz w:val="16"/>
                      <w:szCs w:val="16"/>
                    </w:rPr>
                  </w:pPr>
                  <w:r>
                    <w:rPr>
                      <w:color w:val="7B7B7B"/>
                      <w:sz w:val="16"/>
                      <w:szCs w:val="16"/>
                    </w:rPr>
                    <w:t>0</w:t>
                  </w:r>
                </w:p>
              </w:tc>
              <w:tc>
                <w:tcPr>
                  <w:tcW w:w="706"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rPr>
                      <w:color w:val="7B7B7B"/>
                      <w:sz w:val="16"/>
                      <w:szCs w:val="16"/>
                    </w:rPr>
                  </w:pPr>
                </w:p>
              </w:tc>
              <w:tc>
                <w:tcPr>
                  <w:tcW w:w="287"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7C2F2B" w:rsidRPr="004C130F" w:rsidRDefault="00AD2119" w:rsidP="00202DC6">
                  <w:pPr>
                    <w:keepNext/>
                    <w:jc w:val="center"/>
                    <w:rPr>
                      <w:color w:val="7B7B7B"/>
                      <w:sz w:val="16"/>
                      <w:szCs w:val="16"/>
                    </w:rPr>
                  </w:pPr>
                  <w:r>
                    <w:rPr>
                      <w:color w:val="7B7B7B"/>
                      <w:sz w:val="16"/>
                      <w:szCs w:val="16"/>
                    </w:rPr>
                    <w:t>28 581 000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2F2B" w:rsidRPr="004C130F" w:rsidRDefault="007C2F2B" w:rsidP="00202DC6">
                  <w:pPr>
                    <w:keepNext/>
                    <w:rPr>
                      <w:color w:val="7B7B7B"/>
                      <w:sz w:val="16"/>
                      <w:szCs w:val="16"/>
                    </w:rPr>
                  </w:pPr>
                  <w:r w:rsidRPr="004C130F">
                    <w:rPr>
                      <w:color w:val="7B7B7B"/>
                      <w:sz w:val="16"/>
                      <w:szCs w:val="16"/>
                    </w:rPr>
                    <w:t>Dossiers de demande de subvention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2F2B" w:rsidRPr="004C130F" w:rsidRDefault="007C2F2B" w:rsidP="00202DC6">
                  <w:pPr>
                    <w:keepNext/>
                    <w:rPr>
                      <w:color w:val="7B7B7B"/>
                      <w:sz w:val="16"/>
                      <w:szCs w:val="16"/>
                    </w:rPr>
                  </w:pPr>
                  <w:r w:rsidRPr="004C130F">
                    <w:rPr>
                      <w:color w:val="7B7B7B"/>
                      <w:sz w:val="16"/>
                      <w:szCs w:val="16"/>
                    </w:rPr>
                    <w:t>Annuel</w:t>
                  </w:r>
                </w:p>
              </w:tc>
            </w:tr>
            <w:tr w:rsidR="007C2F2B" w:rsidRPr="00865504" w:rsidTr="00202DC6">
              <w:tc>
                <w:tcPr>
                  <w:tcW w:w="725"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rPr>
                      <w:color w:val="7B7B7B"/>
                      <w:sz w:val="16"/>
                      <w:szCs w:val="16"/>
                    </w:rPr>
                  </w:pPr>
                </w:p>
                <w:p w:rsidR="007C2F2B" w:rsidRPr="004C130F" w:rsidRDefault="00AD2119" w:rsidP="00202DC6">
                  <w:pPr>
                    <w:keepNext/>
                    <w:rPr>
                      <w:color w:val="7B7B7B"/>
                      <w:sz w:val="16"/>
                      <w:szCs w:val="16"/>
                    </w:rPr>
                  </w:pPr>
                  <w:r>
                    <w:rPr>
                      <w:color w:val="7B7B7B"/>
                      <w:sz w:val="16"/>
                      <w:szCs w:val="16"/>
                    </w:rPr>
                    <w:t>CV 4b</w:t>
                  </w:r>
                </w:p>
                <w:p w:rsidR="007C2F2B" w:rsidRPr="004C130F" w:rsidRDefault="007C2F2B" w:rsidP="00202DC6">
                  <w:pPr>
                    <w:keepNext/>
                    <w:rPr>
                      <w:color w:val="7B7B7B"/>
                      <w:sz w:val="16"/>
                      <w:szCs w:val="16"/>
                    </w:rPr>
                  </w:pPr>
                </w:p>
                <w:p w:rsidR="007C2F2B" w:rsidRPr="004C130F" w:rsidRDefault="007C2F2B" w:rsidP="00202DC6">
                  <w:pPr>
                    <w:keepNext/>
                    <w:rPr>
                      <w:color w:val="7B7B7B"/>
                      <w:sz w:val="16"/>
                      <w:szCs w:val="16"/>
                    </w:rPr>
                  </w:pPr>
                </w:p>
              </w:tc>
              <w:tc>
                <w:tcPr>
                  <w:tcW w:w="1134" w:type="dxa"/>
                  <w:tcBorders>
                    <w:top w:val="single" w:sz="4" w:space="0" w:color="auto"/>
                    <w:left w:val="single" w:sz="4" w:space="0" w:color="auto"/>
                    <w:bottom w:val="single" w:sz="4" w:space="0" w:color="auto"/>
                    <w:right w:val="single" w:sz="4" w:space="0" w:color="auto"/>
                  </w:tcBorders>
                </w:tcPr>
                <w:p w:rsidR="007C2F2B" w:rsidRPr="004C130F" w:rsidRDefault="00AD2119" w:rsidP="006B5634">
                  <w:pPr>
                    <w:pStyle w:val="Default"/>
                    <w:jc w:val="center"/>
                    <w:rPr>
                      <w:color w:val="7B7B7B"/>
                      <w:sz w:val="16"/>
                      <w:szCs w:val="16"/>
                    </w:rPr>
                  </w:pPr>
                  <w:r w:rsidRPr="00AD2119">
                    <w:rPr>
                      <w:rFonts w:ascii="Times New Roman" w:hAnsi="Times New Roman" w:cs="Times New Roman"/>
                      <w:color w:val="7B7B7B"/>
                      <w:sz w:val="16"/>
                      <w:szCs w:val="16"/>
                    </w:rPr>
                    <w:t>Valeur de matériel informatique et des logiciels / licences liés à la COVID-19, financés</w:t>
                  </w:r>
                  <w:r>
                    <w:rPr>
                      <w:rFonts w:ascii="Times New Roman" w:hAnsi="Times New Roman" w:cs="Times New Roman"/>
                      <w:color w:val="7B7B7B"/>
                      <w:sz w:val="16"/>
                      <w:szCs w:val="16"/>
                    </w:rPr>
                    <w:t xml:space="preserve"> pour la Santé</w:t>
                  </w:r>
                </w:p>
              </w:tc>
              <w:tc>
                <w:tcPr>
                  <w:tcW w:w="567"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rPr>
                      <w:color w:val="7B7B7B"/>
                      <w:sz w:val="16"/>
                      <w:szCs w:val="16"/>
                    </w:rPr>
                  </w:pPr>
                </w:p>
                <w:p w:rsidR="007C2F2B" w:rsidRPr="004C130F" w:rsidRDefault="00AD2119" w:rsidP="00202DC6">
                  <w:pPr>
                    <w:keepNext/>
                    <w:rPr>
                      <w:color w:val="7B7B7B"/>
                      <w:sz w:val="16"/>
                      <w:szCs w:val="16"/>
                    </w:rPr>
                  </w:pPr>
                  <w:r>
                    <w:rPr>
                      <w:color w:val="7B7B7B"/>
                      <w:sz w:val="16"/>
                      <w:szCs w:val="16"/>
                    </w:rPr>
                    <w:t>Euros</w:t>
                  </w:r>
                </w:p>
              </w:tc>
              <w:tc>
                <w:tcPr>
                  <w:tcW w:w="567"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rPr>
                      <w:color w:val="7B7B7B"/>
                      <w:sz w:val="16"/>
                      <w:szCs w:val="16"/>
                    </w:rPr>
                  </w:pPr>
                </w:p>
                <w:p w:rsidR="007C2F2B" w:rsidRPr="004C130F" w:rsidRDefault="007C2F2B" w:rsidP="00202DC6">
                  <w:pPr>
                    <w:keepNext/>
                    <w:rPr>
                      <w:color w:val="7B7B7B"/>
                      <w:sz w:val="16"/>
                      <w:szCs w:val="16"/>
                    </w:rPr>
                  </w:pPr>
                  <w:r w:rsidRPr="004C130F">
                    <w:rPr>
                      <w:color w:val="7B7B7B"/>
                      <w:sz w:val="16"/>
                      <w:szCs w:val="16"/>
                    </w:rPr>
                    <w:t>0</w:t>
                  </w:r>
                </w:p>
              </w:tc>
              <w:tc>
                <w:tcPr>
                  <w:tcW w:w="706"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rPr>
                      <w:color w:val="7B7B7B"/>
                      <w:sz w:val="16"/>
                      <w:szCs w:val="16"/>
                    </w:rPr>
                  </w:pPr>
                </w:p>
                <w:p w:rsidR="007C2F2B" w:rsidRPr="004C130F" w:rsidRDefault="007C2F2B" w:rsidP="00202DC6">
                  <w:pPr>
                    <w:keepNext/>
                    <w:rPr>
                      <w:color w:val="7B7B7B"/>
                      <w:sz w:val="16"/>
                      <w:szCs w:val="16"/>
                    </w:rPr>
                  </w:pPr>
                </w:p>
              </w:tc>
              <w:tc>
                <w:tcPr>
                  <w:tcW w:w="287"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7C2F2B" w:rsidRPr="004C130F" w:rsidRDefault="00AD2119" w:rsidP="00202DC6">
                  <w:pPr>
                    <w:keepNext/>
                    <w:jc w:val="center"/>
                    <w:rPr>
                      <w:color w:val="7B7B7B"/>
                      <w:sz w:val="16"/>
                      <w:szCs w:val="16"/>
                    </w:rPr>
                  </w:pPr>
                  <w:r>
                    <w:rPr>
                      <w:color w:val="7B7B7B"/>
                      <w:sz w:val="16"/>
                      <w:szCs w:val="16"/>
                    </w:rPr>
                    <w:t>5 716 200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2F2B" w:rsidRPr="004C130F" w:rsidRDefault="007C2F2B" w:rsidP="00202DC6">
                  <w:pPr>
                    <w:keepNext/>
                    <w:rPr>
                      <w:color w:val="7B7B7B"/>
                      <w:sz w:val="16"/>
                      <w:szCs w:val="16"/>
                    </w:rPr>
                  </w:pPr>
                  <w:r w:rsidRPr="004C130F">
                    <w:rPr>
                      <w:color w:val="7B7B7B"/>
                      <w:sz w:val="16"/>
                      <w:szCs w:val="16"/>
                    </w:rPr>
                    <w:t>Dossiers de demande de subvention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2F2B" w:rsidRPr="004C130F" w:rsidRDefault="007C2F2B" w:rsidP="00202DC6">
                  <w:pPr>
                    <w:keepNext/>
                    <w:rPr>
                      <w:color w:val="7B7B7B"/>
                      <w:sz w:val="16"/>
                      <w:szCs w:val="16"/>
                    </w:rPr>
                  </w:pPr>
                </w:p>
                <w:p w:rsidR="007C2F2B" w:rsidRPr="004C130F" w:rsidRDefault="007C2F2B" w:rsidP="00202DC6">
                  <w:pPr>
                    <w:keepNext/>
                    <w:rPr>
                      <w:color w:val="7B7B7B"/>
                      <w:sz w:val="16"/>
                      <w:szCs w:val="16"/>
                    </w:rPr>
                  </w:pPr>
                  <w:r w:rsidRPr="004C130F">
                    <w:rPr>
                      <w:color w:val="7B7B7B"/>
                      <w:sz w:val="16"/>
                      <w:szCs w:val="16"/>
                    </w:rPr>
                    <w:t>Annuel</w:t>
                  </w:r>
                </w:p>
              </w:tc>
            </w:tr>
            <w:tr w:rsidR="007C2F2B" w:rsidRPr="004C130F" w:rsidTr="00202DC6">
              <w:tc>
                <w:tcPr>
                  <w:tcW w:w="725"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rPr>
                      <w:color w:val="7B7B7B"/>
                      <w:sz w:val="16"/>
                      <w:szCs w:val="16"/>
                    </w:rPr>
                  </w:pPr>
                </w:p>
                <w:p w:rsidR="007C2F2B" w:rsidRPr="004C130F" w:rsidRDefault="00AD2119" w:rsidP="00202DC6">
                  <w:pPr>
                    <w:keepNext/>
                    <w:rPr>
                      <w:color w:val="7B7B7B"/>
                      <w:sz w:val="16"/>
                      <w:szCs w:val="16"/>
                    </w:rPr>
                  </w:pPr>
                  <w:r>
                    <w:rPr>
                      <w:color w:val="7B7B7B"/>
                      <w:sz w:val="16"/>
                      <w:szCs w:val="16"/>
                    </w:rPr>
                    <w:t>CV 4c</w:t>
                  </w:r>
                </w:p>
                <w:p w:rsidR="007C2F2B" w:rsidRPr="004C130F" w:rsidRDefault="007C2F2B" w:rsidP="00202DC6">
                  <w:pPr>
                    <w:keepNext/>
                    <w:rPr>
                      <w:color w:val="7B7B7B"/>
                      <w:sz w:val="16"/>
                      <w:szCs w:val="16"/>
                    </w:rPr>
                  </w:pPr>
                </w:p>
                <w:p w:rsidR="007C2F2B" w:rsidRPr="004C130F" w:rsidRDefault="007C2F2B" w:rsidP="00202DC6">
                  <w:pPr>
                    <w:keepNext/>
                    <w:rPr>
                      <w:color w:val="7B7B7B"/>
                      <w:sz w:val="16"/>
                      <w:szCs w:val="16"/>
                    </w:rPr>
                  </w:pPr>
                </w:p>
              </w:tc>
              <w:tc>
                <w:tcPr>
                  <w:tcW w:w="1134" w:type="dxa"/>
                  <w:tcBorders>
                    <w:top w:val="single" w:sz="4" w:space="0" w:color="auto"/>
                    <w:left w:val="single" w:sz="4" w:space="0" w:color="auto"/>
                    <w:bottom w:val="single" w:sz="4" w:space="0" w:color="auto"/>
                    <w:right w:val="single" w:sz="4" w:space="0" w:color="auto"/>
                  </w:tcBorders>
                </w:tcPr>
                <w:p w:rsidR="007C2F2B" w:rsidRPr="004C130F" w:rsidRDefault="00AD2119" w:rsidP="006B5634">
                  <w:pPr>
                    <w:pStyle w:val="Default"/>
                    <w:rPr>
                      <w:color w:val="7B7B7B"/>
                      <w:sz w:val="16"/>
                      <w:szCs w:val="16"/>
                    </w:rPr>
                  </w:pPr>
                  <w:r w:rsidRPr="00AD2119">
                    <w:rPr>
                      <w:rFonts w:ascii="Times New Roman" w:hAnsi="Times New Roman" w:cs="Times New Roman"/>
                      <w:color w:val="7B7B7B"/>
                      <w:sz w:val="16"/>
                      <w:szCs w:val="16"/>
                    </w:rPr>
                    <w:t>Valeur de matériel informatique et des logiciels / licences liés à la COVID-19, financés</w:t>
                  </w:r>
                  <w:r>
                    <w:rPr>
                      <w:rFonts w:ascii="Times New Roman" w:hAnsi="Times New Roman" w:cs="Times New Roman"/>
                      <w:color w:val="7B7B7B"/>
                      <w:sz w:val="16"/>
                      <w:szCs w:val="16"/>
                    </w:rPr>
                    <w:t xml:space="preserve"> pour l’éducation</w:t>
                  </w:r>
                </w:p>
              </w:tc>
              <w:tc>
                <w:tcPr>
                  <w:tcW w:w="567"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rPr>
                      <w:color w:val="7B7B7B"/>
                      <w:sz w:val="16"/>
                      <w:szCs w:val="16"/>
                    </w:rPr>
                  </w:pPr>
                </w:p>
                <w:p w:rsidR="007C2F2B" w:rsidRPr="004C130F" w:rsidRDefault="006B5634" w:rsidP="00AD2119">
                  <w:pPr>
                    <w:keepNext/>
                    <w:rPr>
                      <w:color w:val="7B7B7B"/>
                      <w:sz w:val="16"/>
                      <w:szCs w:val="16"/>
                    </w:rPr>
                  </w:pPr>
                  <w:r>
                    <w:rPr>
                      <w:color w:val="7B7B7B"/>
                      <w:sz w:val="16"/>
                      <w:szCs w:val="16"/>
                    </w:rPr>
                    <w:t>E</w:t>
                  </w:r>
                  <w:r w:rsidR="00AD2119">
                    <w:rPr>
                      <w:color w:val="7B7B7B"/>
                      <w:sz w:val="16"/>
                      <w:szCs w:val="16"/>
                    </w:rPr>
                    <w:t>uros</w:t>
                  </w:r>
                </w:p>
              </w:tc>
              <w:tc>
                <w:tcPr>
                  <w:tcW w:w="567"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rPr>
                      <w:color w:val="7B7B7B"/>
                      <w:sz w:val="16"/>
                      <w:szCs w:val="16"/>
                    </w:rPr>
                  </w:pPr>
                </w:p>
                <w:p w:rsidR="007C2F2B" w:rsidRPr="004C130F" w:rsidRDefault="007C2F2B" w:rsidP="00202DC6">
                  <w:pPr>
                    <w:keepNext/>
                    <w:rPr>
                      <w:color w:val="7B7B7B"/>
                      <w:sz w:val="16"/>
                      <w:szCs w:val="16"/>
                    </w:rPr>
                  </w:pPr>
                  <w:r w:rsidRPr="004C130F">
                    <w:rPr>
                      <w:color w:val="7B7B7B"/>
                      <w:sz w:val="16"/>
                      <w:szCs w:val="16"/>
                    </w:rPr>
                    <w:t>0</w:t>
                  </w:r>
                </w:p>
              </w:tc>
              <w:tc>
                <w:tcPr>
                  <w:tcW w:w="706"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rPr>
                      <w:color w:val="7B7B7B"/>
                      <w:sz w:val="16"/>
                      <w:szCs w:val="16"/>
                    </w:rPr>
                  </w:pPr>
                </w:p>
              </w:tc>
              <w:tc>
                <w:tcPr>
                  <w:tcW w:w="287"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7C2F2B" w:rsidRPr="004C130F" w:rsidRDefault="007C2F2B" w:rsidP="00202DC6">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7C2F2B" w:rsidRPr="004C130F" w:rsidRDefault="00AD2119" w:rsidP="00202DC6">
                  <w:pPr>
                    <w:keepNext/>
                    <w:jc w:val="center"/>
                    <w:rPr>
                      <w:color w:val="7B7B7B"/>
                      <w:sz w:val="16"/>
                      <w:szCs w:val="16"/>
                    </w:rPr>
                  </w:pPr>
                  <w:r>
                    <w:rPr>
                      <w:color w:val="7B7B7B"/>
                      <w:sz w:val="16"/>
                      <w:szCs w:val="16"/>
                    </w:rPr>
                    <w:t>11 147 000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2F2B" w:rsidRPr="004C130F" w:rsidRDefault="007C2F2B" w:rsidP="00202DC6">
                  <w:pPr>
                    <w:keepNext/>
                    <w:rPr>
                      <w:color w:val="7B7B7B"/>
                      <w:sz w:val="16"/>
                      <w:szCs w:val="16"/>
                    </w:rPr>
                  </w:pPr>
                </w:p>
                <w:p w:rsidR="007C2F2B" w:rsidRPr="004C130F" w:rsidRDefault="007C2F2B" w:rsidP="00202DC6">
                  <w:pPr>
                    <w:keepNext/>
                    <w:rPr>
                      <w:color w:val="7B7B7B"/>
                      <w:sz w:val="16"/>
                      <w:szCs w:val="16"/>
                    </w:rPr>
                  </w:pPr>
                  <w:r w:rsidRPr="004C130F">
                    <w:rPr>
                      <w:color w:val="7B7B7B"/>
                      <w:sz w:val="16"/>
                      <w:szCs w:val="16"/>
                    </w:rPr>
                    <w:t>Dossiers de demande de subvention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2F2B" w:rsidRPr="004C130F" w:rsidRDefault="007C2F2B" w:rsidP="00202DC6">
                  <w:pPr>
                    <w:keepNext/>
                    <w:rPr>
                      <w:color w:val="7B7B7B"/>
                      <w:sz w:val="16"/>
                      <w:szCs w:val="16"/>
                    </w:rPr>
                  </w:pPr>
                </w:p>
                <w:p w:rsidR="007C2F2B" w:rsidRPr="004C130F" w:rsidRDefault="007C2F2B" w:rsidP="00202DC6">
                  <w:pPr>
                    <w:keepNext/>
                    <w:rPr>
                      <w:color w:val="7B7B7B"/>
                      <w:sz w:val="16"/>
                      <w:szCs w:val="16"/>
                    </w:rPr>
                  </w:pPr>
                  <w:r w:rsidRPr="004C130F">
                    <w:rPr>
                      <w:color w:val="7B7B7B"/>
                      <w:sz w:val="16"/>
                      <w:szCs w:val="16"/>
                    </w:rPr>
                    <w:t>Annuel</w:t>
                  </w:r>
                </w:p>
              </w:tc>
            </w:tr>
            <w:tr w:rsidR="00AD2119" w:rsidRPr="004C130F" w:rsidTr="00202DC6">
              <w:tc>
                <w:tcPr>
                  <w:tcW w:w="725" w:type="dxa"/>
                  <w:tcBorders>
                    <w:top w:val="single" w:sz="4" w:space="0" w:color="auto"/>
                    <w:left w:val="single" w:sz="4" w:space="0" w:color="auto"/>
                    <w:bottom w:val="single" w:sz="4" w:space="0" w:color="auto"/>
                    <w:right w:val="single" w:sz="4" w:space="0" w:color="auto"/>
                  </w:tcBorders>
                </w:tcPr>
                <w:p w:rsidR="00AD2119" w:rsidRPr="004C130F" w:rsidRDefault="00AD2119" w:rsidP="00202DC6">
                  <w:pPr>
                    <w:keepNext/>
                    <w:rPr>
                      <w:color w:val="7B7B7B"/>
                      <w:sz w:val="16"/>
                      <w:szCs w:val="16"/>
                    </w:rPr>
                  </w:pPr>
                  <w:r>
                    <w:rPr>
                      <w:color w:val="7B7B7B"/>
                      <w:sz w:val="16"/>
                      <w:szCs w:val="16"/>
                    </w:rPr>
                    <w:t>CV 4 d</w:t>
                  </w:r>
                </w:p>
              </w:tc>
              <w:tc>
                <w:tcPr>
                  <w:tcW w:w="1134" w:type="dxa"/>
                  <w:tcBorders>
                    <w:top w:val="single" w:sz="4" w:space="0" w:color="auto"/>
                    <w:left w:val="single" w:sz="4" w:space="0" w:color="auto"/>
                    <w:bottom w:val="single" w:sz="4" w:space="0" w:color="auto"/>
                    <w:right w:val="single" w:sz="4" w:space="0" w:color="auto"/>
                  </w:tcBorders>
                </w:tcPr>
                <w:p w:rsidR="00AD2119" w:rsidRPr="00AD2119" w:rsidRDefault="00AD2119" w:rsidP="006B5634">
                  <w:pPr>
                    <w:pStyle w:val="Default"/>
                    <w:rPr>
                      <w:rFonts w:ascii="Times New Roman" w:hAnsi="Times New Roman" w:cs="Times New Roman"/>
                      <w:color w:val="7B7B7B"/>
                      <w:sz w:val="16"/>
                      <w:szCs w:val="16"/>
                    </w:rPr>
                  </w:pPr>
                  <w:r w:rsidRPr="00AD2119">
                    <w:rPr>
                      <w:rFonts w:ascii="Times New Roman" w:hAnsi="Times New Roman" w:cs="Times New Roman"/>
                      <w:color w:val="7B7B7B"/>
                      <w:sz w:val="16"/>
                      <w:szCs w:val="16"/>
                    </w:rPr>
                    <w:t>Valeur de matériel informatique et des logiciels / licences liés à la COVID-19, financés</w:t>
                  </w:r>
                  <w:r>
                    <w:rPr>
                      <w:rFonts w:ascii="Times New Roman" w:hAnsi="Times New Roman" w:cs="Times New Roman"/>
                      <w:color w:val="7B7B7B"/>
                      <w:sz w:val="16"/>
                      <w:szCs w:val="16"/>
                    </w:rPr>
                    <w:t xml:space="preserve"> la e </w:t>
                  </w:r>
                  <w:proofErr w:type="spellStart"/>
                  <w:r>
                    <w:rPr>
                      <w:rFonts w:ascii="Times New Roman" w:hAnsi="Times New Roman" w:cs="Times New Roman"/>
                      <w:color w:val="7B7B7B"/>
                      <w:sz w:val="16"/>
                      <w:szCs w:val="16"/>
                    </w:rPr>
                    <w:t>adminstration</w:t>
                  </w:r>
                  <w:proofErr w:type="spellEnd"/>
                </w:p>
              </w:tc>
              <w:tc>
                <w:tcPr>
                  <w:tcW w:w="567" w:type="dxa"/>
                  <w:tcBorders>
                    <w:top w:val="single" w:sz="4" w:space="0" w:color="auto"/>
                    <w:left w:val="single" w:sz="4" w:space="0" w:color="auto"/>
                    <w:bottom w:val="single" w:sz="4" w:space="0" w:color="auto"/>
                    <w:right w:val="single" w:sz="4" w:space="0" w:color="auto"/>
                  </w:tcBorders>
                </w:tcPr>
                <w:p w:rsidR="00AD2119" w:rsidRPr="004C130F" w:rsidRDefault="00AD2119" w:rsidP="00202DC6">
                  <w:pPr>
                    <w:keepNext/>
                    <w:rPr>
                      <w:color w:val="7B7B7B"/>
                      <w:sz w:val="16"/>
                      <w:szCs w:val="16"/>
                    </w:rPr>
                  </w:pPr>
                  <w:r>
                    <w:rPr>
                      <w:color w:val="7B7B7B"/>
                      <w:sz w:val="16"/>
                      <w:szCs w:val="16"/>
                    </w:rPr>
                    <w:t>Euros</w:t>
                  </w:r>
                </w:p>
              </w:tc>
              <w:tc>
                <w:tcPr>
                  <w:tcW w:w="567" w:type="dxa"/>
                  <w:tcBorders>
                    <w:top w:val="single" w:sz="4" w:space="0" w:color="auto"/>
                    <w:left w:val="single" w:sz="4" w:space="0" w:color="auto"/>
                    <w:bottom w:val="single" w:sz="4" w:space="0" w:color="auto"/>
                    <w:right w:val="single" w:sz="4" w:space="0" w:color="auto"/>
                  </w:tcBorders>
                </w:tcPr>
                <w:p w:rsidR="00AD2119" w:rsidRPr="004C130F" w:rsidRDefault="00AD2119" w:rsidP="00202DC6">
                  <w:pPr>
                    <w:keepNext/>
                    <w:rPr>
                      <w:color w:val="7B7B7B"/>
                      <w:sz w:val="16"/>
                      <w:szCs w:val="16"/>
                    </w:rPr>
                  </w:pPr>
                </w:p>
              </w:tc>
              <w:tc>
                <w:tcPr>
                  <w:tcW w:w="706" w:type="dxa"/>
                  <w:tcBorders>
                    <w:top w:val="single" w:sz="4" w:space="0" w:color="auto"/>
                    <w:left w:val="single" w:sz="4" w:space="0" w:color="auto"/>
                    <w:bottom w:val="single" w:sz="4" w:space="0" w:color="auto"/>
                    <w:right w:val="single" w:sz="4" w:space="0" w:color="auto"/>
                  </w:tcBorders>
                </w:tcPr>
                <w:p w:rsidR="00AD2119" w:rsidRPr="004C130F" w:rsidRDefault="00AD2119" w:rsidP="00202DC6">
                  <w:pPr>
                    <w:keepNext/>
                    <w:rPr>
                      <w:color w:val="7B7B7B"/>
                      <w:sz w:val="16"/>
                      <w:szCs w:val="16"/>
                    </w:rPr>
                  </w:pPr>
                </w:p>
              </w:tc>
              <w:tc>
                <w:tcPr>
                  <w:tcW w:w="287" w:type="dxa"/>
                  <w:tcBorders>
                    <w:top w:val="single" w:sz="4" w:space="0" w:color="auto"/>
                    <w:left w:val="single" w:sz="4" w:space="0" w:color="auto"/>
                    <w:bottom w:val="single" w:sz="4" w:space="0" w:color="auto"/>
                    <w:right w:val="single" w:sz="4" w:space="0" w:color="auto"/>
                  </w:tcBorders>
                </w:tcPr>
                <w:p w:rsidR="00AD2119" w:rsidRPr="004C130F" w:rsidRDefault="00AD2119" w:rsidP="00202DC6">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AD2119" w:rsidRPr="004C130F" w:rsidRDefault="00AD2119" w:rsidP="00202DC6">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AD2119" w:rsidRDefault="003219DC" w:rsidP="00202DC6">
                  <w:pPr>
                    <w:keepNext/>
                    <w:jc w:val="center"/>
                    <w:rPr>
                      <w:color w:val="7B7B7B"/>
                      <w:sz w:val="16"/>
                      <w:szCs w:val="16"/>
                    </w:rPr>
                  </w:pPr>
                  <w:r>
                    <w:rPr>
                      <w:color w:val="7B7B7B"/>
                      <w:sz w:val="16"/>
                      <w:szCs w:val="16"/>
                    </w:rPr>
                    <w:t>11 719 000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2119" w:rsidRPr="004C130F" w:rsidRDefault="003219DC" w:rsidP="00202DC6">
                  <w:pPr>
                    <w:keepNext/>
                    <w:rPr>
                      <w:color w:val="7B7B7B"/>
                      <w:sz w:val="16"/>
                      <w:szCs w:val="16"/>
                    </w:rPr>
                  </w:pPr>
                  <w:r w:rsidRPr="004C130F">
                    <w:rPr>
                      <w:color w:val="7B7B7B"/>
                      <w:sz w:val="16"/>
                      <w:szCs w:val="16"/>
                    </w:rPr>
                    <w:t>Dossiers de demande de subvention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2119" w:rsidRPr="004C130F" w:rsidRDefault="003219DC" w:rsidP="00202DC6">
                  <w:pPr>
                    <w:keepNext/>
                    <w:rPr>
                      <w:color w:val="7B7B7B"/>
                      <w:sz w:val="16"/>
                      <w:szCs w:val="16"/>
                    </w:rPr>
                  </w:pPr>
                  <w:r>
                    <w:rPr>
                      <w:color w:val="7B7B7B"/>
                      <w:sz w:val="16"/>
                      <w:szCs w:val="16"/>
                    </w:rPr>
                    <w:t>Annuel</w:t>
                  </w:r>
                </w:p>
              </w:tc>
            </w:tr>
          </w:tbl>
          <w:p w:rsidR="007C2F2B" w:rsidRPr="004C130F" w:rsidRDefault="007C2F2B" w:rsidP="00202DC6">
            <w:pPr>
              <w:rPr>
                <w:b/>
              </w:rPr>
            </w:pPr>
          </w:p>
        </w:tc>
      </w:tr>
      <w:tr w:rsidR="007C2F2B" w:rsidRPr="00BC4C34" w:rsidTr="003773F9">
        <w:tc>
          <w:tcPr>
            <w:tcW w:w="2127" w:type="dxa"/>
            <w:shd w:val="clear" w:color="auto" w:fill="auto"/>
          </w:tcPr>
          <w:p w:rsidR="007C2F2B" w:rsidRPr="00431262" w:rsidRDefault="007C2F2B" w:rsidP="00202DC6">
            <w:pPr>
              <w:tabs>
                <w:tab w:val="num" w:pos="720"/>
              </w:tabs>
              <w:autoSpaceDE w:val="0"/>
              <w:autoSpaceDN w:val="0"/>
              <w:adjustRightInd w:val="0"/>
              <w:jc w:val="center"/>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1F4E79"/>
              </w:rPr>
            </w:pPr>
            <w:r w:rsidRPr="00431262">
              <w:rPr>
                <w:rFonts w:ascii="Calibri" w:hAnsi="Calibri"/>
                <w:b/>
                <w:color w:val="1F4E79"/>
              </w:rPr>
              <w:t>Description du type d’actions</w:t>
            </w:r>
          </w:p>
          <w:p w:rsidR="007C2F2B" w:rsidRPr="00431262" w:rsidRDefault="007C2F2B" w:rsidP="00202DC6">
            <w:pPr>
              <w:tabs>
                <w:tab w:val="num" w:pos="720"/>
              </w:tabs>
              <w:autoSpaceDE w:val="0"/>
              <w:autoSpaceDN w:val="0"/>
              <w:adjustRightInd w:val="0"/>
              <w:jc w:val="center"/>
              <w:rPr>
                <w:rFonts w:ascii="Calibri" w:hAnsi="Calibri"/>
                <w:b/>
                <w:color w:val="0000FF"/>
              </w:rPr>
            </w:pPr>
          </w:p>
        </w:tc>
        <w:tc>
          <w:tcPr>
            <w:tcW w:w="7484" w:type="dxa"/>
            <w:shd w:val="clear" w:color="auto" w:fill="auto"/>
          </w:tcPr>
          <w:p w:rsidR="007C2F2B" w:rsidRPr="004C130F" w:rsidRDefault="007C2F2B" w:rsidP="00202DC6">
            <w:pPr>
              <w:pStyle w:val="Paragraphedeliste"/>
              <w:autoSpaceDE w:val="0"/>
              <w:autoSpaceDN w:val="0"/>
              <w:adjustRightInd w:val="0"/>
              <w:rPr>
                <w:rFonts w:eastAsia="Calibri"/>
                <w:color w:val="000000"/>
              </w:rPr>
            </w:pPr>
          </w:p>
          <w:p w:rsidR="00A24AC0" w:rsidRPr="002F0EF4" w:rsidRDefault="00A24AC0" w:rsidP="00A24AC0">
            <w:pPr>
              <w:pStyle w:val="Paragraphedeliste"/>
              <w:numPr>
                <w:ilvl w:val="0"/>
                <w:numId w:val="13"/>
              </w:numPr>
              <w:tabs>
                <w:tab w:val="left" w:pos="2780"/>
              </w:tabs>
              <w:contextualSpacing/>
              <w:jc w:val="both"/>
              <w:rPr>
                <w:rFonts w:ascii="Arial" w:hAnsi="Arial" w:cs="Arial"/>
                <w:sz w:val="20"/>
                <w:szCs w:val="20"/>
              </w:rPr>
            </w:pPr>
            <w:r w:rsidRPr="002F0EF4">
              <w:rPr>
                <w:rFonts w:ascii="Arial" w:hAnsi="Arial" w:cs="Arial"/>
                <w:sz w:val="20"/>
                <w:szCs w:val="20"/>
              </w:rPr>
              <w:t>Action en faveur du développement des compétences numériques afin de réduire l’inégalité sociale</w:t>
            </w:r>
            <w:r>
              <w:rPr>
                <w:rFonts w:ascii="Arial" w:hAnsi="Arial" w:cs="Arial"/>
                <w:sz w:val="20"/>
                <w:szCs w:val="20"/>
              </w:rPr>
              <w:t> ;</w:t>
            </w:r>
          </w:p>
          <w:p w:rsidR="00A24AC0" w:rsidRDefault="00A24AC0" w:rsidP="00A24AC0">
            <w:pPr>
              <w:pStyle w:val="Paragraphedeliste"/>
              <w:numPr>
                <w:ilvl w:val="0"/>
                <w:numId w:val="13"/>
              </w:numPr>
              <w:tabs>
                <w:tab w:val="left" w:pos="2780"/>
              </w:tabs>
              <w:contextualSpacing/>
              <w:jc w:val="both"/>
              <w:rPr>
                <w:rFonts w:ascii="Arial" w:hAnsi="Arial" w:cs="Arial"/>
                <w:sz w:val="20"/>
                <w:szCs w:val="20"/>
              </w:rPr>
            </w:pPr>
            <w:r>
              <w:rPr>
                <w:rFonts w:ascii="Arial" w:hAnsi="Arial" w:cs="Arial"/>
                <w:sz w:val="20"/>
                <w:szCs w:val="20"/>
              </w:rPr>
              <w:t>Soutien d</w:t>
            </w:r>
            <w:r w:rsidRPr="002F0EF4">
              <w:rPr>
                <w:rFonts w:ascii="Arial" w:hAnsi="Arial" w:cs="Arial"/>
                <w:sz w:val="20"/>
                <w:szCs w:val="20"/>
              </w:rPr>
              <w:t>u déploiement du télétravail et de la numérisation des activités</w:t>
            </w:r>
            <w:r>
              <w:rPr>
                <w:rFonts w:ascii="Arial" w:hAnsi="Arial" w:cs="Arial"/>
                <w:sz w:val="20"/>
                <w:szCs w:val="20"/>
              </w:rPr>
              <w:t> ;</w:t>
            </w:r>
            <w:r w:rsidRPr="002F0EF4">
              <w:rPr>
                <w:rFonts w:ascii="Arial" w:hAnsi="Arial" w:cs="Arial"/>
                <w:sz w:val="20"/>
                <w:szCs w:val="20"/>
              </w:rPr>
              <w:t xml:space="preserve"> </w:t>
            </w:r>
          </w:p>
          <w:p w:rsidR="00A24AC0" w:rsidRDefault="00A24AC0" w:rsidP="00A24AC0">
            <w:pPr>
              <w:pStyle w:val="Paragraphedeliste"/>
              <w:numPr>
                <w:ilvl w:val="0"/>
                <w:numId w:val="13"/>
              </w:numPr>
              <w:tabs>
                <w:tab w:val="left" w:pos="2780"/>
              </w:tabs>
              <w:contextualSpacing/>
              <w:jc w:val="both"/>
              <w:rPr>
                <w:rFonts w:ascii="Arial" w:hAnsi="Arial" w:cs="Arial"/>
                <w:sz w:val="20"/>
                <w:szCs w:val="20"/>
              </w:rPr>
            </w:pPr>
            <w:r>
              <w:rPr>
                <w:rFonts w:ascii="Arial" w:hAnsi="Arial" w:cs="Arial"/>
                <w:sz w:val="20"/>
                <w:szCs w:val="20"/>
              </w:rPr>
              <w:t>Constitution d’espaces numériques</w:t>
            </w:r>
          </w:p>
          <w:p w:rsidR="00A24AC0" w:rsidRDefault="00A24AC0" w:rsidP="00A24AC0">
            <w:pPr>
              <w:pStyle w:val="Paragraphedeliste"/>
              <w:numPr>
                <w:ilvl w:val="0"/>
                <w:numId w:val="13"/>
              </w:numPr>
              <w:tabs>
                <w:tab w:val="left" w:pos="2780"/>
              </w:tabs>
              <w:contextualSpacing/>
              <w:jc w:val="both"/>
              <w:rPr>
                <w:rFonts w:ascii="Arial" w:hAnsi="Arial" w:cs="Arial"/>
                <w:sz w:val="20"/>
                <w:szCs w:val="20"/>
              </w:rPr>
            </w:pPr>
            <w:r>
              <w:rPr>
                <w:rFonts w:ascii="Arial" w:hAnsi="Arial" w:cs="Arial"/>
                <w:sz w:val="20"/>
                <w:szCs w:val="20"/>
              </w:rPr>
              <w:t xml:space="preserve">Accélérer le déploiement de la télémédecine et d’autres outils numériques permettant une prise en charge plus efficiente de la population </w:t>
            </w:r>
          </w:p>
          <w:p w:rsidR="00A24AC0" w:rsidRDefault="00A24AC0" w:rsidP="00A24AC0">
            <w:pPr>
              <w:pStyle w:val="Paragraphedeliste"/>
              <w:numPr>
                <w:ilvl w:val="0"/>
                <w:numId w:val="13"/>
              </w:numPr>
              <w:tabs>
                <w:tab w:val="left" w:pos="2780"/>
              </w:tabs>
              <w:contextualSpacing/>
              <w:jc w:val="both"/>
              <w:rPr>
                <w:rFonts w:ascii="Arial" w:hAnsi="Arial" w:cs="Arial"/>
                <w:sz w:val="20"/>
                <w:szCs w:val="20"/>
              </w:rPr>
            </w:pPr>
            <w:r w:rsidRPr="002132ED">
              <w:rPr>
                <w:rFonts w:ascii="Arial" w:hAnsi="Arial" w:cs="Arial"/>
                <w:sz w:val="20"/>
                <w:szCs w:val="20"/>
              </w:rPr>
              <w:t>Accompagnement de l’écosystème régional de la médiation numérique</w:t>
            </w:r>
            <w:r w:rsidRPr="00A147D4">
              <w:rPr>
                <w:rFonts w:ascii="Arial" w:hAnsi="Arial" w:cs="Arial"/>
                <w:sz w:val="20"/>
                <w:szCs w:val="20"/>
              </w:rPr>
              <w:t xml:space="preserve"> </w:t>
            </w:r>
          </w:p>
          <w:p w:rsidR="00A24AC0" w:rsidRPr="00473830" w:rsidRDefault="00A24AC0" w:rsidP="00A24AC0">
            <w:pPr>
              <w:pStyle w:val="Paragraphedeliste"/>
              <w:numPr>
                <w:ilvl w:val="0"/>
                <w:numId w:val="13"/>
              </w:numPr>
              <w:tabs>
                <w:tab w:val="left" w:pos="2780"/>
              </w:tabs>
              <w:contextualSpacing/>
              <w:jc w:val="both"/>
              <w:rPr>
                <w:rFonts w:ascii="Arial" w:hAnsi="Arial" w:cs="Arial"/>
                <w:sz w:val="20"/>
                <w:szCs w:val="20"/>
              </w:rPr>
            </w:pPr>
            <w:r w:rsidRPr="002F0EF4">
              <w:rPr>
                <w:rFonts w:ascii="Arial" w:hAnsi="Arial" w:cs="Arial"/>
                <w:sz w:val="20"/>
                <w:szCs w:val="20"/>
              </w:rPr>
              <w:t>Soutien à l’acquisition de l’équipement numérique</w:t>
            </w:r>
            <w:r>
              <w:rPr>
                <w:rFonts w:ascii="Arial" w:hAnsi="Arial" w:cs="Arial"/>
                <w:sz w:val="20"/>
                <w:szCs w:val="20"/>
              </w:rPr>
              <w:t> ;</w:t>
            </w:r>
          </w:p>
          <w:p w:rsidR="007C2F2B" w:rsidRPr="004C130F" w:rsidRDefault="007C2F2B" w:rsidP="00202DC6">
            <w:pPr>
              <w:keepNext/>
              <w:jc w:val="both"/>
              <w:rPr>
                <w:rFonts w:eastAsia="Calibri"/>
              </w:rPr>
            </w:pPr>
          </w:p>
        </w:tc>
      </w:tr>
      <w:tr w:rsidR="007C2F2B" w:rsidRPr="00BC4C34" w:rsidTr="003773F9">
        <w:tc>
          <w:tcPr>
            <w:tcW w:w="2127" w:type="dxa"/>
            <w:shd w:val="clear" w:color="auto" w:fill="auto"/>
          </w:tcPr>
          <w:p w:rsidR="007C2F2B" w:rsidRPr="00431262" w:rsidRDefault="007C2F2B" w:rsidP="00202DC6">
            <w:pPr>
              <w:tabs>
                <w:tab w:val="num" w:pos="720"/>
              </w:tabs>
              <w:autoSpaceDE w:val="0"/>
              <w:autoSpaceDN w:val="0"/>
              <w:adjustRightInd w:val="0"/>
              <w:jc w:val="center"/>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1F4E79"/>
              </w:rPr>
            </w:pPr>
            <w:r w:rsidRPr="00431262">
              <w:rPr>
                <w:rFonts w:ascii="Calibri" w:hAnsi="Calibri"/>
                <w:b/>
                <w:color w:val="1F4E79"/>
              </w:rPr>
              <w:t xml:space="preserve">Critères d’éligibilité </w:t>
            </w:r>
          </w:p>
          <w:p w:rsidR="007C2F2B" w:rsidRPr="00431262" w:rsidRDefault="007C2F2B" w:rsidP="00202DC6">
            <w:pPr>
              <w:tabs>
                <w:tab w:val="num" w:pos="720"/>
              </w:tabs>
              <w:autoSpaceDE w:val="0"/>
              <w:autoSpaceDN w:val="0"/>
              <w:adjustRightInd w:val="0"/>
              <w:rPr>
                <w:rFonts w:ascii="Calibri" w:hAnsi="Calibri"/>
                <w:b/>
                <w:color w:val="0000FF"/>
              </w:rPr>
            </w:pPr>
          </w:p>
        </w:tc>
        <w:tc>
          <w:tcPr>
            <w:tcW w:w="7484" w:type="dxa"/>
            <w:shd w:val="clear" w:color="auto" w:fill="auto"/>
          </w:tcPr>
          <w:p w:rsidR="003C3A7B" w:rsidRDefault="003C3A7B" w:rsidP="003C3A7B">
            <w:pPr>
              <w:jc w:val="both"/>
              <w:rPr>
                <w:color w:val="000000"/>
              </w:rPr>
            </w:pPr>
          </w:p>
          <w:p w:rsidR="003C3A7B" w:rsidRPr="00C6742E" w:rsidRDefault="003C3A7B" w:rsidP="003C3A7B">
            <w:pPr>
              <w:pStyle w:val="Paragraphedeliste"/>
              <w:numPr>
                <w:ilvl w:val="0"/>
                <w:numId w:val="16"/>
              </w:numPr>
              <w:spacing w:after="160" w:line="259" w:lineRule="auto"/>
              <w:contextualSpacing/>
            </w:pPr>
            <w:r w:rsidRPr="00C6742E">
              <w:t>Les projets doivent apporter une réponse concrète à des problématiques rencontrées pendant la crise sanitaire ;</w:t>
            </w:r>
          </w:p>
          <w:p w:rsidR="003C3A7B" w:rsidRPr="00C6742E" w:rsidRDefault="003C3A7B" w:rsidP="003C3A7B">
            <w:pPr>
              <w:pStyle w:val="Paragraphedeliste"/>
              <w:rPr>
                <w:sz w:val="10"/>
                <w:szCs w:val="10"/>
              </w:rPr>
            </w:pPr>
          </w:p>
          <w:p w:rsidR="003C3A7B" w:rsidRPr="00C6742E" w:rsidRDefault="003C3A7B" w:rsidP="003C3A7B">
            <w:pPr>
              <w:pStyle w:val="Paragraphedeliste"/>
              <w:numPr>
                <w:ilvl w:val="0"/>
                <w:numId w:val="16"/>
              </w:numPr>
              <w:spacing w:after="160" w:line="259" w:lineRule="auto"/>
              <w:contextualSpacing/>
            </w:pPr>
            <w:r w:rsidRPr="00C6742E">
              <w:t xml:space="preserve">Concernant les projets autour de la continuité d’activité des administrations, le porteur devra présenter la cohérence de la stratégie proposée : </w:t>
            </w:r>
            <w:r w:rsidRPr="00FC4296">
              <w:rPr>
                <w:strike/>
                <w:color w:val="FF0000"/>
              </w:rPr>
              <w:t>par exemple l’adossement de l’équipement en télétravail à un Plan de continuité d’activité (PCA)</w:t>
            </w:r>
            <w:r w:rsidRPr="00C6742E">
              <w:t xml:space="preserve">, </w:t>
            </w:r>
            <w:r w:rsidR="00FC4296" w:rsidRPr="00FC4296">
              <w:rPr>
                <w:color w:val="FF0000"/>
              </w:rPr>
              <w:t>notamment</w:t>
            </w:r>
            <w:r w:rsidR="00FC4296">
              <w:rPr>
                <w:color w:val="FF0000"/>
              </w:rPr>
              <w:t xml:space="preserve"> par</w:t>
            </w:r>
            <w:bookmarkStart w:id="0" w:name="_GoBack"/>
            <w:bookmarkEnd w:id="0"/>
            <w:r w:rsidR="00FC4296">
              <w:t xml:space="preserve"> </w:t>
            </w:r>
            <w:r w:rsidRPr="00C6742E">
              <w:t>la justification de la dématérialisation de certains services, la poursuite de la dynamique au-delà de la crise sanitaire…</w:t>
            </w:r>
          </w:p>
          <w:p w:rsidR="003C3A7B" w:rsidRPr="00C6742E" w:rsidRDefault="003C3A7B" w:rsidP="003C3A7B">
            <w:pPr>
              <w:pStyle w:val="Paragraphedeliste"/>
              <w:rPr>
                <w:sz w:val="10"/>
                <w:szCs w:val="10"/>
              </w:rPr>
            </w:pPr>
          </w:p>
          <w:p w:rsidR="003C3A7B" w:rsidRPr="00C6742E" w:rsidRDefault="003C3A7B" w:rsidP="003C3A7B">
            <w:pPr>
              <w:pStyle w:val="Paragraphedeliste"/>
              <w:numPr>
                <w:ilvl w:val="0"/>
                <w:numId w:val="16"/>
              </w:numPr>
              <w:spacing w:after="160" w:line="259" w:lineRule="auto"/>
              <w:contextualSpacing/>
            </w:pPr>
            <w:r w:rsidRPr="00C6742E">
              <w:t>Pour les projets d’équipements pour assurer la continuité éducative, le porteur devra justifier la cohérence de la stratégie adoptée et la méthode retenue pour la sélection des bénéficiaires finaux, de la distribution et du suivi du matériel ;</w:t>
            </w:r>
          </w:p>
          <w:p w:rsidR="003C3A7B" w:rsidRPr="00C6742E" w:rsidRDefault="003C3A7B" w:rsidP="003C3A7B">
            <w:pPr>
              <w:pStyle w:val="Paragraphedeliste"/>
              <w:rPr>
                <w:sz w:val="10"/>
                <w:szCs w:val="10"/>
              </w:rPr>
            </w:pPr>
          </w:p>
          <w:p w:rsidR="003C3A7B" w:rsidRPr="00C6742E" w:rsidRDefault="003C3A7B" w:rsidP="003C3A7B">
            <w:pPr>
              <w:pStyle w:val="Paragraphedeliste"/>
              <w:numPr>
                <w:ilvl w:val="0"/>
                <w:numId w:val="16"/>
              </w:numPr>
              <w:spacing w:after="160" w:line="259" w:lineRule="auto"/>
              <w:contextualSpacing/>
            </w:pPr>
            <w:r w:rsidRPr="00C6742E">
              <w:t>Pour les projets portés par les collectivités, le lien devra être fait avec la feuille de route numérique lorsqu’elle existe (cohérence, synergie éventuelle…) ;</w:t>
            </w:r>
          </w:p>
          <w:p w:rsidR="003C3A7B" w:rsidRPr="00C6742E" w:rsidRDefault="003C3A7B" w:rsidP="003C3A7B">
            <w:pPr>
              <w:pStyle w:val="Paragraphedeliste"/>
              <w:rPr>
                <w:sz w:val="10"/>
                <w:szCs w:val="10"/>
              </w:rPr>
            </w:pPr>
          </w:p>
          <w:p w:rsidR="003C3A7B" w:rsidRPr="00C6742E" w:rsidRDefault="003C3A7B" w:rsidP="003C3A7B">
            <w:pPr>
              <w:pStyle w:val="Paragraphedeliste"/>
              <w:numPr>
                <w:ilvl w:val="0"/>
                <w:numId w:val="16"/>
              </w:numPr>
              <w:spacing w:after="160" w:line="259" w:lineRule="auto"/>
              <w:contextualSpacing/>
            </w:pPr>
            <w:r w:rsidRPr="00C6742E">
              <w:t xml:space="preserve">Pour tous les projets dont y compris ceux dont certaines actions ont déjà été menées (distribution de matériel notamment), présenter la manière dont sera envisagée la publicité de l’aide européenne ; </w:t>
            </w:r>
          </w:p>
          <w:p w:rsidR="003C3A7B" w:rsidRPr="00C6742E" w:rsidRDefault="003C3A7B" w:rsidP="003C3A7B">
            <w:pPr>
              <w:pStyle w:val="Paragraphedeliste"/>
              <w:numPr>
                <w:ilvl w:val="0"/>
                <w:numId w:val="16"/>
              </w:numPr>
              <w:spacing w:after="160" w:line="259" w:lineRule="auto"/>
              <w:contextualSpacing/>
            </w:pPr>
            <w:r w:rsidRPr="00C6742E">
              <w:t>Respect de la commande publique ;</w:t>
            </w:r>
          </w:p>
          <w:p w:rsidR="003C3A7B" w:rsidRPr="00C6742E" w:rsidRDefault="003C3A7B" w:rsidP="003C3A7B">
            <w:pPr>
              <w:pStyle w:val="Paragraphedeliste"/>
              <w:numPr>
                <w:ilvl w:val="0"/>
                <w:numId w:val="16"/>
              </w:numPr>
              <w:spacing w:after="160" w:line="259" w:lineRule="auto"/>
              <w:contextualSpacing/>
            </w:pPr>
            <w:r w:rsidRPr="00C6742E">
              <w:lastRenderedPageBreak/>
              <w:t xml:space="preserve">Respect de la réglementation sur les aides d’Etat ; </w:t>
            </w:r>
          </w:p>
          <w:p w:rsidR="003C3A7B" w:rsidRPr="00C6742E" w:rsidRDefault="003C3A7B" w:rsidP="003C3A7B">
            <w:pPr>
              <w:pStyle w:val="Paragraphedeliste"/>
              <w:numPr>
                <w:ilvl w:val="0"/>
                <w:numId w:val="16"/>
              </w:numPr>
              <w:spacing w:after="160" w:line="259" w:lineRule="auto"/>
              <w:contextualSpacing/>
            </w:pPr>
            <w:r w:rsidRPr="00C6742E">
              <w:t xml:space="preserve">Respect des règlements et obligations en matière de numérique (RGPD, </w:t>
            </w:r>
            <w:proofErr w:type="spellStart"/>
            <w:r w:rsidRPr="00C6742E">
              <w:t>cybersécurité</w:t>
            </w:r>
            <w:proofErr w:type="spellEnd"/>
            <w:r w:rsidRPr="00C6742E">
              <w:t>, open data….) ;</w:t>
            </w:r>
          </w:p>
          <w:p w:rsidR="003C3A7B" w:rsidRDefault="003C3A7B" w:rsidP="003C3A7B">
            <w:pPr>
              <w:pStyle w:val="Paragraphedeliste"/>
              <w:numPr>
                <w:ilvl w:val="0"/>
                <w:numId w:val="16"/>
              </w:numPr>
              <w:spacing w:after="160" w:line="259" w:lineRule="auto"/>
              <w:contextualSpacing/>
            </w:pPr>
            <w:r w:rsidRPr="00C6742E">
              <w:t xml:space="preserve">Utilisation des options de coûts simplifiés (15/30/40 %) en fonction de la typologie des dossiers. </w:t>
            </w:r>
          </w:p>
          <w:p w:rsidR="00E67904" w:rsidRPr="007A5042" w:rsidRDefault="00E67904" w:rsidP="00E67904">
            <w:pPr>
              <w:jc w:val="both"/>
              <w:rPr>
                <w:b/>
                <w:color w:val="000000"/>
              </w:rPr>
            </w:pPr>
            <w:r w:rsidRPr="007A5042">
              <w:rPr>
                <w:b/>
                <w:color w:val="000000"/>
              </w:rPr>
              <w:t>Seuil financier</w:t>
            </w:r>
          </w:p>
          <w:p w:rsidR="00E67904" w:rsidRDefault="00E67904" w:rsidP="00E67904">
            <w:pPr>
              <w:autoSpaceDE w:val="0"/>
              <w:autoSpaceDN w:val="0"/>
              <w:adjustRightInd w:val="0"/>
              <w:rPr>
                <w:color w:val="000000"/>
              </w:rPr>
            </w:pPr>
          </w:p>
          <w:p w:rsidR="00E67904" w:rsidRDefault="00E67904" w:rsidP="00C31642">
            <w:pPr>
              <w:pStyle w:val="Paragraphedeliste"/>
              <w:numPr>
                <w:ilvl w:val="0"/>
                <w:numId w:val="21"/>
              </w:numPr>
              <w:spacing w:after="160" w:line="259" w:lineRule="auto"/>
              <w:contextualSpacing/>
              <w:rPr>
                <w:b/>
              </w:rPr>
            </w:pPr>
            <w:r w:rsidRPr="00E67904">
              <w:rPr>
                <w:b/>
              </w:rPr>
              <w:t xml:space="preserve">Pas de plancher de subvention européenne </w:t>
            </w:r>
          </w:p>
          <w:p w:rsidR="00E67904" w:rsidRPr="00E67904" w:rsidRDefault="00E67904" w:rsidP="00E67904">
            <w:pPr>
              <w:pStyle w:val="Paragraphedeliste"/>
              <w:numPr>
                <w:ilvl w:val="0"/>
                <w:numId w:val="21"/>
              </w:numPr>
              <w:spacing w:after="160" w:line="259" w:lineRule="auto"/>
              <w:contextualSpacing/>
              <w:rPr>
                <w:b/>
              </w:rPr>
            </w:pPr>
            <w:r w:rsidRPr="00E67904">
              <w:rPr>
                <w:b/>
              </w:rPr>
              <w:t>Pas de limitation sur l’investissement</w:t>
            </w:r>
          </w:p>
          <w:p w:rsidR="007C2F2B" w:rsidRPr="00AB48AE" w:rsidRDefault="007C2F2B" w:rsidP="00AB48AE">
            <w:pPr>
              <w:contextualSpacing/>
              <w:jc w:val="both"/>
              <w:rPr>
                <w:b/>
              </w:rPr>
            </w:pPr>
          </w:p>
        </w:tc>
      </w:tr>
      <w:tr w:rsidR="007C2F2B" w:rsidRPr="00BC4C34" w:rsidTr="003773F9">
        <w:tc>
          <w:tcPr>
            <w:tcW w:w="2127" w:type="dxa"/>
            <w:shd w:val="clear" w:color="auto" w:fill="auto"/>
          </w:tcPr>
          <w:p w:rsidR="007C2F2B" w:rsidRPr="00431262" w:rsidRDefault="007C2F2B" w:rsidP="00202DC6">
            <w:pPr>
              <w:tabs>
                <w:tab w:val="num" w:pos="720"/>
              </w:tabs>
              <w:autoSpaceDE w:val="0"/>
              <w:autoSpaceDN w:val="0"/>
              <w:adjustRightInd w:val="0"/>
              <w:rPr>
                <w:rFonts w:ascii="Calibri" w:hAnsi="Calibri"/>
                <w:b/>
                <w:color w:val="1F4E79"/>
              </w:rPr>
            </w:pPr>
            <w:r w:rsidRPr="00431262">
              <w:rPr>
                <w:rFonts w:ascii="Calibri" w:hAnsi="Calibri"/>
                <w:b/>
                <w:color w:val="1F4E79"/>
              </w:rPr>
              <w:lastRenderedPageBreak/>
              <w:t>Modalités de sélection des opérations</w:t>
            </w:r>
          </w:p>
        </w:tc>
        <w:tc>
          <w:tcPr>
            <w:tcW w:w="7484" w:type="dxa"/>
            <w:shd w:val="clear" w:color="auto" w:fill="auto"/>
          </w:tcPr>
          <w:p w:rsidR="00AB48AE" w:rsidRPr="00AB48AE" w:rsidRDefault="00AB48AE" w:rsidP="00AB48AE">
            <w:pPr>
              <w:spacing w:after="160" w:line="259" w:lineRule="auto"/>
              <w:contextualSpacing/>
              <w:rPr>
                <w:b/>
              </w:rPr>
            </w:pPr>
            <w:r w:rsidRPr="00AB48AE">
              <w:rPr>
                <w:b/>
              </w:rPr>
              <w:t xml:space="preserve">Sélection au fil de l’eau sans appel à projet </w:t>
            </w:r>
          </w:p>
          <w:p w:rsidR="003C3A7B" w:rsidRDefault="003C3A7B" w:rsidP="003C3A7B">
            <w:pPr>
              <w:contextualSpacing/>
              <w:jc w:val="both"/>
            </w:pPr>
          </w:p>
          <w:p w:rsidR="005C02A5" w:rsidRPr="006D35C0" w:rsidRDefault="005C02A5" w:rsidP="00053FAA">
            <w:pPr>
              <w:spacing w:after="160" w:line="259" w:lineRule="auto"/>
              <w:contextualSpacing/>
            </w:pPr>
          </w:p>
        </w:tc>
      </w:tr>
      <w:tr w:rsidR="007C2F2B" w:rsidRPr="00BC4C34" w:rsidTr="003773F9">
        <w:tc>
          <w:tcPr>
            <w:tcW w:w="2127" w:type="dxa"/>
            <w:shd w:val="clear" w:color="auto" w:fill="auto"/>
          </w:tcPr>
          <w:p w:rsidR="007C2F2B" w:rsidRPr="00431262" w:rsidRDefault="007C2F2B" w:rsidP="00202DC6">
            <w:pPr>
              <w:tabs>
                <w:tab w:val="num" w:pos="720"/>
              </w:tabs>
              <w:autoSpaceDE w:val="0"/>
              <w:autoSpaceDN w:val="0"/>
              <w:adjustRightInd w:val="0"/>
              <w:rPr>
                <w:rFonts w:ascii="Calibri" w:hAnsi="Calibri"/>
                <w:b/>
                <w:color w:val="1F4E79"/>
              </w:rPr>
            </w:pPr>
            <w:r w:rsidRPr="006D35C0">
              <w:rPr>
                <w:rFonts w:ascii="Calibri" w:hAnsi="Calibri"/>
                <w:b/>
                <w:color w:val="1F4E79"/>
              </w:rPr>
              <w:t>Modalités d’instruction des dossiers</w:t>
            </w:r>
          </w:p>
        </w:tc>
        <w:tc>
          <w:tcPr>
            <w:tcW w:w="7484" w:type="dxa"/>
            <w:shd w:val="clear" w:color="auto" w:fill="auto"/>
          </w:tcPr>
          <w:p w:rsidR="000B1469" w:rsidRDefault="007C2F2B" w:rsidP="00202DC6">
            <w:pPr>
              <w:jc w:val="both"/>
              <w:rPr>
                <w:b/>
              </w:rPr>
            </w:pPr>
            <w:r w:rsidRPr="006D35C0">
              <w:rPr>
                <w:b/>
              </w:rPr>
              <w:t xml:space="preserve">Compte tenu de la complexité des dossiers de financement FEDER, il est impératif que le porteur de projet prenne contact en amont du dépôt du dossier, avec le service instructeur </w:t>
            </w:r>
          </w:p>
          <w:p w:rsidR="003C3A7B" w:rsidRDefault="003C3A7B" w:rsidP="00202DC6">
            <w:pPr>
              <w:jc w:val="both"/>
              <w:rPr>
                <w:b/>
              </w:rPr>
            </w:pPr>
          </w:p>
          <w:p w:rsidR="003C3A7B" w:rsidRPr="00C6742E" w:rsidRDefault="003C3A7B" w:rsidP="003C3A7B">
            <w:pPr>
              <w:rPr>
                <w:b/>
                <w:u w:val="single"/>
              </w:rPr>
            </w:pPr>
            <w:r w:rsidRPr="00C6742E">
              <w:rPr>
                <w:b/>
                <w:u w:val="single"/>
              </w:rPr>
              <w:t>Eligibilité des dépenses :</w:t>
            </w:r>
          </w:p>
          <w:p w:rsidR="003C3A7B" w:rsidRPr="00C6742E" w:rsidRDefault="003C3A7B" w:rsidP="003C3A7B">
            <w:pPr>
              <w:pStyle w:val="Paragraphedeliste"/>
              <w:numPr>
                <w:ilvl w:val="0"/>
                <w:numId w:val="18"/>
              </w:numPr>
              <w:spacing w:after="160" w:line="259" w:lineRule="auto"/>
              <w:contextualSpacing/>
            </w:pPr>
            <w:r w:rsidRPr="00C6742E">
              <w:t>Dépenses de personnel directement liées à l’opération ;</w:t>
            </w:r>
          </w:p>
          <w:p w:rsidR="003C3A7B" w:rsidRPr="00C6742E" w:rsidRDefault="003C3A7B" w:rsidP="003C3A7B">
            <w:pPr>
              <w:pStyle w:val="Paragraphedeliste"/>
              <w:numPr>
                <w:ilvl w:val="0"/>
                <w:numId w:val="18"/>
              </w:numPr>
              <w:spacing w:after="160" w:line="259" w:lineRule="auto"/>
              <w:contextualSpacing/>
            </w:pPr>
            <w:r w:rsidRPr="00C6742E">
              <w:t>Les dépenses d’équipements et plus particulièrement les équipements informatiques (matériels portables, de visioconférence et logiciels) ;</w:t>
            </w:r>
          </w:p>
          <w:p w:rsidR="003C3A7B" w:rsidRDefault="003C3A7B" w:rsidP="003C3A7B">
            <w:pPr>
              <w:pStyle w:val="Paragraphedeliste"/>
              <w:numPr>
                <w:ilvl w:val="0"/>
                <w:numId w:val="18"/>
              </w:numPr>
              <w:spacing w:after="160" w:line="259" w:lineRule="auto"/>
              <w:contextualSpacing/>
            </w:pPr>
            <w:r w:rsidRPr="00C6742E">
              <w:t xml:space="preserve">Les dépenses de prestation. </w:t>
            </w:r>
          </w:p>
          <w:p w:rsidR="003C3A7B" w:rsidRPr="00C6742E" w:rsidRDefault="003C3A7B" w:rsidP="003C3A7B">
            <w:pPr>
              <w:pStyle w:val="Paragraphedeliste"/>
              <w:numPr>
                <w:ilvl w:val="0"/>
                <w:numId w:val="18"/>
              </w:numPr>
              <w:spacing w:after="160" w:line="259" w:lineRule="auto"/>
              <w:contextualSpacing/>
            </w:pPr>
            <w:r>
              <w:t>La procédure des coûts simplifiés est appliquée par l‘autorité de gestion (</w:t>
            </w:r>
            <w:proofErr w:type="spellStart"/>
            <w:r>
              <w:t>cf</w:t>
            </w:r>
            <w:proofErr w:type="spellEnd"/>
            <w:r>
              <w:t xml:space="preserve"> Annexe 7)</w:t>
            </w:r>
          </w:p>
          <w:p w:rsidR="003C3A7B" w:rsidRDefault="003C3A7B" w:rsidP="003C3A7B"/>
          <w:p w:rsidR="003C3A7B" w:rsidRPr="00C6742E" w:rsidRDefault="003C3A7B" w:rsidP="003C3A7B">
            <w:pPr>
              <w:rPr>
                <w:b/>
              </w:rPr>
            </w:pPr>
            <w:r w:rsidRPr="00C6742E">
              <w:rPr>
                <w:b/>
              </w:rPr>
              <w:t>Sont inéligibles :</w:t>
            </w:r>
          </w:p>
          <w:p w:rsidR="003C3A7B" w:rsidRPr="00C6742E" w:rsidRDefault="003C3A7B" w:rsidP="003C3A7B">
            <w:pPr>
              <w:pStyle w:val="Paragraphedeliste"/>
              <w:numPr>
                <w:ilvl w:val="0"/>
                <w:numId w:val="19"/>
              </w:numPr>
              <w:spacing w:after="160" w:line="259" w:lineRule="auto"/>
              <w:contextualSpacing/>
            </w:pPr>
            <w:r w:rsidRPr="00C6742E">
              <w:t>Les dépenses liées aux abonnements ;</w:t>
            </w:r>
          </w:p>
          <w:p w:rsidR="003C3A7B" w:rsidRPr="00C6742E" w:rsidRDefault="003C3A7B" w:rsidP="003C3A7B">
            <w:pPr>
              <w:pStyle w:val="Paragraphedeliste"/>
              <w:numPr>
                <w:ilvl w:val="0"/>
                <w:numId w:val="19"/>
              </w:numPr>
              <w:spacing w:after="160" w:line="259" w:lineRule="auto"/>
              <w:contextualSpacing/>
            </w:pPr>
            <w:r w:rsidRPr="00C6742E">
              <w:t xml:space="preserve">Les dépenses liées aux infrastructures réseaux informatiques et internet </w:t>
            </w:r>
            <w:r w:rsidR="004F2F79">
              <w:rPr>
                <w:color w:val="FF0000"/>
              </w:rPr>
              <w:t>à l’exception des espaces de stockage de données strictement nécessaires à la conduite du projet </w:t>
            </w:r>
            <w:r w:rsidRPr="00C6742E">
              <w:t>;</w:t>
            </w:r>
          </w:p>
          <w:p w:rsidR="003C3A7B" w:rsidRPr="00C6742E" w:rsidRDefault="003C3A7B" w:rsidP="003C3A7B">
            <w:pPr>
              <w:pStyle w:val="Paragraphedeliste"/>
              <w:numPr>
                <w:ilvl w:val="0"/>
                <w:numId w:val="19"/>
              </w:numPr>
              <w:spacing w:after="160" w:line="259" w:lineRule="auto"/>
              <w:contextualSpacing/>
            </w:pPr>
            <w:r w:rsidRPr="00C6742E">
              <w:t>Les dépenses liées à l’immobilier ;</w:t>
            </w:r>
          </w:p>
          <w:p w:rsidR="003C3A7B" w:rsidRDefault="003C3A7B" w:rsidP="003C3A7B"/>
          <w:p w:rsidR="003C3A7B" w:rsidRPr="00C6742E" w:rsidRDefault="003C3A7B" w:rsidP="003C3A7B">
            <w:pPr>
              <w:rPr>
                <w:b/>
                <w:u w:val="single"/>
              </w:rPr>
            </w:pPr>
            <w:r w:rsidRPr="00C6742E">
              <w:rPr>
                <w:b/>
                <w:u w:val="single"/>
              </w:rPr>
              <w:t>Bénéficiaires éligibles :</w:t>
            </w:r>
          </w:p>
          <w:p w:rsidR="003C3A7B" w:rsidRPr="00C6742E" w:rsidRDefault="003C3A7B" w:rsidP="003C3A7B">
            <w:r w:rsidRPr="00C6742E">
              <w:t>Région, Départements, EPCI, regroupement de collectivités territoriales, groupements publics et/ou privés, syndicats mixtes, clusters et pôles.</w:t>
            </w:r>
          </w:p>
          <w:p w:rsidR="003C3A7B" w:rsidRPr="00C6742E" w:rsidRDefault="003C3A7B" w:rsidP="003C3A7B">
            <w:r w:rsidRPr="00C6742E">
              <w:t xml:space="preserve">Les communes ne sont pas éligibles en direct mais peuvent faire l’objet d’un financement via des dossiers de partenariat en lien avec leur intercommunalité. </w:t>
            </w:r>
          </w:p>
          <w:p w:rsidR="000B1469" w:rsidRDefault="000B1469" w:rsidP="00202DC6">
            <w:pPr>
              <w:jc w:val="both"/>
            </w:pPr>
          </w:p>
          <w:p w:rsidR="000B1469" w:rsidRDefault="000B1469" w:rsidP="00202DC6">
            <w:pPr>
              <w:jc w:val="both"/>
              <w:rPr>
                <w:b/>
              </w:rPr>
            </w:pPr>
            <w:r w:rsidRPr="00045368">
              <w:rPr>
                <w:b/>
              </w:rPr>
              <w:t>Coûts simplifiés</w:t>
            </w:r>
          </w:p>
          <w:p w:rsidR="00E13B9B" w:rsidRDefault="00E13B9B" w:rsidP="00AB48AE">
            <w:pPr>
              <w:rPr>
                <w:b/>
              </w:rPr>
            </w:pPr>
          </w:p>
          <w:p w:rsidR="00AB48AE" w:rsidRDefault="00AB48AE" w:rsidP="00AB48AE">
            <w:pPr>
              <w:rPr>
                <w:sz w:val="22"/>
                <w:szCs w:val="22"/>
              </w:rPr>
            </w:pPr>
            <w:r>
              <w:t xml:space="preserve"> Le recours aux options de coûts simplifiés relevant des taux forfaitaires s’effectuera conformément aux articles 68, du règlement UE 1303/2013 du </w:t>
            </w:r>
            <w:r>
              <w:lastRenderedPageBreak/>
              <w:t>17 décembre 2013 et 68 bis et 68 ter du règlement UE dit «omnibus» n°2018/1046 du 18 juillet 2018, selon les modalités définies en annexe 7.</w:t>
            </w:r>
          </w:p>
          <w:p w:rsidR="00AB48AE" w:rsidRPr="00045368" w:rsidRDefault="00AB48AE" w:rsidP="00202DC6">
            <w:pPr>
              <w:jc w:val="both"/>
              <w:rPr>
                <w:b/>
              </w:rPr>
            </w:pPr>
          </w:p>
          <w:p w:rsidR="00042EC9" w:rsidRPr="006D35C0" w:rsidRDefault="00042EC9" w:rsidP="00202DC6">
            <w:pPr>
              <w:jc w:val="both"/>
            </w:pPr>
          </w:p>
        </w:tc>
      </w:tr>
      <w:tr w:rsidR="007C2F2B" w:rsidRPr="00BC4C34" w:rsidTr="003773F9">
        <w:tc>
          <w:tcPr>
            <w:tcW w:w="2127" w:type="dxa"/>
            <w:shd w:val="clear" w:color="auto" w:fill="auto"/>
          </w:tcPr>
          <w:p w:rsidR="007C2F2B" w:rsidRPr="006D35C0" w:rsidRDefault="007C2F2B" w:rsidP="00202DC6">
            <w:pPr>
              <w:tabs>
                <w:tab w:val="num" w:pos="720"/>
              </w:tabs>
              <w:autoSpaceDE w:val="0"/>
              <w:autoSpaceDN w:val="0"/>
              <w:adjustRightInd w:val="0"/>
              <w:rPr>
                <w:b/>
                <w:color w:val="1F4E79"/>
              </w:rPr>
            </w:pPr>
            <w:r w:rsidRPr="006D5FAF">
              <w:rPr>
                <w:rFonts w:ascii="Calibri" w:hAnsi="Calibri"/>
                <w:b/>
                <w:color w:val="1F4E79"/>
              </w:rPr>
              <w:lastRenderedPageBreak/>
              <w:t xml:space="preserve">Critères de sélection </w:t>
            </w:r>
          </w:p>
        </w:tc>
        <w:tc>
          <w:tcPr>
            <w:tcW w:w="7484" w:type="dxa"/>
            <w:shd w:val="clear" w:color="auto" w:fill="auto"/>
          </w:tcPr>
          <w:p w:rsidR="007C2F2B" w:rsidRPr="006D35C0" w:rsidRDefault="007C2F2B" w:rsidP="00202DC6">
            <w:pPr>
              <w:jc w:val="both"/>
              <w:rPr>
                <w:b/>
                <w:color w:val="000000"/>
              </w:rPr>
            </w:pPr>
          </w:p>
          <w:p w:rsidR="007C2F2B" w:rsidRDefault="007C2F2B" w:rsidP="00202DC6">
            <w:pPr>
              <w:jc w:val="both"/>
              <w:rPr>
                <w:b/>
                <w:color w:val="000000"/>
              </w:rPr>
            </w:pPr>
            <w:r w:rsidRPr="006D35C0">
              <w:rPr>
                <w:b/>
                <w:color w:val="000000"/>
              </w:rPr>
              <w:t xml:space="preserve">Types de projets : </w:t>
            </w:r>
          </w:p>
          <w:p w:rsidR="00AE7A4C" w:rsidRDefault="00AE7A4C" w:rsidP="00202DC6">
            <w:pPr>
              <w:jc w:val="both"/>
              <w:rPr>
                <w:b/>
                <w:color w:val="000000"/>
              </w:rPr>
            </w:pPr>
          </w:p>
          <w:p w:rsidR="00AE7A4C" w:rsidRDefault="00AE7A4C" w:rsidP="00AE7A4C">
            <w:pPr>
              <w:pStyle w:val="Paragraphedeliste"/>
              <w:numPr>
                <w:ilvl w:val="0"/>
                <w:numId w:val="15"/>
              </w:numPr>
              <w:spacing w:after="160" w:line="259" w:lineRule="auto"/>
              <w:contextualSpacing/>
            </w:pPr>
            <w:r w:rsidRPr="00C6742E">
              <w:t xml:space="preserve">Projet permettant d’assurer la continuité d’activité de l’administration via le déploiement du télétravail et la dématérialisation de services </w:t>
            </w:r>
            <w:r w:rsidR="00A57F91" w:rsidRPr="00C6742E">
              <w:t>essentiels</w:t>
            </w:r>
            <w:r w:rsidRPr="00C6742E">
              <w:t xml:space="preserve"> des administrations locales ;</w:t>
            </w:r>
          </w:p>
          <w:p w:rsidR="00AE7A4C" w:rsidRPr="00C6742E" w:rsidRDefault="00AE7A4C" w:rsidP="00AE7A4C">
            <w:pPr>
              <w:pStyle w:val="Paragraphedeliste"/>
              <w:rPr>
                <w:sz w:val="10"/>
                <w:szCs w:val="10"/>
              </w:rPr>
            </w:pPr>
          </w:p>
          <w:p w:rsidR="00AE7A4C" w:rsidRPr="00C6742E" w:rsidRDefault="00AE7A4C" w:rsidP="00AE7A4C">
            <w:pPr>
              <w:pStyle w:val="Paragraphedeliste"/>
              <w:numPr>
                <w:ilvl w:val="0"/>
                <w:numId w:val="15"/>
              </w:numPr>
              <w:spacing w:after="160" w:line="259" w:lineRule="auto"/>
              <w:contextualSpacing/>
            </w:pPr>
            <w:r w:rsidRPr="00C6742E">
              <w:t>Projets permettant d’assurer la continuité éducative pour les élèves via le déploiement de matériel (pour les collèges et lycées), plus particulièrement pour les élèves et familles en difficultés et le développement des espaces numériques de travail ;</w:t>
            </w:r>
          </w:p>
          <w:p w:rsidR="00AE7A4C" w:rsidRPr="00C6742E" w:rsidRDefault="00AE7A4C" w:rsidP="00AE7A4C">
            <w:pPr>
              <w:pStyle w:val="Paragraphedeliste"/>
              <w:rPr>
                <w:sz w:val="10"/>
                <w:szCs w:val="10"/>
              </w:rPr>
            </w:pPr>
          </w:p>
          <w:p w:rsidR="00AE7A4C" w:rsidRPr="00C6742E" w:rsidRDefault="00AE7A4C" w:rsidP="00AE7A4C">
            <w:pPr>
              <w:pStyle w:val="Paragraphedeliste"/>
              <w:numPr>
                <w:ilvl w:val="0"/>
                <w:numId w:val="15"/>
              </w:numPr>
              <w:spacing w:after="160" w:line="259" w:lineRule="auto"/>
              <w:contextualSpacing/>
            </w:pPr>
            <w:r w:rsidRPr="00C6742E">
              <w:t>Projets des collectivités permettant d’accompagner la transition numérique des entreprises face aux nouveaux modes de consommation</w:t>
            </w:r>
            <w:r>
              <w:t xml:space="preserve"> </w:t>
            </w:r>
            <w:r w:rsidRPr="00C6742E">
              <w:t>;</w:t>
            </w:r>
          </w:p>
          <w:p w:rsidR="00AE7A4C" w:rsidRPr="00C6742E" w:rsidRDefault="00AE7A4C" w:rsidP="00AE7A4C">
            <w:pPr>
              <w:pStyle w:val="Paragraphedeliste"/>
              <w:rPr>
                <w:sz w:val="10"/>
                <w:szCs w:val="10"/>
              </w:rPr>
            </w:pPr>
          </w:p>
          <w:p w:rsidR="00AE7A4C" w:rsidRDefault="00AE7A4C" w:rsidP="005C02A5">
            <w:pPr>
              <w:pStyle w:val="Paragraphedeliste"/>
              <w:numPr>
                <w:ilvl w:val="0"/>
                <w:numId w:val="15"/>
              </w:numPr>
              <w:spacing w:after="160" w:line="259" w:lineRule="auto"/>
              <w:contextualSpacing/>
            </w:pPr>
            <w:r w:rsidRPr="00C6742E">
              <w:t xml:space="preserve">Développer la e-santé pour améliorer les prises en charges et les parcours patients </w:t>
            </w:r>
          </w:p>
          <w:p w:rsidR="00053FAA" w:rsidRDefault="00053FAA" w:rsidP="00053FAA">
            <w:pPr>
              <w:pStyle w:val="Paragraphedeliste"/>
            </w:pPr>
          </w:p>
          <w:p w:rsidR="007C2F2B" w:rsidRPr="00053FAA" w:rsidRDefault="00053FAA" w:rsidP="00053FAA">
            <w:pPr>
              <w:pStyle w:val="Paragraphedeliste"/>
              <w:numPr>
                <w:ilvl w:val="0"/>
                <w:numId w:val="15"/>
              </w:numPr>
              <w:spacing w:after="160" w:line="259" w:lineRule="auto"/>
              <w:contextualSpacing/>
            </w:pPr>
            <w:r w:rsidRPr="00C6742E">
              <w:t xml:space="preserve">La synergie du projet avec les écosystèmes thématiques existants </w:t>
            </w:r>
            <w:r>
              <w:t xml:space="preserve">(par exemple l’écosystème autour e l’e-inclusion). </w:t>
            </w:r>
          </w:p>
          <w:p w:rsidR="007C2F2B" w:rsidRPr="006D35C0" w:rsidRDefault="007C2F2B" w:rsidP="00202DC6">
            <w:pPr>
              <w:jc w:val="both"/>
              <w:rPr>
                <w:color w:val="000000"/>
              </w:rPr>
            </w:pPr>
            <w:r w:rsidRPr="006D35C0">
              <w:rPr>
                <w:b/>
                <w:color w:val="000000"/>
              </w:rPr>
              <w:t>Priorités européennes à prendre en compte</w:t>
            </w:r>
          </w:p>
          <w:p w:rsidR="007C2F2B" w:rsidRPr="006D35C0" w:rsidRDefault="007C2F2B" w:rsidP="00202DC6">
            <w:pPr>
              <w:tabs>
                <w:tab w:val="num" w:pos="720"/>
              </w:tabs>
              <w:autoSpaceDE w:val="0"/>
              <w:autoSpaceDN w:val="0"/>
              <w:adjustRightInd w:val="0"/>
              <w:rPr>
                <w:color w:val="000000"/>
              </w:rPr>
            </w:pPr>
            <w:r w:rsidRPr="006D35C0">
              <w:rPr>
                <w:color w:val="000000"/>
              </w:rPr>
              <w:t>Les projets devront démontrer que leur mise en œuvre prend en compte les trois priorités transversales suivantes:</w:t>
            </w:r>
          </w:p>
          <w:p w:rsidR="007C2F2B" w:rsidRPr="006D35C0" w:rsidRDefault="007C2F2B" w:rsidP="007C2F2B">
            <w:pPr>
              <w:pStyle w:val="Paragraphedeliste"/>
              <w:numPr>
                <w:ilvl w:val="0"/>
                <w:numId w:val="4"/>
              </w:numPr>
              <w:autoSpaceDE w:val="0"/>
              <w:autoSpaceDN w:val="0"/>
              <w:adjustRightInd w:val="0"/>
              <w:contextualSpacing/>
              <w:rPr>
                <w:color w:val="000000"/>
              </w:rPr>
            </w:pPr>
            <w:r w:rsidRPr="006D35C0">
              <w:rPr>
                <w:color w:val="000000"/>
              </w:rPr>
              <w:t>le développement durable,</w:t>
            </w:r>
          </w:p>
          <w:p w:rsidR="007C2F2B" w:rsidRPr="006D35C0" w:rsidRDefault="007C2F2B" w:rsidP="007C2F2B">
            <w:pPr>
              <w:pStyle w:val="Paragraphedeliste"/>
              <w:numPr>
                <w:ilvl w:val="0"/>
                <w:numId w:val="4"/>
              </w:numPr>
              <w:autoSpaceDE w:val="0"/>
              <w:autoSpaceDN w:val="0"/>
              <w:adjustRightInd w:val="0"/>
              <w:contextualSpacing/>
              <w:rPr>
                <w:color w:val="000000"/>
              </w:rPr>
            </w:pPr>
            <w:r w:rsidRPr="006D35C0">
              <w:rPr>
                <w:color w:val="000000"/>
              </w:rPr>
              <w:t>l'égalité des chances et l’absence de discrimination,</w:t>
            </w:r>
          </w:p>
          <w:p w:rsidR="007C2F2B" w:rsidRPr="006D35C0" w:rsidRDefault="007C2F2B" w:rsidP="007C2F2B">
            <w:pPr>
              <w:pStyle w:val="Paragraphedeliste"/>
              <w:widowControl w:val="0"/>
              <w:numPr>
                <w:ilvl w:val="0"/>
                <w:numId w:val="4"/>
              </w:numPr>
              <w:tabs>
                <w:tab w:val="num" w:pos="720"/>
              </w:tabs>
              <w:autoSpaceDE w:val="0"/>
              <w:autoSpaceDN w:val="0"/>
              <w:adjustRightInd w:val="0"/>
              <w:contextualSpacing/>
              <w:rPr>
                <w:color w:val="000000"/>
              </w:rPr>
            </w:pPr>
            <w:r w:rsidRPr="006D35C0">
              <w:rPr>
                <w:color w:val="000000"/>
              </w:rPr>
              <w:t>l'égalité entre les femmes et les hommes.</w:t>
            </w:r>
          </w:p>
          <w:p w:rsidR="007C2F2B" w:rsidRPr="006D35C0" w:rsidRDefault="007C2F2B" w:rsidP="00202DC6">
            <w:pPr>
              <w:jc w:val="both"/>
              <w:rPr>
                <w:color w:val="000000"/>
              </w:rPr>
            </w:pPr>
          </w:p>
          <w:p w:rsidR="007C2F2B" w:rsidRPr="007A5042" w:rsidRDefault="007C2F2B" w:rsidP="00202DC6">
            <w:pPr>
              <w:jc w:val="both"/>
              <w:rPr>
                <w:b/>
                <w:color w:val="000000"/>
              </w:rPr>
            </w:pPr>
            <w:r w:rsidRPr="007A5042">
              <w:rPr>
                <w:b/>
                <w:color w:val="000000"/>
              </w:rPr>
              <w:t>Respect des règles de la commande publique et des aides d’Etat</w:t>
            </w:r>
          </w:p>
          <w:p w:rsidR="007C2F2B" w:rsidRPr="004D0BCD" w:rsidRDefault="007C2F2B" w:rsidP="00202DC6">
            <w:pPr>
              <w:tabs>
                <w:tab w:val="left" w:pos="720"/>
              </w:tabs>
              <w:autoSpaceDE w:val="0"/>
              <w:autoSpaceDN w:val="0"/>
              <w:adjustRightInd w:val="0"/>
            </w:pPr>
            <w:r w:rsidRPr="004D0BCD">
              <w:t xml:space="preserve">Pour les porteurs de projet publics et privés </w:t>
            </w:r>
            <w:r w:rsidRPr="004D0BCD">
              <w:rPr>
                <w:bCs/>
              </w:rPr>
              <w:t>soumis aux règles de la commande publique,</w:t>
            </w:r>
            <w:r w:rsidRPr="004D0BCD">
              <w:t xml:space="preserve"> la présentation du résultat de la procédure de mise en concurrence sera exigée dès le dépôt officiel du dossier (résultats d’un appel d’offres, </w:t>
            </w:r>
            <w:r w:rsidRPr="004D0BCD">
              <w:rPr>
                <w:bCs/>
              </w:rPr>
              <w:t xml:space="preserve">publicité et documents de consultation dans le cas d'un marché à procédure adaptée </w:t>
            </w:r>
            <w:r w:rsidRPr="004D0BCD">
              <w:t xml:space="preserve">…) (cf. paragraphe « modalités d’instruction des dossiers » cité plus haut). </w:t>
            </w:r>
          </w:p>
          <w:p w:rsidR="007C2F2B" w:rsidRPr="00687052" w:rsidRDefault="007C2F2B" w:rsidP="00E67904">
            <w:pPr>
              <w:pStyle w:val="Paragraphedeliste"/>
              <w:spacing w:after="160" w:line="259" w:lineRule="auto"/>
              <w:ind w:left="720"/>
              <w:contextualSpacing/>
              <w:rPr>
                <w:color w:val="000000"/>
              </w:rPr>
            </w:pPr>
          </w:p>
        </w:tc>
      </w:tr>
      <w:tr w:rsidR="002D5476" w:rsidRPr="00BC4C34" w:rsidTr="003773F9">
        <w:tc>
          <w:tcPr>
            <w:tcW w:w="2127" w:type="dxa"/>
            <w:shd w:val="clear" w:color="auto" w:fill="auto"/>
          </w:tcPr>
          <w:p w:rsidR="002D5476" w:rsidRPr="006D5FAF" w:rsidRDefault="002D5476" w:rsidP="00202DC6">
            <w:pPr>
              <w:tabs>
                <w:tab w:val="num" w:pos="720"/>
              </w:tabs>
              <w:autoSpaceDE w:val="0"/>
              <w:autoSpaceDN w:val="0"/>
              <w:adjustRightInd w:val="0"/>
              <w:rPr>
                <w:rFonts w:ascii="Calibri" w:hAnsi="Calibri"/>
                <w:b/>
                <w:color w:val="1F4E79"/>
              </w:rPr>
            </w:pPr>
            <w:r>
              <w:rPr>
                <w:rFonts w:ascii="Calibri" w:hAnsi="Calibri"/>
                <w:b/>
                <w:color w:val="1F4E79"/>
              </w:rPr>
              <w:t>Interlocuteurs</w:t>
            </w:r>
          </w:p>
        </w:tc>
        <w:tc>
          <w:tcPr>
            <w:tcW w:w="7484" w:type="dxa"/>
            <w:shd w:val="clear" w:color="auto" w:fill="auto"/>
          </w:tcPr>
          <w:p w:rsidR="002D5476" w:rsidRDefault="003773F9" w:rsidP="00202DC6">
            <w:pPr>
              <w:jc w:val="both"/>
              <w:rPr>
                <w:b/>
                <w:color w:val="000000"/>
              </w:rPr>
            </w:pPr>
            <w:r>
              <w:rPr>
                <w:b/>
                <w:color w:val="000000"/>
              </w:rPr>
              <w:t>Service instructeur</w:t>
            </w:r>
          </w:p>
          <w:p w:rsidR="003773F9" w:rsidRDefault="003773F9" w:rsidP="003773F9">
            <w:pPr>
              <w:jc w:val="both"/>
              <w:rPr>
                <w:rFonts w:ascii="Arial" w:hAnsi="Arial" w:cs="Arial"/>
                <w:sz w:val="20"/>
                <w:szCs w:val="20"/>
              </w:rPr>
            </w:pPr>
            <w:r>
              <w:rPr>
                <w:rFonts w:ascii="Arial" w:hAnsi="Arial" w:cs="Arial"/>
                <w:sz w:val="20"/>
                <w:szCs w:val="20"/>
              </w:rPr>
              <w:t xml:space="preserve">Région Hauts-de-France - Pôle Equilibre des territoires – Service FEDER, coordination des fonds européens </w:t>
            </w:r>
          </w:p>
          <w:p w:rsidR="003773F9" w:rsidRDefault="003773F9" w:rsidP="003773F9">
            <w:pPr>
              <w:jc w:val="both"/>
              <w:rPr>
                <w:rFonts w:ascii="Arial" w:hAnsi="Arial" w:cs="Arial"/>
                <w:i/>
                <w:iCs/>
                <w:sz w:val="20"/>
                <w:szCs w:val="20"/>
              </w:rPr>
            </w:pPr>
            <w:r>
              <w:rPr>
                <w:rFonts w:ascii="Arial" w:hAnsi="Arial" w:cs="Arial"/>
                <w:i/>
                <w:iCs/>
                <w:sz w:val="20"/>
                <w:szCs w:val="20"/>
              </w:rPr>
              <w:t>avec</w:t>
            </w:r>
          </w:p>
          <w:p w:rsidR="003773F9" w:rsidRDefault="003773F9" w:rsidP="003773F9">
            <w:pPr>
              <w:jc w:val="both"/>
              <w:rPr>
                <w:rFonts w:ascii="Arial" w:hAnsi="Arial" w:cs="Arial"/>
                <w:sz w:val="20"/>
                <w:szCs w:val="20"/>
              </w:rPr>
            </w:pPr>
            <w:r>
              <w:rPr>
                <w:rFonts w:ascii="Arial" w:hAnsi="Arial" w:cs="Arial"/>
                <w:sz w:val="20"/>
                <w:szCs w:val="20"/>
              </w:rPr>
              <w:t>Mission Transition Numériques (</w:t>
            </w:r>
            <w:r>
              <w:rPr>
                <w:rFonts w:ascii="Arial" w:hAnsi="Arial" w:cs="Arial"/>
                <w:b/>
                <w:bCs/>
                <w:sz w:val="20"/>
                <w:szCs w:val="20"/>
              </w:rPr>
              <w:t>MTN</w:t>
            </w:r>
            <w:r>
              <w:rPr>
                <w:rFonts w:ascii="Arial" w:hAnsi="Arial" w:cs="Arial"/>
                <w:sz w:val="20"/>
                <w:szCs w:val="20"/>
              </w:rPr>
              <w:t>)</w:t>
            </w:r>
          </w:p>
          <w:p w:rsidR="003773F9" w:rsidRDefault="003773F9" w:rsidP="003773F9">
            <w:pPr>
              <w:jc w:val="both"/>
              <w:rPr>
                <w:rFonts w:ascii="Arial" w:hAnsi="Arial" w:cs="Arial"/>
                <w:sz w:val="20"/>
                <w:szCs w:val="20"/>
              </w:rPr>
            </w:pPr>
          </w:p>
          <w:p w:rsidR="003773F9" w:rsidRPr="003773F9" w:rsidRDefault="003773F9" w:rsidP="003773F9">
            <w:pPr>
              <w:jc w:val="both"/>
              <w:rPr>
                <w:b/>
                <w:color w:val="000000"/>
              </w:rPr>
            </w:pPr>
            <w:r w:rsidRPr="003773F9">
              <w:rPr>
                <w:b/>
                <w:color w:val="000000"/>
              </w:rPr>
              <w:t>Services associés</w:t>
            </w:r>
          </w:p>
          <w:p w:rsidR="003773F9" w:rsidRDefault="003773F9" w:rsidP="003773F9">
            <w:pPr>
              <w:jc w:val="both"/>
              <w:rPr>
                <w:rFonts w:ascii="Arial" w:hAnsi="Arial" w:cs="Arial"/>
                <w:sz w:val="20"/>
                <w:szCs w:val="20"/>
              </w:rPr>
            </w:pPr>
          </w:p>
          <w:p w:rsidR="003773F9" w:rsidRPr="003773F9" w:rsidRDefault="003773F9" w:rsidP="003773F9">
            <w:pPr>
              <w:jc w:val="both"/>
            </w:pPr>
            <w:r w:rsidRPr="003773F9">
              <w:lastRenderedPageBreak/>
              <w:t>Direction de la recherche, de l’enseignement supérieur et des formations sanitaires et sociales (DRESS) pour la thématique enseignement supérieur et recherche</w:t>
            </w:r>
          </w:p>
          <w:p w:rsidR="003773F9" w:rsidRPr="003773F9" w:rsidRDefault="003773F9" w:rsidP="003773F9">
            <w:pPr>
              <w:jc w:val="both"/>
            </w:pPr>
            <w:r w:rsidRPr="003773F9">
              <w:t>Direction de la Santé (DSAN) pour la thématique santé</w:t>
            </w:r>
          </w:p>
          <w:p w:rsidR="003773F9" w:rsidRPr="003773F9" w:rsidRDefault="003773F9" w:rsidP="003773F9">
            <w:pPr>
              <w:jc w:val="both"/>
            </w:pPr>
            <w:r w:rsidRPr="003773F9">
              <w:t>Direction des politiques éducatives (DPE) pour la thématique lycée</w:t>
            </w:r>
          </w:p>
          <w:p w:rsidR="003773F9" w:rsidRPr="003773F9" w:rsidRDefault="003773F9" w:rsidP="003773F9">
            <w:pPr>
              <w:jc w:val="both"/>
            </w:pPr>
          </w:p>
          <w:p w:rsidR="003773F9" w:rsidRPr="003773F9" w:rsidRDefault="003773F9" w:rsidP="003773F9">
            <w:pPr>
              <w:jc w:val="both"/>
              <w:rPr>
                <w:b/>
                <w:color w:val="000000"/>
              </w:rPr>
            </w:pPr>
            <w:r w:rsidRPr="003773F9">
              <w:rPr>
                <w:b/>
                <w:color w:val="000000"/>
              </w:rPr>
              <w:t>Lieu de dépôt des dossiers de demande d’aide européenne</w:t>
            </w:r>
          </w:p>
          <w:p w:rsidR="003773F9" w:rsidRDefault="003773F9" w:rsidP="003773F9">
            <w:pPr>
              <w:jc w:val="both"/>
              <w:rPr>
                <w:rFonts w:ascii="Arial" w:hAnsi="Arial" w:cs="Arial"/>
                <w:b/>
                <w:bCs/>
                <w:sz w:val="20"/>
                <w:szCs w:val="20"/>
              </w:rPr>
            </w:pPr>
          </w:p>
          <w:p w:rsidR="003773F9" w:rsidRPr="003773F9" w:rsidRDefault="003773F9" w:rsidP="003773F9">
            <w:pPr>
              <w:jc w:val="both"/>
            </w:pPr>
            <w:r w:rsidRPr="003773F9">
              <w:t>Région Hauts-de-France</w:t>
            </w:r>
          </w:p>
          <w:p w:rsidR="003773F9" w:rsidRPr="003773F9" w:rsidRDefault="003773F9" w:rsidP="003773F9">
            <w:pPr>
              <w:jc w:val="both"/>
            </w:pPr>
            <w:r w:rsidRPr="003773F9">
              <w:t>Mission Transition Numériques (MTN)</w:t>
            </w:r>
          </w:p>
          <w:p w:rsidR="003773F9" w:rsidRPr="006D35C0" w:rsidRDefault="003773F9" w:rsidP="00202DC6">
            <w:pPr>
              <w:jc w:val="both"/>
              <w:rPr>
                <w:b/>
                <w:color w:val="000000"/>
              </w:rPr>
            </w:pPr>
          </w:p>
        </w:tc>
      </w:tr>
    </w:tbl>
    <w:p w:rsidR="00F21307" w:rsidRDefault="00F21307"/>
    <w:sectPr w:rsidR="00F21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66F"/>
    <w:multiLevelType w:val="hybridMultilevel"/>
    <w:tmpl w:val="CC185DCC"/>
    <w:lvl w:ilvl="0" w:tplc="A49A325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93EDE"/>
    <w:multiLevelType w:val="hybridMultilevel"/>
    <w:tmpl w:val="F1FE4E8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83619"/>
    <w:multiLevelType w:val="hybridMultilevel"/>
    <w:tmpl w:val="D41006AA"/>
    <w:lvl w:ilvl="0" w:tplc="679E7DB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E05F2"/>
    <w:multiLevelType w:val="hybridMultilevel"/>
    <w:tmpl w:val="940E5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3723E3"/>
    <w:multiLevelType w:val="hybridMultilevel"/>
    <w:tmpl w:val="D45423C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79E06A5"/>
    <w:multiLevelType w:val="hybridMultilevel"/>
    <w:tmpl w:val="1AACB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0D3CD3"/>
    <w:multiLevelType w:val="hybridMultilevel"/>
    <w:tmpl w:val="39A26E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BB1A41"/>
    <w:multiLevelType w:val="hybridMultilevel"/>
    <w:tmpl w:val="C85E5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8D058E"/>
    <w:multiLevelType w:val="hybridMultilevel"/>
    <w:tmpl w:val="6D6E780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234C9"/>
    <w:multiLevelType w:val="hybridMultilevel"/>
    <w:tmpl w:val="2AB48046"/>
    <w:lvl w:ilvl="0" w:tplc="4692B0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C03448"/>
    <w:multiLevelType w:val="hybridMultilevel"/>
    <w:tmpl w:val="17241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837B8C"/>
    <w:multiLevelType w:val="hybridMultilevel"/>
    <w:tmpl w:val="E1D2E018"/>
    <w:lvl w:ilvl="0" w:tplc="040C0003">
      <w:start w:val="1"/>
      <w:numFmt w:val="bullet"/>
      <w:lvlText w:val="o"/>
      <w:lvlJc w:val="left"/>
      <w:pPr>
        <w:ind w:left="720" w:hanging="360"/>
      </w:pPr>
      <w:rPr>
        <w:rFonts w:ascii="Courier New" w:hAnsi="Courier New" w:cs="Courier New" w:hint="default"/>
      </w:rPr>
    </w:lvl>
    <w:lvl w:ilvl="1" w:tplc="8EB65734">
      <w:numFmt w:val="bullet"/>
      <w:lvlText w:val=""/>
      <w:lvlJc w:val="left"/>
      <w:pPr>
        <w:ind w:left="1440" w:hanging="360"/>
      </w:pPr>
      <w:rPr>
        <w:rFonts w:ascii="Symbol" w:eastAsia="Calibri" w:hAnsi="Symbol"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F0658B"/>
    <w:multiLevelType w:val="hybridMultilevel"/>
    <w:tmpl w:val="9EBC2814"/>
    <w:lvl w:ilvl="0" w:tplc="040C0003">
      <w:start w:val="1"/>
      <w:numFmt w:val="bullet"/>
      <w:lvlText w:val="o"/>
      <w:lvlJc w:val="left"/>
      <w:pPr>
        <w:ind w:left="720" w:hanging="360"/>
      </w:pPr>
      <w:rPr>
        <w:rFonts w:ascii="Courier New" w:hAnsi="Courier New" w:cs="Courier New"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8F5F71"/>
    <w:multiLevelType w:val="hybridMultilevel"/>
    <w:tmpl w:val="6922AE16"/>
    <w:lvl w:ilvl="0" w:tplc="040C0003">
      <w:start w:val="1"/>
      <w:numFmt w:val="bullet"/>
      <w:lvlText w:val="o"/>
      <w:lvlJc w:val="left"/>
      <w:pPr>
        <w:ind w:left="927" w:hanging="360"/>
      </w:pPr>
      <w:rPr>
        <w:rFonts w:ascii="Courier New"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56595524"/>
    <w:multiLevelType w:val="hybridMultilevel"/>
    <w:tmpl w:val="014E7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20192F"/>
    <w:multiLevelType w:val="hybridMultilevel"/>
    <w:tmpl w:val="9CD63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6315DB"/>
    <w:multiLevelType w:val="hybridMultilevel"/>
    <w:tmpl w:val="434C3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660D23"/>
    <w:multiLevelType w:val="hybridMultilevel"/>
    <w:tmpl w:val="F2B6C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002208"/>
    <w:multiLevelType w:val="hybridMultilevel"/>
    <w:tmpl w:val="2D8CB9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8B0BDC"/>
    <w:multiLevelType w:val="hybridMultilevel"/>
    <w:tmpl w:val="4904B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E70DA7"/>
    <w:multiLevelType w:val="hybridMultilevel"/>
    <w:tmpl w:val="003E9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1"/>
  </w:num>
  <w:num w:numId="5">
    <w:abstractNumId w:val="6"/>
  </w:num>
  <w:num w:numId="6">
    <w:abstractNumId w:val="12"/>
  </w:num>
  <w:num w:numId="7">
    <w:abstractNumId w:val="0"/>
  </w:num>
  <w:num w:numId="8">
    <w:abstractNumId w:val="17"/>
  </w:num>
  <w:num w:numId="9">
    <w:abstractNumId w:val="5"/>
  </w:num>
  <w:num w:numId="10">
    <w:abstractNumId w:val="19"/>
  </w:num>
  <w:num w:numId="11">
    <w:abstractNumId w:val="8"/>
  </w:num>
  <w:num w:numId="12">
    <w:abstractNumId w:val="2"/>
  </w:num>
  <w:num w:numId="13">
    <w:abstractNumId w:val="14"/>
  </w:num>
  <w:num w:numId="14">
    <w:abstractNumId w:val="9"/>
  </w:num>
  <w:num w:numId="15">
    <w:abstractNumId w:val="3"/>
  </w:num>
  <w:num w:numId="16">
    <w:abstractNumId w:val="20"/>
  </w:num>
  <w:num w:numId="17">
    <w:abstractNumId w:val="15"/>
  </w:num>
  <w:num w:numId="18">
    <w:abstractNumId w:val="16"/>
  </w:num>
  <w:num w:numId="19">
    <w:abstractNumId w:val="7"/>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2B"/>
    <w:rsid w:val="00042EC9"/>
    <w:rsid w:val="00045368"/>
    <w:rsid w:val="00053FAA"/>
    <w:rsid w:val="000B1469"/>
    <w:rsid w:val="000D5198"/>
    <w:rsid w:val="0010541D"/>
    <w:rsid w:val="001225D5"/>
    <w:rsid w:val="002D5476"/>
    <w:rsid w:val="003219DC"/>
    <w:rsid w:val="003773F9"/>
    <w:rsid w:val="003C3A7B"/>
    <w:rsid w:val="003E4961"/>
    <w:rsid w:val="004F2F79"/>
    <w:rsid w:val="005A256B"/>
    <w:rsid w:val="005C02A5"/>
    <w:rsid w:val="006376C6"/>
    <w:rsid w:val="006762AD"/>
    <w:rsid w:val="006A248E"/>
    <w:rsid w:val="006B5634"/>
    <w:rsid w:val="006C6355"/>
    <w:rsid w:val="007C2F2B"/>
    <w:rsid w:val="0080782C"/>
    <w:rsid w:val="008F08AA"/>
    <w:rsid w:val="00A24AC0"/>
    <w:rsid w:val="00A31371"/>
    <w:rsid w:val="00A57F91"/>
    <w:rsid w:val="00A84725"/>
    <w:rsid w:val="00AB48AE"/>
    <w:rsid w:val="00AD2119"/>
    <w:rsid w:val="00AE7A4C"/>
    <w:rsid w:val="00B5693F"/>
    <w:rsid w:val="00C01E6F"/>
    <w:rsid w:val="00C23141"/>
    <w:rsid w:val="00DE3893"/>
    <w:rsid w:val="00DF0C97"/>
    <w:rsid w:val="00E13B9B"/>
    <w:rsid w:val="00E67904"/>
    <w:rsid w:val="00EB488A"/>
    <w:rsid w:val="00F21307"/>
    <w:rsid w:val="00FC4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AA6B"/>
  <w15:chartTrackingRefBased/>
  <w15:docId w15:val="{3B258382-6CCE-414D-BCC6-C82350C2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2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7C2F2B"/>
    <w:rPr>
      <w:b/>
      <w:bCs/>
    </w:rPr>
  </w:style>
  <w:style w:type="paragraph" w:customStyle="1" w:styleId="Default">
    <w:name w:val="Default"/>
    <w:rsid w:val="007C2F2B"/>
    <w:pPr>
      <w:autoSpaceDE w:val="0"/>
      <w:autoSpaceDN w:val="0"/>
      <w:adjustRightInd w:val="0"/>
      <w:spacing w:after="0" w:line="240" w:lineRule="auto"/>
    </w:pPr>
    <w:rPr>
      <w:rFonts w:ascii="EUAlbertina" w:eastAsia="Times New Roman" w:hAnsi="EUAlbertina" w:cs="EUAlbertina"/>
      <w:color w:val="000000"/>
      <w:sz w:val="24"/>
      <w:szCs w:val="24"/>
      <w:lang w:eastAsia="fr-FR"/>
    </w:rPr>
  </w:style>
  <w:style w:type="paragraph" w:styleId="NormalWeb">
    <w:name w:val="Normal (Web)"/>
    <w:basedOn w:val="Normal"/>
    <w:uiPriority w:val="99"/>
    <w:unhideWhenUsed/>
    <w:rsid w:val="007C2F2B"/>
    <w:pPr>
      <w:spacing w:before="100" w:beforeAutospacing="1" w:after="100" w:afterAutospacing="1"/>
    </w:pPr>
  </w:style>
  <w:style w:type="paragraph" w:styleId="Paragraphedeliste">
    <w:name w:val="List Paragraph"/>
    <w:basedOn w:val="Normal"/>
    <w:link w:val="ParagraphedelisteCar"/>
    <w:uiPriority w:val="34"/>
    <w:qFormat/>
    <w:rsid w:val="007C2F2B"/>
    <w:pPr>
      <w:ind w:left="708"/>
    </w:pPr>
  </w:style>
  <w:style w:type="paragraph" w:customStyle="1" w:styleId="Contenudetableau">
    <w:name w:val="Contenu de tableau"/>
    <w:basedOn w:val="Normal"/>
    <w:rsid w:val="007C2F2B"/>
    <w:pPr>
      <w:widowControl w:val="0"/>
      <w:suppressLineNumbers/>
      <w:suppressAutoHyphens/>
    </w:pPr>
    <w:rPr>
      <w:rFonts w:eastAsia="SimSun" w:cs="Mangal"/>
      <w:kern w:val="1"/>
      <w:lang w:eastAsia="hi-IN" w:bidi="hi-IN"/>
    </w:rPr>
  </w:style>
  <w:style w:type="paragraph" w:customStyle="1" w:styleId="miseenavant">
    <w:name w:val="mise_en_avant"/>
    <w:basedOn w:val="Normal"/>
    <w:rsid w:val="007C2F2B"/>
    <w:pPr>
      <w:shd w:val="clear" w:color="auto" w:fill="EEEEEE"/>
      <w:spacing w:before="105" w:after="105"/>
    </w:pPr>
    <w:rPr>
      <w:rFonts w:ascii="Arial" w:hAnsi="Arial" w:cs="Arial"/>
      <w:color w:val="666666"/>
    </w:rPr>
  </w:style>
  <w:style w:type="character" w:customStyle="1" w:styleId="ParagraphedelisteCar">
    <w:name w:val="Paragraphe de liste Car"/>
    <w:link w:val="Paragraphedeliste"/>
    <w:uiPriority w:val="34"/>
    <w:locked/>
    <w:rsid w:val="0010541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115">
      <w:bodyDiv w:val="1"/>
      <w:marLeft w:val="0"/>
      <w:marRight w:val="0"/>
      <w:marTop w:val="0"/>
      <w:marBottom w:val="0"/>
      <w:divBdr>
        <w:top w:val="none" w:sz="0" w:space="0" w:color="auto"/>
        <w:left w:val="none" w:sz="0" w:space="0" w:color="auto"/>
        <w:bottom w:val="none" w:sz="0" w:space="0" w:color="auto"/>
        <w:right w:val="none" w:sz="0" w:space="0" w:color="auto"/>
      </w:divBdr>
    </w:div>
    <w:div w:id="974986524">
      <w:bodyDiv w:val="1"/>
      <w:marLeft w:val="0"/>
      <w:marRight w:val="0"/>
      <w:marTop w:val="0"/>
      <w:marBottom w:val="0"/>
      <w:divBdr>
        <w:top w:val="none" w:sz="0" w:space="0" w:color="auto"/>
        <w:left w:val="none" w:sz="0" w:space="0" w:color="auto"/>
        <w:bottom w:val="none" w:sz="0" w:space="0" w:color="auto"/>
        <w:right w:val="none" w:sz="0" w:space="0" w:color="auto"/>
      </w:divBdr>
    </w:div>
    <w:div w:id="1914965292">
      <w:bodyDiv w:val="1"/>
      <w:marLeft w:val="0"/>
      <w:marRight w:val="0"/>
      <w:marTop w:val="0"/>
      <w:marBottom w:val="0"/>
      <w:divBdr>
        <w:top w:val="none" w:sz="0" w:space="0" w:color="auto"/>
        <w:left w:val="none" w:sz="0" w:space="0" w:color="auto"/>
        <w:bottom w:val="none" w:sz="0" w:space="0" w:color="auto"/>
        <w:right w:val="none" w:sz="0" w:space="0" w:color="auto"/>
      </w:divBdr>
    </w:div>
    <w:div w:id="19497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1305</Words>
  <Characters>7180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RICHARD</dc:creator>
  <cp:keywords/>
  <dc:description/>
  <cp:lastModifiedBy>RICHARD Marie-Pierre</cp:lastModifiedBy>
  <cp:revision>4</cp:revision>
  <dcterms:created xsi:type="dcterms:W3CDTF">2021-11-17T14:21:00Z</dcterms:created>
  <dcterms:modified xsi:type="dcterms:W3CDTF">2021-11-29T14:49:00Z</dcterms:modified>
</cp:coreProperties>
</file>