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0A" w:rsidRPr="00265C4E" w:rsidRDefault="00B1440A" w:rsidP="0026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65C4E">
        <w:rPr>
          <w:b/>
        </w:rPr>
        <w:t>REMAQUETTAGE DU PDR PICARDIE 2014-2020</w:t>
      </w:r>
    </w:p>
    <w:p w:rsidR="00410EA7" w:rsidRPr="00265C4E" w:rsidRDefault="00B1440A" w:rsidP="0026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65C4E">
        <w:rPr>
          <w:b/>
        </w:rPr>
        <w:t xml:space="preserve">PROPOSITION DE </w:t>
      </w:r>
      <w:r w:rsidR="00BD0E19" w:rsidRPr="00265C4E">
        <w:rPr>
          <w:b/>
        </w:rPr>
        <w:t xml:space="preserve">TRANSFERT </w:t>
      </w:r>
      <w:r w:rsidRPr="00265C4E">
        <w:rPr>
          <w:b/>
        </w:rPr>
        <w:t xml:space="preserve">DE CREDITS </w:t>
      </w:r>
      <w:r w:rsidR="00BD0E19" w:rsidRPr="00265C4E">
        <w:rPr>
          <w:b/>
        </w:rPr>
        <w:t xml:space="preserve">MDR </w:t>
      </w:r>
      <w:r w:rsidRPr="00265C4E">
        <w:rPr>
          <w:b/>
        </w:rPr>
        <w:t xml:space="preserve">(M7) </w:t>
      </w:r>
      <w:r w:rsidR="00BD0E19" w:rsidRPr="00265C4E">
        <w:rPr>
          <w:b/>
        </w:rPr>
        <w:t>VERS LEADER</w:t>
      </w:r>
      <w:r w:rsidRPr="00265C4E">
        <w:rPr>
          <w:b/>
        </w:rPr>
        <w:t xml:space="preserve"> (M19)</w:t>
      </w:r>
    </w:p>
    <w:p w:rsidR="00B1440A" w:rsidRPr="00265C4E" w:rsidRDefault="00B1440A" w:rsidP="00265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265C4E">
        <w:rPr>
          <w:b/>
        </w:rPr>
        <w:t>ARGUMENTAIRE</w:t>
      </w:r>
    </w:p>
    <w:p w:rsidR="00265C4E" w:rsidRDefault="00265C4E" w:rsidP="00265C4E">
      <w:pPr>
        <w:spacing w:after="0" w:line="240" w:lineRule="auto"/>
      </w:pPr>
    </w:p>
    <w:p w:rsidR="00265C4E" w:rsidRDefault="00265C4E" w:rsidP="00265C4E">
      <w:pPr>
        <w:spacing w:after="0" w:line="240" w:lineRule="auto"/>
      </w:pPr>
    </w:p>
    <w:p w:rsidR="00B1440A" w:rsidRDefault="00265C4E" w:rsidP="00265C4E">
      <w:pPr>
        <w:spacing w:after="0" w:line="240" w:lineRule="auto"/>
        <w:jc w:val="both"/>
      </w:pPr>
      <w:r>
        <w:t>L’actuelle période de programmation tire à sa fin pour une partie des mesures, notamment les mesures de développement rural (MDR) et LEADER.</w:t>
      </w:r>
    </w:p>
    <w:p w:rsidR="00265C4E" w:rsidRDefault="00265C4E" w:rsidP="00265C4E">
      <w:pPr>
        <w:spacing w:after="0" w:line="240" w:lineRule="auto"/>
        <w:jc w:val="both"/>
      </w:pPr>
    </w:p>
    <w:p w:rsidR="00824DF2" w:rsidRDefault="00265C4E" w:rsidP="00265C4E">
      <w:pPr>
        <w:spacing w:after="0" w:line="240" w:lineRule="auto"/>
        <w:jc w:val="both"/>
      </w:pPr>
      <w:r>
        <w:t xml:space="preserve">Au regard des dossiers réceptionnés et restant à programmer sur les MDR, il s’avère que les crédits inscrits dans la maquette financière du PDR ne seront pas consommés. </w:t>
      </w:r>
    </w:p>
    <w:p w:rsidR="00824DF2" w:rsidRDefault="00824DF2" w:rsidP="00265C4E">
      <w:pPr>
        <w:spacing w:after="0" w:line="240" w:lineRule="auto"/>
        <w:jc w:val="both"/>
      </w:pPr>
    </w:p>
    <w:p w:rsidR="00824DF2" w:rsidRPr="00224206" w:rsidRDefault="00265C4E" w:rsidP="00265C4E">
      <w:pPr>
        <w:spacing w:after="0" w:line="240" w:lineRule="auto"/>
        <w:jc w:val="both"/>
        <w:rPr>
          <w:b/>
        </w:rPr>
      </w:pPr>
      <w:r w:rsidRPr="00224206">
        <w:rPr>
          <w:b/>
        </w:rPr>
        <w:t>En effet, le flux de dépôt s’est tari depuis plusieurs mois</w:t>
      </w:r>
      <w:r w:rsidR="00824DF2" w:rsidRPr="00224206">
        <w:rPr>
          <w:b/>
        </w:rPr>
        <w:t xml:space="preserve">. Ce constat trouve sa source dans différentes explications </w:t>
      </w:r>
      <w:r w:rsidRPr="00224206">
        <w:rPr>
          <w:b/>
        </w:rPr>
        <w:t xml:space="preserve">: </w:t>
      </w:r>
    </w:p>
    <w:p w:rsidR="00265C4E" w:rsidRPr="00224206" w:rsidRDefault="00824DF2" w:rsidP="00824DF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24206">
        <w:rPr>
          <w:b/>
        </w:rPr>
        <w:t xml:space="preserve">D’une part, </w:t>
      </w:r>
      <w:r w:rsidR="00265C4E" w:rsidRPr="00224206">
        <w:rPr>
          <w:b/>
        </w:rPr>
        <w:t xml:space="preserve">la temporalité des dossiers d’investissement correspondants n’est plus réellement compatible </w:t>
      </w:r>
      <w:r w:rsidR="00405CB1" w:rsidRPr="00224206">
        <w:rPr>
          <w:b/>
        </w:rPr>
        <w:t>avec le calendrier de fin de programmation, les projets s’étalant en général sur plusieurs années</w:t>
      </w:r>
      <w:r w:rsidRPr="00224206">
        <w:rPr>
          <w:b/>
        </w:rPr>
        <w:t> ;</w:t>
      </w:r>
    </w:p>
    <w:p w:rsidR="00824DF2" w:rsidRPr="00224206" w:rsidRDefault="00824DF2" w:rsidP="00824DF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24206">
        <w:rPr>
          <w:b/>
        </w:rPr>
        <w:t xml:space="preserve">D’autre part, </w:t>
      </w:r>
      <w:r w:rsidR="002C37A6" w:rsidRPr="00224206">
        <w:rPr>
          <w:b/>
        </w:rPr>
        <w:t xml:space="preserve">les MDR ayant subi une baisse du volume de crédits initialement affectés suite au dégagement d’office de 2019, </w:t>
      </w:r>
      <w:r w:rsidR="009A5E6C" w:rsidRPr="00224206">
        <w:rPr>
          <w:b/>
        </w:rPr>
        <w:t>les politiques régionales se sont adaptées pour pouvoir prendre en charge une majorité de projets en lieu et place du FEADER.</w:t>
      </w:r>
    </w:p>
    <w:p w:rsidR="00624FE7" w:rsidRDefault="00624FE7" w:rsidP="00624FE7">
      <w:pPr>
        <w:spacing w:after="0" w:line="240" w:lineRule="auto"/>
        <w:jc w:val="both"/>
      </w:pPr>
    </w:p>
    <w:p w:rsidR="00624FE7" w:rsidRDefault="00624FE7" w:rsidP="00624FE7">
      <w:pPr>
        <w:spacing w:after="0" w:line="240" w:lineRule="auto"/>
        <w:jc w:val="both"/>
      </w:pPr>
    </w:p>
    <w:p w:rsidR="00624FE7" w:rsidRPr="00224206" w:rsidRDefault="00624FE7" w:rsidP="00624FE7">
      <w:pPr>
        <w:spacing w:after="0" w:line="240" w:lineRule="auto"/>
        <w:jc w:val="both"/>
        <w:rPr>
          <w:b/>
          <w:i/>
          <w:u w:val="single"/>
        </w:rPr>
      </w:pPr>
      <w:r w:rsidRPr="00224206">
        <w:rPr>
          <w:b/>
          <w:i/>
          <w:u w:val="single"/>
        </w:rPr>
        <w:t>DETAIL PAR TO</w:t>
      </w:r>
    </w:p>
    <w:p w:rsidR="00624FE7" w:rsidRPr="00AE4466" w:rsidRDefault="00624FE7" w:rsidP="00975164">
      <w:pPr>
        <w:spacing w:after="0" w:line="240" w:lineRule="auto"/>
        <w:rPr>
          <w:szCs w:val="24"/>
        </w:rPr>
      </w:pPr>
    </w:p>
    <w:p w:rsidR="00C02F0B" w:rsidRDefault="00C02F0B" w:rsidP="00975164">
      <w:pPr>
        <w:spacing w:after="0" w:line="240" w:lineRule="auto"/>
        <w:rPr>
          <w:b/>
          <w:bCs/>
          <w:i/>
          <w:iCs/>
          <w:szCs w:val="24"/>
        </w:rPr>
      </w:pPr>
      <w:r w:rsidRPr="00AE4466">
        <w:rPr>
          <w:b/>
          <w:bCs/>
          <w:i/>
          <w:iCs/>
          <w:szCs w:val="24"/>
        </w:rPr>
        <w:t xml:space="preserve">TO 7.4.a « Amélioration </w:t>
      </w:r>
      <w:r w:rsidR="00975164">
        <w:rPr>
          <w:b/>
          <w:bCs/>
          <w:i/>
          <w:iCs/>
          <w:szCs w:val="24"/>
        </w:rPr>
        <w:t xml:space="preserve">et développement de l’offre de </w:t>
      </w:r>
      <w:r w:rsidRPr="00AE4466">
        <w:rPr>
          <w:b/>
          <w:bCs/>
          <w:i/>
          <w:iCs/>
          <w:szCs w:val="24"/>
        </w:rPr>
        <w:t>services publics en milieu rural »</w:t>
      </w:r>
    </w:p>
    <w:p w:rsidR="00C02F0B" w:rsidRPr="003A403A" w:rsidRDefault="00C02F0B" w:rsidP="00975164">
      <w:pPr>
        <w:spacing w:after="0" w:line="240" w:lineRule="auto"/>
        <w:rPr>
          <w:sz w:val="8"/>
          <w:szCs w:val="8"/>
        </w:rPr>
      </w:pPr>
    </w:p>
    <w:p w:rsidR="00C02F0B" w:rsidRDefault="00C02F0B" w:rsidP="00975164">
      <w:pPr>
        <w:spacing w:after="0" w:line="240" w:lineRule="auto"/>
        <w:jc w:val="both"/>
        <w:rPr>
          <w:szCs w:val="24"/>
        </w:rPr>
      </w:pPr>
      <w:r w:rsidRPr="00AE4466">
        <w:rPr>
          <w:szCs w:val="24"/>
        </w:rPr>
        <w:t xml:space="preserve">Ce </w:t>
      </w:r>
      <w:r w:rsidR="005F690B">
        <w:rPr>
          <w:szCs w:val="24"/>
        </w:rPr>
        <w:t>TO a été</w:t>
      </w:r>
      <w:r w:rsidRPr="00AE4466">
        <w:rPr>
          <w:szCs w:val="24"/>
        </w:rPr>
        <w:t xml:space="preserve"> mobilisé pour deux grandes catégories de projets : la santé et la petite enfance à travers la construction de maisons de santé pluridisciplinaires et d’équipements de services </w:t>
      </w:r>
      <w:r w:rsidR="00975164">
        <w:rPr>
          <w:szCs w:val="24"/>
        </w:rPr>
        <w:t>tels que des crèches ou des</w:t>
      </w:r>
      <w:r w:rsidRPr="00AE4466">
        <w:rPr>
          <w:szCs w:val="24"/>
        </w:rPr>
        <w:t xml:space="preserve"> maison</w:t>
      </w:r>
      <w:r w:rsidR="00975164">
        <w:rPr>
          <w:szCs w:val="24"/>
        </w:rPr>
        <w:t>s</w:t>
      </w:r>
      <w:r w:rsidRPr="00AE4466">
        <w:rPr>
          <w:szCs w:val="24"/>
        </w:rPr>
        <w:t xml:space="preserve"> d</w:t>
      </w:r>
      <w:r w:rsidR="00975164">
        <w:rPr>
          <w:szCs w:val="24"/>
        </w:rPr>
        <w:t>’assistantes maternelles.</w:t>
      </w:r>
    </w:p>
    <w:p w:rsidR="00975164" w:rsidRDefault="00975164" w:rsidP="009751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Concernant la santé, c’est désormais la politique régionale sectorielle en matière d’aménagement du territoire qui permet de soutenir les opérations correspondantes.</w:t>
      </w:r>
    </w:p>
    <w:p w:rsidR="00C02F0B" w:rsidRPr="003A403A" w:rsidRDefault="00C02F0B" w:rsidP="00975164">
      <w:pPr>
        <w:spacing w:after="0" w:line="240" w:lineRule="auto"/>
        <w:rPr>
          <w:sz w:val="8"/>
          <w:szCs w:val="8"/>
        </w:rPr>
      </w:pPr>
    </w:p>
    <w:p w:rsidR="00975928" w:rsidRPr="00AE4466" w:rsidRDefault="00975928" w:rsidP="00975164">
      <w:pPr>
        <w:spacing w:after="0" w:line="240" w:lineRule="auto"/>
        <w:rPr>
          <w:szCs w:val="24"/>
        </w:rPr>
      </w:pPr>
    </w:p>
    <w:p w:rsidR="00C02F0B" w:rsidRDefault="00C02F0B" w:rsidP="00975164">
      <w:pPr>
        <w:spacing w:after="0" w:line="240" w:lineRule="auto"/>
        <w:rPr>
          <w:b/>
          <w:bCs/>
          <w:i/>
          <w:iCs/>
          <w:szCs w:val="24"/>
        </w:rPr>
      </w:pPr>
      <w:r w:rsidRPr="00AE4466">
        <w:rPr>
          <w:b/>
          <w:bCs/>
          <w:i/>
          <w:iCs/>
          <w:szCs w:val="24"/>
        </w:rPr>
        <w:t>TO 7.4.b « Valorisation du patrimoine à vocation culturelle et touristique »</w:t>
      </w:r>
    </w:p>
    <w:p w:rsidR="00C02F0B" w:rsidRPr="003A403A" w:rsidRDefault="00C02F0B" w:rsidP="00975164">
      <w:pPr>
        <w:spacing w:after="0" w:line="240" w:lineRule="auto"/>
        <w:rPr>
          <w:sz w:val="8"/>
          <w:szCs w:val="8"/>
        </w:rPr>
      </w:pPr>
    </w:p>
    <w:p w:rsidR="00C02F0B" w:rsidRDefault="005F690B" w:rsidP="005F690B">
      <w:pPr>
        <w:spacing w:after="0"/>
        <w:jc w:val="both"/>
        <w:rPr>
          <w:szCs w:val="24"/>
        </w:rPr>
      </w:pPr>
      <w:r>
        <w:rPr>
          <w:szCs w:val="24"/>
        </w:rPr>
        <w:t>C</w:t>
      </w:r>
      <w:r w:rsidR="00C02F0B" w:rsidRPr="00AE4466">
        <w:rPr>
          <w:szCs w:val="24"/>
        </w:rPr>
        <w:t xml:space="preserve">e TO permet de renforcer l’activité culturelle et touristique dans les zones rurales, génératrice de liens et facteur d’attractivité du territoire. Néanmoins ciblée sur des actions patrimoniales / muséales centrées notamment autour de la « Grande Guerre », cette sous-mesure </w:t>
      </w:r>
      <w:r>
        <w:rPr>
          <w:szCs w:val="24"/>
        </w:rPr>
        <w:t>n’est plus mobilisée ces dernières années</w:t>
      </w:r>
      <w:r w:rsidR="00C02F0B" w:rsidRPr="00AE4466">
        <w:rPr>
          <w:szCs w:val="24"/>
        </w:rPr>
        <w:t>, la période de commémoration 14-18 étant révolue.</w:t>
      </w:r>
      <w:r w:rsidR="00C02F0B">
        <w:rPr>
          <w:szCs w:val="24"/>
        </w:rPr>
        <w:t xml:space="preserve"> </w:t>
      </w:r>
    </w:p>
    <w:p w:rsidR="00C02F0B" w:rsidRPr="003A403A" w:rsidRDefault="00C02F0B" w:rsidP="00C02F0B">
      <w:pPr>
        <w:spacing w:after="0"/>
        <w:rPr>
          <w:sz w:val="8"/>
          <w:szCs w:val="8"/>
        </w:rPr>
      </w:pPr>
    </w:p>
    <w:p w:rsidR="00AD5E39" w:rsidRDefault="00AD5E39" w:rsidP="00C02F0B">
      <w:pPr>
        <w:spacing w:after="0"/>
        <w:rPr>
          <w:b/>
          <w:bCs/>
          <w:i/>
          <w:iCs/>
          <w:szCs w:val="24"/>
        </w:rPr>
      </w:pPr>
    </w:p>
    <w:p w:rsidR="00C02F0B" w:rsidRDefault="00C02F0B" w:rsidP="00C02F0B">
      <w:pPr>
        <w:spacing w:after="0"/>
        <w:rPr>
          <w:b/>
          <w:bCs/>
          <w:i/>
          <w:iCs/>
          <w:szCs w:val="24"/>
        </w:rPr>
      </w:pPr>
      <w:r w:rsidRPr="00AE4466">
        <w:rPr>
          <w:b/>
          <w:bCs/>
          <w:i/>
          <w:iCs/>
          <w:szCs w:val="24"/>
        </w:rPr>
        <w:t>TO 7.5 « Développement des équipements et infrastructures à usage touristique et de loisirs  »</w:t>
      </w:r>
    </w:p>
    <w:p w:rsidR="00C02F0B" w:rsidRPr="003A403A" w:rsidRDefault="00C02F0B" w:rsidP="00C02F0B">
      <w:pPr>
        <w:spacing w:after="0"/>
        <w:rPr>
          <w:sz w:val="8"/>
          <w:szCs w:val="8"/>
        </w:rPr>
      </w:pPr>
    </w:p>
    <w:p w:rsidR="00C02F0B" w:rsidRDefault="00C02F0B" w:rsidP="000C1BB0">
      <w:pPr>
        <w:spacing w:after="0"/>
        <w:jc w:val="both"/>
        <w:rPr>
          <w:szCs w:val="24"/>
        </w:rPr>
      </w:pPr>
      <w:r w:rsidRPr="00AE4466">
        <w:rPr>
          <w:szCs w:val="24"/>
        </w:rPr>
        <w:t xml:space="preserve">Le TO 7.5 permet de financer des opérations de mise en valeur du patrimoine, à </w:t>
      </w:r>
      <w:r w:rsidR="000C1BB0">
        <w:rPr>
          <w:szCs w:val="24"/>
        </w:rPr>
        <w:t xml:space="preserve">usage touristique et de loisirs, </w:t>
      </w:r>
      <w:r w:rsidRPr="00AE4466">
        <w:rPr>
          <w:szCs w:val="24"/>
        </w:rPr>
        <w:t>développ</w:t>
      </w:r>
      <w:r w:rsidR="000C1BB0">
        <w:rPr>
          <w:szCs w:val="24"/>
        </w:rPr>
        <w:t xml:space="preserve">ant ainsi </w:t>
      </w:r>
      <w:r w:rsidRPr="00AE4466">
        <w:rPr>
          <w:szCs w:val="24"/>
        </w:rPr>
        <w:t>les équipements et infrastructures de petite échelle, nécessaires à la construction d’une offre touristique et de loisirs performante et de qualité. Cette sous-mesure conforte ainsi l’impact économique du tourisme dans les territoires ruraux de la région.</w:t>
      </w:r>
    </w:p>
    <w:p w:rsidR="000C1BB0" w:rsidRDefault="000C1BB0" w:rsidP="000C1BB0">
      <w:pPr>
        <w:spacing w:after="0"/>
        <w:jc w:val="both"/>
        <w:rPr>
          <w:szCs w:val="24"/>
        </w:rPr>
      </w:pPr>
      <w:r>
        <w:rPr>
          <w:szCs w:val="24"/>
        </w:rPr>
        <w:t>Les politiques sectorielles régionales en matière de tourisme, mais aussi d’aménagement du territoire, permettent d’accompagner les projets correspondants.</w:t>
      </w:r>
    </w:p>
    <w:p w:rsidR="00C02F0B" w:rsidRPr="003A403A" w:rsidRDefault="00C02F0B" w:rsidP="00C02F0B">
      <w:pPr>
        <w:spacing w:after="0" w:line="240" w:lineRule="auto"/>
        <w:jc w:val="both"/>
        <w:rPr>
          <w:sz w:val="8"/>
          <w:szCs w:val="8"/>
        </w:rPr>
      </w:pPr>
    </w:p>
    <w:p w:rsidR="00975928" w:rsidRDefault="00975928" w:rsidP="00C02F0B">
      <w:pPr>
        <w:spacing w:after="0" w:line="240" w:lineRule="auto"/>
        <w:jc w:val="both"/>
      </w:pPr>
    </w:p>
    <w:p w:rsidR="00C02F0B" w:rsidRDefault="00C02F0B" w:rsidP="00C02F0B">
      <w:pPr>
        <w:spacing w:after="0"/>
        <w:rPr>
          <w:b/>
          <w:bCs/>
          <w:i/>
          <w:iCs/>
          <w:szCs w:val="24"/>
        </w:rPr>
      </w:pPr>
      <w:r w:rsidRPr="00AE4466">
        <w:rPr>
          <w:b/>
          <w:bCs/>
          <w:i/>
          <w:iCs/>
          <w:szCs w:val="24"/>
        </w:rPr>
        <w:t>TO 7.7 « Améliorer l’offre de service de proximité en milieu rural »</w:t>
      </w:r>
    </w:p>
    <w:p w:rsidR="00C02F0B" w:rsidRPr="003A403A" w:rsidRDefault="00C02F0B" w:rsidP="00C02F0B">
      <w:pPr>
        <w:spacing w:after="0"/>
        <w:rPr>
          <w:sz w:val="8"/>
          <w:szCs w:val="8"/>
        </w:rPr>
      </w:pPr>
    </w:p>
    <w:p w:rsidR="00C02F0B" w:rsidRDefault="00C02F0B" w:rsidP="000C1BB0">
      <w:pPr>
        <w:spacing w:after="0"/>
        <w:jc w:val="both"/>
        <w:rPr>
          <w:szCs w:val="24"/>
        </w:rPr>
      </w:pPr>
      <w:r w:rsidRPr="00AE4466">
        <w:rPr>
          <w:szCs w:val="24"/>
        </w:rPr>
        <w:t>Le but de ce TO est de financer les projets liés à l’économie de proximité en milieu rural, telle que l’aide au maintien des derniers commerces au sein des villages accompagnés</w:t>
      </w:r>
      <w:r w:rsidR="003A403A">
        <w:rPr>
          <w:szCs w:val="24"/>
        </w:rPr>
        <w:t>,</w:t>
      </w:r>
      <w:r w:rsidRPr="00AE4466">
        <w:rPr>
          <w:szCs w:val="24"/>
        </w:rPr>
        <w:t xml:space="preserve"> axe essentiel pour le maintien d’une dynamique au cœur des bourgs ruraux.</w:t>
      </w:r>
      <w:r w:rsidR="003A403A">
        <w:rPr>
          <w:szCs w:val="24"/>
        </w:rPr>
        <w:t xml:space="preserve"> </w:t>
      </w:r>
      <w:r w:rsidR="000C1BB0">
        <w:rPr>
          <w:szCs w:val="24"/>
        </w:rPr>
        <w:t xml:space="preserve">C’est pourquoi la Région a </w:t>
      </w:r>
      <w:r w:rsidR="003058F7">
        <w:rPr>
          <w:szCs w:val="24"/>
        </w:rPr>
        <w:t xml:space="preserve">notamment </w:t>
      </w:r>
      <w:r w:rsidR="000C1BB0">
        <w:rPr>
          <w:szCs w:val="24"/>
        </w:rPr>
        <w:t>développé un dispositif spécifiquement à l’attention des « centres-villes/centres-bourgs », de manière à soutenir les projets correspondants sur crédits régionaux.</w:t>
      </w:r>
    </w:p>
    <w:p w:rsidR="00C02F0B" w:rsidRPr="003A403A" w:rsidRDefault="00C02F0B" w:rsidP="000C1BB0">
      <w:pPr>
        <w:spacing w:after="0"/>
        <w:jc w:val="both"/>
        <w:rPr>
          <w:sz w:val="8"/>
          <w:szCs w:val="8"/>
        </w:rPr>
      </w:pPr>
    </w:p>
    <w:p w:rsidR="003058F7" w:rsidRDefault="003058F7" w:rsidP="000C1BB0">
      <w:pPr>
        <w:spacing w:after="0"/>
        <w:jc w:val="both"/>
        <w:rPr>
          <w:szCs w:val="24"/>
        </w:rPr>
      </w:pPr>
    </w:p>
    <w:p w:rsidR="00C02F0B" w:rsidRPr="003A403A" w:rsidRDefault="004B3B1D" w:rsidP="00C02F0B">
      <w:pPr>
        <w:spacing w:after="0" w:line="240" w:lineRule="auto"/>
        <w:jc w:val="both"/>
        <w:rPr>
          <w:b/>
        </w:rPr>
      </w:pPr>
      <w:r>
        <w:t xml:space="preserve">Au regard des dossiers programmés ou en cours d’instruction, </w:t>
      </w:r>
      <w:r>
        <w:rPr>
          <w:b/>
        </w:rPr>
        <w:t>au moins 1</w:t>
      </w:r>
      <w:r w:rsidR="001F431A" w:rsidRPr="00AD5E39">
        <w:rPr>
          <w:b/>
        </w:rPr>
        <w:t xml:space="preserve">M€ qui ne </w:t>
      </w:r>
      <w:r w:rsidRPr="00AD5E39">
        <w:rPr>
          <w:b/>
        </w:rPr>
        <w:t>ser</w:t>
      </w:r>
      <w:r>
        <w:rPr>
          <w:b/>
        </w:rPr>
        <w:t>a</w:t>
      </w:r>
      <w:r w:rsidRPr="00AD5E39">
        <w:rPr>
          <w:b/>
        </w:rPr>
        <w:t xml:space="preserve"> </w:t>
      </w:r>
      <w:r w:rsidR="001F431A" w:rsidRPr="00AD5E39">
        <w:rPr>
          <w:b/>
        </w:rPr>
        <w:t>pas consommé sur les MDR.</w:t>
      </w:r>
    </w:p>
    <w:p w:rsidR="001F431A" w:rsidRDefault="001F431A" w:rsidP="00C02F0B">
      <w:pPr>
        <w:spacing w:after="0" w:line="240" w:lineRule="auto"/>
        <w:jc w:val="both"/>
      </w:pPr>
    </w:p>
    <w:p w:rsidR="001F431A" w:rsidRDefault="001F431A" w:rsidP="00C02F0B">
      <w:pPr>
        <w:spacing w:after="0" w:line="240" w:lineRule="auto"/>
        <w:jc w:val="both"/>
      </w:pPr>
      <w:r>
        <w:t>A contrario, 4 des 8 GAL picards ont sollicité un complément d’enveloppe FEADER pour mener à bien la mise en œuvre de la mesure LEADER jusqu’au nou</w:t>
      </w:r>
      <w:r w:rsidR="00D21A8F">
        <w:t>veau terme de la programmation</w:t>
      </w:r>
      <w:r w:rsidR="004B3B1D">
        <w:t>.</w:t>
      </w:r>
    </w:p>
    <w:p w:rsidR="001F431A" w:rsidRDefault="001F431A" w:rsidP="00C02F0B">
      <w:pPr>
        <w:spacing w:after="0" w:line="240" w:lineRule="auto"/>
        <w:jc w:val="both"/>
      </w:pPr>
    </w:p>
    <w:p w:rsidR="00751C1C" w:rsidRPr="003A403A" w:rsidRDefault="004B3B1D" w:rsidP="00C02F0B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751C1C" w:rsidRPr="003A403A">
        <w:rPr>
          <w:b/>
        </w:rPr>
        <w:t>l est</w:t>
      </w:r>
      <w:r>
        <w:rPr>
          <w:b/>
        </w:rPr>
        <w:t xml:space="preserve"> donc</w:t>
      </w:r>
      <w:r w:rsidR="00751C1C" w:rsidRPr="003A403A">
        <w:rPr>
          <w:b/>
        </w:rPr>
        <w:t xml:space="preserve"> proposé d’orienter 1 M€ issus de la non-consommation des crédits MDR vers LEADER.</w:t>
      </w:r>
    </w:p>
    <w:p w:rsidR="00751C1C" w:rsidRDefault="00751C1C" w:rsidP="00C02F0B">
      <w:pPr>
        <w:spacing w:after="0" w:line="240" w:lineRule="auto"/>
        <w:jc w:val="both"/>
      </w:pPr>
    </w:p>
    <w:p w:rsidR="00751C1C" w:rsidRDefault="00751C1C" w:rsidP="00C02F0B">
      <w:pPr>
        <w:spacing w:after="0" w:line="240" w:lineRule="auto"/>
        <w:jc w:val="both"/>
      </w:pPr>
      <w:r w:rsidRPr="003A403A">
        <w:rPr>
          <w:u w:val="single"/>
        </w:rPr>
        <w:t>La ventilation de ce million d’euros serait la suivante</w:t>
      </w:r>
      <w:r>
        <w:t> :</w:t>
      </w:r>
    </w:p>
    <w:p w:rsidR="00B75F22" w:rsidRDefault="00B75F22" w:rsidP="00C02F0B">
      <w:pPr>
        <w:spacing w:after="0" w:line="240" w:lineRule="auto"/>
        <w:jc w:val="both"/>
      </w:pPr>
    </w:p>
    <w:p w:rsidR="00751C1C" w:rsidRDefault="00751C1C" w:rsidP="00751C1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300 000 € réservés à la sous-mesure 19.1, pour financer le soutien préparatoire relatif à la prochaine programmation</w:t>
      </w:r>
      <w:r w:rsidR="001F0932">
        <w:t xml:space="preserve"> (potentiellement 12 territoires demandeurs X 25 000 € de FEADER) ;</w:t>
      </w:r>
    </w:p>
    <w:p w:rsidR="001F0932" w:rsidRDefault="001F0932" w:rsidP="00751C1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700 000 € à additionner au reliquat de l’enveloppe réservataire et à celui de la 19.1 du programme actuel : soit un total de 868 499,68 € à répartir entre les 4 GAL demandeurs.</w:t>
      </w:r>
    </w:p>
    <w:sectPr w:rsidR="001F09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A4" w:rsidRDefault="000632A4" w:rsidP="00D65861">
      <w:pPr>
        <w:spacing w:after="0" w:line="240" w:lineRule="auto"/>
      </w:pPr>
      <w:r>
        <w:separator/>
      </w:r>
    </w:p>
  </w:endnote>
  <w:endnote w:type="continuationSeparator" w:id="0">
    <w:p w:rsidR="000632A4" w:rsidRDefault="000632A4" w:rsidP="00D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380397"/>
      <w:docPartObj>
        <w:docPartGallery w:val="Page Numbers (Bottom of Page)"/>
        <w:docPartUnique/>
      </w:docPartObj>
    </w:sdtPr>
    <w:sdtEndPr/>
    <w:sdtContent>
      <w:p w:rsidR="00D65861" w:rsidRDefault="00D658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9C">
          <w:rPr>
            <w:noProof/>
          </w:rPr>
          <w:t>2</w:t>
        </w:r>
        <w:r>
          <w:fldChar w:fldCharType="end"/>
        </w:r>
      </w:p>
    </w:sdtContent>
  </w:sdt>
  <w:p w:rsidR="00D65861" w:rsidRDefault="00D658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A4" w:rsidRDefault="000632A4" w:rsidP="00D65861">
      <w:pPr>
        <w:spacing w:after="0" w:line="240" w:lineRule="auto"/>
      </w:pPr>
      <w:r>
        <w:separator/>
      </w:r>
    </w:p>
  </w:footnote>
  <w:footnote w:type="continuationSeparator" w:id="0">
    <w:p w:rsidR="000632A4" w:rsidRDefault="000632A4" w:rsidP="00D6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014"/>
    <w:multiLevelType w:val="hybridMultilevel"/>
    <w:tmpl w:val="0B54E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4144"/>
    <w:multiLevelType w:val="hybridMultilevel"/>
    <w:tmpl w:val="D90E7946"/>
    <w:lvl w:ilvl="0" w:tplc="632AD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19"/>
    <w:rsid w:val="000632A4"/>
    <w:rsid w:val="000C1BB0"/>
    <w:rsid w:val="001B701E"/>
    <w:rsid w:val="001F0932"/>
    <w:rsid w:val="001F431A"/>
    <w:rsid w:val="00224206"/>
    <w:rsid w:val="00265C4E"/>
    <w:rsid w:val="002661CD"/>
    <w:rsid w:val="002C37A6"/>
    <w:rsid w:val="003058F7"/>
    <w:rsid w:val="00395A8A"/>
    <w:rsid w:val="003A403A"/>
    <w:rsid w:val="00405CB1"/>
    <w:rsid w:val="00410EA7"/>
    <w:rsid w:val="004B3B1D"/>
    <w:rsid w:val="004F157D"/>
    <w:rsid w:val="005F690B"/>
    <w:rsid w:val="00624FE7"/>
    <w:rsid w:val="00626364"/>
    <w:rsid w:val="00677DA3"/>
    <w:rsid w:val="00751C1C"/>
    <w:rsid w:val="0081249C"/>
    <w:rsid w:val="00824DF2"/>
    <w:rsid w:val="008B1CC9"/>
    <w:rsid w:val="008E049B"/>
    <w:rsid w:val="00975164"/>
    <w:rsid w:val="00975928"/>
    <w:rsid w:val="009A5E6C"/>
    <w:rsid w:val="00A16E0D"/>
    <w:rsid w:val="00AD5E39"/>
    <w:rsid w:val="00AF0761"/>
    <w:rsid w:val="00B1440A"/>
    <w:rsid w:val="00B75F22"/>
    <w:rsid w:val="00B808DA"/>
    <w:rsid w:val="00BD0E19"/>
    <w:rsid w:val="00C02F0B"/>
    <w:rsid w:val="00C434D8"/>
    <w:rsid w:val="00D0269F"/>
    <w:rsid w:val="00D21A8F"/>
    <w:rsid w:val="00D65861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FF81"/>
  <w15:chartTrackingRefBased/>
  <w15:docId w15:val="{9E7961AF-9E3A-4940-BC39-C2BADA4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D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861"/>
  </w:style>
  <w:style w:type="paragraph" w:styleId="Pieddepage">
    <w:name w:val="footer"/>
    <w:basedOn w:val="Normal"/>
    <w:link w:val="PieddepageCar"/>
    <w:uiPriority w:val="99"/>
    <w:unhideWhenUsed/>
    <w:rsid w:val="00D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861"/>
  </w:style>
  <w:style w:type="character" w:styleId="Marquedecommentaire">
    <w:name w:val="annotation reference"/>
    <w:basedOn w:val="Policepardfaut"/>
    <w:uiPriority w:val="99"/>
    <w:semiHidden/>
    <w:unhideWhenUsed/>
    <w:rsid w:val="008B1C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C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1C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C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C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DAMERVAL Corinne</dc:creator>
  <cp:keywords/>
  <dc:description/>
  <cp:lastModifiedBy>MENOU Boris</cp:lastModifiedBy>
  <cp:revision>3</cp:revision>
  <dcterms:created xsi:type="dcterms:W3CDTF">2021-11-30T16:03:00Z</dcterms:created>
  <dcterms:modified xsi:type="dcterms:W3CDTF">2021-11-30T16:09:00Z</dcterms:modified>
</cp:coreProperties>
</file>