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10334" w:type="dxa"/>
        <w:tblCellMar>
          <w:left w:w="70" w:type="dxa"/>
          <w:right w:w="70" w:type="dxa"/>
        </w:tblCellMar>
        <w:tblLook w:val="04A0" w:firstRow="1" w:lastRow="0" w:firstColumn="1" w:lastColumn="0" w:noHBand="0" w:noVBand="1"/>
      </w:tblPr>
      <w:tblGrid>
        <w:gridCol w:w="1558"/>
        <w:gridCol w:w="3594"/>
        <w:gridCol w:w="3212"/>
        <w:gridCol w:w="896"/>
        <w:gridCol w:w="1074"/>
      </w:tblGrid>
      <w:tr w:rsidR="0003345E" w:rsidRPr="00A4254F" w:rsidTr="0003345E">
        <w:trPr>
          <w:trHeight w:val="585"/>
        </w:trPr>
        <w:tc>
          <w:tcPr>
            <w:tcW w:w="1558" w:type="dxa"/>
            <w:tcBorders>
              <w:top w:val="single" w:sz="4" w:space="0" w:color="4F81BD"/>
              <w:left w:val="single" w:sz="4" w:space="0" w:color="4F81BD"/>
              <w:bottom w:val="single" w:sz="4" w:space="0" w:color="4F81BD"/>
              <w:right w:val="single" w:sz="4" w:space="0" w:color="4F81BD"/>
            </w:tcBorders>
            <w:shd w:val="clear" w:color="auto" w:fill="1F4E79"/>
            <w:vAlign w:val="center"/>
            <w:hideMark/>
          </w:tcPr>
          <w:p w:rsidR="0003345E" w:rsidRPr="005C765B" w:rsidRDefault="0003345E" w:rsidP="0003345E">
            <w:pPr>
              <w:spacing w:after="0" w:line="240" w:lineRule="auto"/>
              <w:jc w:val="center"/>
              <w:rPr>
                <w:rFonts w:ascii="Arial" w:hAnsi="Arial" w:cs="Arial"/>
                <w:b/>
                <w:color w:val="FFFFFF" w:themeColor="background1"/>
                <w:sz w:val="20"/>
                <w:szCs w:val="20"/>
              </w:rPr>
            </w:pPr>
            <w:r w:rsidRPr="005C765B">
              <w:rPr>
                <w:rFonts w:ascii="Arial" w:hAnsi="Arial" w:cs="Arial"/>
                <w:b/>
                <w:color w:val="FFFFFF" w:themeColor="background1"/>
                <w:sz w:val="20"/>
                <w:szCs w:val="20"/>
              </w:rPr>
              <w:t xml:space="preserve">Principes de sélection </w:t>
            </w:r>
          </w:p>
        </w:tc>
        <w:tc>
          <w:tcPr>
            <w:tcW w:w="3594" w:type="dxa"/>
            <w:tcBorders>
              <w:top w:val="single" w:sz="4" w:space="0" w:color="4F81BD"/>
              <w:left w:val="nil"/>
              <w:bottom w:val="single" w:sz="4" w:space="0" w:color="4F81BD"/>
              <w:right w:val="single" w:sz="4" w:space="0" w:color="4F81BD"/>
            </w:tcBorders>
            <w:shd w:val="clear" w:color="auto" w:fill="1F4E79"/>
            <w:vAlign w:val="center"/>
            <w:hideMark/>
          </w:tcPr>
          <w:p w:rsidR="0003345E" w:rsidRPr="005C765B" w:rsidRDefault="0003345E" w:rsidP="0003345E">
            <w:pPr>
              <w:spacing w:after="0" w:line="240" w:lineRule="auto"/>
              <w:jc w:val="center"/>
              <w:rPr>
                <w:rFonts w:ascii="Arial" w:hAnsi="Arial" w:cs="Arial"/>
                <w:b/>
                <w:color w:val="FFFFFF" w:themeColor="background1"/>
                <w:sz w:val="20"/>
                <w:szCs w:val="20"/>
              </w:rPr>
            </w:pPr>
            <w:r w:rsidRPr="005C765B">
              <w:rPr>
                <w:rFonts w:ascii="Arial" w:hAnsi="Arial" w:cs="Arial"/>
                <w:b/>
                <w:color w:val="FFFFFF" w:themeColor="background1"/>
                <w:sz w:val="20"/>
                <w:szCs w:val="20"/>
              </w:rPr>
              <w:t>Critères de sélection</w:t>
            </w:r>
          </w:p>
        </w:tc>
        <w:tc>
          <w:tcPr>
            <w:tcW w:w="3212" w:type="dxa"/>
            <w:tcBorders>
              <w:top w:val="single" w:sz="4" w:space="0" w:color="4F81BD"/>
              <w:left w:val="nil"/>
              <w:bottom w:val="single" w:sz="4" w:space="0" w:color="4F81BD"/>
              <w:right w:val="single" w:sz="4" w:space="0" w:color="4F81BD"/>
            </w:tcBorders>
            <w:shd w:val="clear" w:color="auto" w:fill="1F4E79"/>
            <w:vAlign w:val="center"/>
            <w:hideMark/>
          </w:tcPr>
          <w:p w:rsidR="0003345E" w:rsidRPr="005C765B" w:rsidRDefault="0003345E" w:rsidP="0003345E">
            <w:pPr>
              <w:spacing w:after="0" w:line="240" w:lineRule="auto"/>
              <w:jc w:val="center"/>
              <w:rPr>
                <w:rFonts w:ascii="Arial" w:hAnsi="Arial" w:cs="Arial"/>
                <w:b/>
                <w:color w:val="FFFFFF" w:themeColor="background1"/>
                <w:sz w:val="20"/>
                <w:szCs w:val="20"/>
              </w:rPr>
            </w:pPr>
            <w:r w:rsidRPr="005C765B">
              <w:rPr>
                <w:rFonts w:ascii="Arial" w:hAnsi="Arial" w:cs="Arial"/>
                <w:b/>
                <w:color w:val="FFFFFF" w:themeColor="background1"/>
                <w:sz w:val="20"/>
                <w:szCs w:val="20"/>
              </w:rPr>
              <w:t>Sous-critères de sélection</w:t>
            </w:r>
          </w:p>
        </w:tc>
        <w:tc>
          <w:tcPr>
            <w:tcW w:w="896" w:type="dxa"/>
            <w:tcBorders>
              <w:top w:val="single" w:sz="4" w:space="0" w:color="4F81BD"/>
              <w:left w:val="nil"/>
              <w:bottom w:val="single" w:sz="4" w:space="0" w:color="4F81BD"/>
              <w:right w:val="single" w:sz="4" w:space="0" w:color="4F81BD"/>
            </w:tcBorders>
            <w:shd w:val="clear" w:color="auto" w:fill="1F4E79"/>
            <w:vAlign w:val="center"/>
            <w:hideMark/>
          </w:tcPr>
          <w:p w:rsidR="0003345E" w:rsidRPr="005C765B" w:rsidRDefault="0003345E" w:rsidP="0003345E">
            <w:pPr>
              <w:spacing w:after="0" w:line="240" w:lineRule="auto"/>
              <w:jc w:val="center"/>
              <w:rPr>
                <w:rFonts w:ascii="Arial" w:hAnsi="Arial" w:cs="Arial"/>
                <w:b/>
                <w:color w:val="FFFFFF" w:themeColor="background1"/>
                <w:sz w:val="20"/>
                <w:szCs w:val="20"/>
              </w:rPr>
            </w:pPr>
            <w:r w:rsidRPr="005C765B">
              <w:rPr>
                <w:rFonts w:ascii="Arial" w:hAnsi="Arial" w:cs="Arial"/>
                <w:b/>
                <w:color w:val="FFFFFF" w:themeColor="background1"/>
                <w:sz w:val="20"/>
                <w:szCs w:val="20"/>
              </w:rPr>
              <w:t>Nombre max. de points affectés</w:t>
            </w:r>
          </w:p>
        </w:tc>
        <w:tc>
          <w:tcPr>
            <w:tcW w:w="1074" w:type="dxa"/>
            <w:tcBorders>
              <w:top w:val="single" w:sz="4" w:space="0" w:color="4F81BD"/>
              <w:left w:val="nil"/>
              <w:bottom w:val="single" w:sz="4" w:space="0" w:color="4F81BD"/>
              <w:right w:val="single" w:sz="4" w:space="0" w:color="4F81BD"/>
            </w:tcBorders>
            <w:shd w:val="clear" w:color="auto" w:fill="1F4E79"/>
            <w:vAlign w:val="center"/>
            <w:hideMark/>
          </w:tcPr>
          <w:p w:rsidR="0003345E" w:rsidRPr="005C765B" w:rsidRDefault="0003345E" w:rsidP="0003345E">
            <w:pPr>
              <w:spacing w:after="0" w:line="240" w:lineRule="auto"/>
              <w:jc w:val="center"/>
              <w:rPr>
                <w:rFonts w:ascii="Arial" w:hAnsi="Arial" w:cs="Arial"/>
                <w:b/>
                <w:color w:val="FFFFFF" w:themeColor="background1"/>
                <w:sz w:val="20"/>
                <w:szCs w:val="20"/>
              </w:rPr>
            </w:pPr>
            <w:r w:rsidRPr="005C765B">
              <w:rPr>
                <w:rFonts w:ascii="Arial" w:hAnsi="Arial" w:cs="Arial"/>
                <w:b/>
                <w:color w:val="FFFFFF" w:themeColor="background1"/>
                <w:sz w:val="20"/>
                <w:szCs w:val="20"/>
              </w:rPr>
              <w:t>/ note maximum</w:t>
            </w:r>
          </w:p>
        </w:tc>
      </w:tr>
      <w:tr w:rsidR="0003345E" w:rsidRPr="00852149" w:rsidTr="0003345E">
        <w:trPr>
          <w:trHeight w:val="314"/>
        </w:trPr>
        <w:tc>
          <w:tcPr>
            <w:tcW w:w="1558" w:type="dxa"/>
            <w:vMerge w:val="restart"/>
            <w:tcBorders>
              <w:top w:val="nil"/>
              <w:left w:val="single" w:sz="4" w:space="0" w:color="4F81BD"/>
              <w:bottom w:val="nil"/>
              <w:right w:val="single" w:sz="4" w:space="0" w:color="4F81BD"/>
            </w:tcBorders>
            <w:shd w:val="clear" w:color="auto" w:fill="auto"/>
            <w:vAlign w:val="center"/>
            <w:hideMark/>
          </w:tcPr>
          <w:p w:rsidR="0003345E" w:rsidRPr="00A4254F" w:rsidRDefault="0003345E" w:rsidP="0003345E">
            <w:pPr>
              <w:spacing w:after="0" w:line="240" w:lineRule="auto"/>
              <w:rPr>
                <w:rFonts w:ascii="Arial" w:hAnsi="Arial" w:cs="Arial"/>
                <w:b/>
                <w:bCs/>
                <w:sz w:val="20"/>
                <w:szCs w:val="20"/>
              </w:rPr>
            </w:pPr>
            <w:r w:rsidRPr="00A4254F">
              <w:rPr>
                <w:rFonts w:ascii="Arial" w:hAnsi="Arial" w:cs="Arial"/>
                <w:b/>
                <w:sz w:val="20"/>
                <w:szCs w:val="20"/>
              </w:rPr>
              <w:t xml:space="preserve">Qualité des organismes de formation ou OPCO/FAF et compétences de leur personnel de formation </w:t>
            </w:r>
          </w:p>
        </w:tc>
        <w:tc>
          <w:tcPr>
            <w:tcW w:w="3594" w:type="dxa"/>
            <w:tcBorders>
              <w:top w:val="nil"/>
              <w:left w:val="nil"/>
              <w:bottom w:val="single" w:sz="4" w:space="0" w:color="4F81BD"/>
              <w:right w:val="single" w:sz="4" w:space="0" w:color="4F81BD"/>
            </w:tcBorders>
            <w:shd w:val="clear" w:color="auto" w:fill="auto"/>
            <w:vAlign w:val="center"/>
            <w:hideMark/>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 xml:space="preserve">Présence d'une démarche - qualité </w:t>
            </w:r>
          </w:p>
        </w:tc>
        <w:tc>
          <w:tcPr>
            <w:tcW w:w="3212" w:type="dxa"/>
            <w:tcBorders>
              <w:top w:val="nil"/>
              <w:left w:val="nil"/>
              <w:bottom w:val="nil"/>
              <w:right w:val="single" w:sz="4" w:space="0" w:color="5B9BD5"/>
            </w:tcBorders>
            <w:shd w:val="clear" w:color="auto" w:fill="auto"/>
            <w:noWrap/>
            <w:vAlign w:val="center"/>
            <w:hideMark/>
          </w:tcPr>
          <w:p w:rsidR="0003345E" w:rsidRPr="00852149" w:rsidRDefault="0003345E" w:rsidP="0003345E">
            <w:pPr>
              <w:spacing w:after="0" w:line="240" w:lineRule="auto"/>
              <w:rPr>
                <w:rFonts w:ascii="Arial" w:hAnsi="Arial" w:cs="Arial"/>
                <w:bCs/>
                <w:sz w:val="20"/>
                <w:szCs w:val="20"/>
              </w:rPr>
            </w:pPr>
          </w:p>
        </w:tc>
        <w:tc>
          <w:tcPr>
            <w:tcW w:w="896" w:type="dxa"/>
            <w:tcBorders>
              <w:top w:val="nil"/>
              <w:left w:val="single" w:sz="4" w:space="0" w:color="5B9BD5"/>
              <w:bottom w:val="single" w:sz="4" w:space="0" w:color="4F81BD"/>
              <w:right w:val="single" w:sz="4" w:space="0" w:color="4F81BD"/>
            </w:tcBorders>
            <w:shd w:val="clear" w:color="auto" w:fill="auto"/>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2</w:t>
            </w:r>
          </w:p>
        </w:tc>
        <w:tc>
          <w:tcPr>
            <w:tcW w:w="1074" w:type="dxa"/>
            <w:vMerge w:val="restart"/>
            <w:tcBorders>
              <w:top w:val="nil"/>
              <w:left w:val="single" w:sz="4" w:space="0" w:color="4F81BD"/>
              <w:bottom w:val="single" w:sz="8" w:space="0" w:color="4F81BD"/>
              <w:right w:val="single" w:sz="4" w:space="0" w:color="4F81BD"/>
            </w:tcBorders>
            <w:shd w:val="clear" w:color="auto" w:fill="auto"/>
            <w:noWrap/>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7</w:t>
            </w:r>
          </w:p>
        </w:tc>
      </w:tr>
      <w:tr w:rsidR="0003345E" w:rsidRPr="00852149" w:rsidTr="0003345E">
        <w:trPr>
          <w:trHeight w:val="253"/>
        </w:trPr>
        <w:tc>
          <w:tcPr>
            <w:tcW w:w="1558" w:type="dxa"/>
            <w:vMerge/>
            <w:tcBorders>
              <w:top w:val="nil"/>
              <w:left w:val="single" w:sz="4" w:space="0" w:color="4F81BD"/>
              <w:bottom w:val="nil"/>
              <w:right w:val="single" w:sz="4" w:space="0" w:color="4F81BD"/>
            </w:tcBorders>
            <w:vAlign w:val="center"/>
            <w:hideMark/>
          </w:tcPr>
          <w:p w:rsidR="0003345E" w:rsidRPr="00A4254F" w:rsidRDefault="0003345E" w:rsidP="0003345E">
            <w:pPr>
              <w:spacing w:after="0" w:line="240" w:lineRule="auto"/>
              <w:rPr>
                <w:rFonts w:ascii="Arial" w:hAnsi="Arial" w:cs="Arial"/>
                <w:b/>
                <w:bCs/>
                <w:sz w:val="20"/>
                <w:szCs w:val="20"/>
              </w:rPr>
            </w:pPr>
          </w:p>
        </w:tc>
        <w:tc>
          <w:tcPr>
            <w:tcW w:w="3594" w:type="dxa"/>
            <w:vMerge w:val="restart"/>
            <w:tcBorders>
              <w:top w:val="nil"/>
              <w:left w:val="single" w:sz="4" w:space="0" w:color="4F81BD"/>
              <w:bottom w:val="nil"/>
              <w:right w:val="single" w:sz="4" w:space="0" w:color="4F81BD"/>
            </w:tcBorders>
            <w:shd w:val="clear" w:color="auto" w:fill="auto"/>
            <w:vAlign w:val="center"/>
            <w:hideMark/>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Compétence et expérience des intervenants conduisant le programme de formation et/ou la formation</w:t>
            </w:r>
          </w:p>
        </w:tc>
        <w:tc>
          <w:tcPr>
            <w:tcW w:w="3212" w:type="dxa"/>
            <w:tcBorders>
              <w:top w:val="single" w:sz="4" w:space="0" w:color="4F81BD"/>
              <w:left w:val="nil"/>
              <w:bottom w:val="nil"/>
              <w:right w:val="single" w:sz="4" w:space="0" w:color="4F81BD"/>
            </w:tcBorders>
            <w:shd w:val="clear" w:color="auto" w:fill="auto"/>
            <w:vAlign w:val="center"/>
            <w:hideMark/>
          </w:tcPr>
          <w:p w:rsidR="0003345E" w:rsidRPr="00852149" w:rsidRDefault="0003345E" w:rsidP="0003345E">
            <w:pPr>
              <w:spacing w:after="0" w:line="240" w:lineRule="auto"/>
              <w:rPr>
                <w:rFonts w:ascii="Arial" w:hAnsi="Arial" w:cs="Arial"/>
                <w:bCs/>
                <w:sz w:val="16"/>
                <w:szCs w:val="20"/>
              </w:rPr>
            </w:pPr>
            <w:r w:rsidRPr="00852149">
              <w:rPr>
                <w:rFonts w:ascii="Arial" w:hAnsi="Arial" w:cs="Arial"/>
                <w:sz w:val="16"/>
                <w:szCs w:val="20"/>
              </w:rPr>
              <w:t xml:space="preserve">Compétence et expérience des intervenants dans le domaine de la formation </w:t>
            </w:r>
          </w:p>
        </w:tc>
        <w:tc>
          <w:tcPr>
            <w:tcW w:w="896" w:type="dxa"/>
            <w:tcBorders>
              <w:top w:val="nil"/>
              <w:left w:val="nil"/>
              <w:bottom w:val="single" w:sz="4" w:space="0" w:color="4F81BD"/>
              <w:right w:val="single" w:sz="4" w:space="0" w:color="4F81BD"/>
            </w:tcBorders>
            <w:shd w:val="clear" w:color="auto" w:fill="auto"/>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2</w:t>
            </w:r>
          </w:p>
        </w:tc>
        <w:tc>
          <w:tcPr>
            <w:tcW w:w="1074" w:type="dxa"/>
            <w:vMerge/>
            <w:tcBorders>
              <w:top w:val="nil"/>
              <w:left w:val="single" w:sz="4" w:space="0" w:color="4F81BD"/>
              <w:bottom w:val="single" w:sz="8" w:space="0" w:color="4F81BD"/>
              <w:right w:val="single" w:sz="4" w:space="0" w:color="4F81BD"/>
            </w:tcBorders>
            <w:vAlign w:val="center"/>
            <w:hideMark/>
          </w:tcPr>
          <w:p w:rsidR="0003345E" w:rsidRPr="00852149" w:rsidRDefault="0003345E" w:rsidP="0003345E">
            <w:pPr>
              <w:spacing w:after="0" w:line="240" w:lineRule="auto"/>
              <w:jc w:val="center"/>
              <w:rPr>
                <w:rFonts w:ascii="Arial" w:hAnsi="Arial" w:cs="Arial"/>
                <w:bCs/>
                <w:sz w:val="16"/>
                <w:szCs w:val="16"/>
              </w:rPr>
            </w:pPr>
          </w:p>
        </w:tc>
      </w:tr>
      <w:tr w:rsidR="0003345E" w:rsidRPr="00852149" w:rsidTr="0003345E">
        <w:trPr>
          <w:trHeight w:val="392"/>
        </w:trPr>
        <w:tc>
          <w:tcPr>
            <w:tcW w:w="1558" w:type="dxa"/>
            <w:vMerge/>
            <w:tcBorders>
              <w:top w:val="nil"/>
              <w:left w:val="single" w:sz="4" w:space="0" w:color="4F81BD"/>
              <w:bottom w:val="nil"/>
              <w:right w:val="single" w:sz="4" w:space="0" w:color="4F81BD"/>
            </w:tcBorders>
            <w:vAlign w:val="center"/>
            <w:hideMark/>
          </w:tcPr>
          <w:p w:rsidR="0003345E" w:rsidRPr="00A4254F" w:rsidRDefault="0003345E" w:rsidP="0003345E">
            <w:pPr>
              <w:spacing w:after="0" w:line="240" w:lineRule="auto"/>
              <w:rPr>
                <w:rFonts w:ascii="Arial" w:hAnsi="Arial" w:cs="Arial"/>
                <w:b/>
                <w:bCs/>
                <w:sz w:val="20"/>
                <w:szCs w:val="20"/>
              </w:rPr>
            </w:pPr>
          </w:p>
        </w:tc>
        <w:tc>
          <w:tcPr>
            <w:tcW w:w="3594" w:type="dxa"/>
            <w:vMerge/>
            <w:tcBorders>
              <w:top w:val="nil"/>
              <w:left w:val="single" w:sz="4" w:space="0" w:color="4F81BD"/>
              <w:bottom w:val="nil"/>
              <w:right w:val="single" w:sz="4" w:space="0" w:color="4F81BD"/>
            </w:tcBorders>
            <w:vAlign w:val="center"/>
            <w:hideMark/>
          </w:tcPr>
          <w:p w:rsidR="0003345E" w:rsidRPr="00852149" w:rsidRDefault="0003345E" w:rsidP="0003345E">
            <w:pPr>
              <w:spacing w:after="0" w:line="240" w:lineRule="auto"/>
              <w:rPr>
                <w:rFonts w:ascii="Arial" w:hAnsi="Arial" w:cs="Arial"/>
                <w:bCs/>
                <w:sz w:val="18"/>
                <w:szCs w:val="20"/>
              </w:rPr>
            </w:pPr>
          </w:p>
        </w:tc>
        <w:tc>
          <w:tcPr>
            <w:tcW w:w="3212" w:type="dxa"/>
            <w:tcBorders>
              <w:top w:val="single" w:sz="4" w:space="0" w:color="4F81BD"/>
              <w:left w:val="nil"/>
              <w:bottom w:val="nil"/>
              <w:right w:val="single" w:sz="4" w:space="0" w:color="4F81BD"/>
            </w:tcBorders>
            <w:shd w:val="clear" w:color="auto" w:fill="auto"/>
            <w:vAlign w:val="center"/>
            <w:hideMark/>
          </w:tcPr>
          <w:p w:rsidR="0003345E" w:rsidRPr="00852149" w:rsidRDefault="0003345E" w:rsidP="0003345E">
            <w:pPr>
              <w:spacing w:after="0" w:line="240" w:lineRule="auto"/>
              <w:rPr>
                <w:rFonts w:ascii="Arial" w:hAnsi="Arial" w:cs="Arial"/>
                <w:bCs/>
                <w:sz w:val="16"/>
                <w:szCs w:val="20"/>
              </w:rPr>
            </w:pPr>
            <w:r w:rsidRPr="00852149">
              <w:rPr>
                <w:rFonts w:ascii="Arial" w:hAnsi="Arial" w:cs="Arial"/>
                <w:sz w:val="16"/>
                <w:szCs w:val="20"/>
              </w:rPr>
              <w:t>Compétence et expérience des intervenants concernant la thématique développée dans le projet proposé</w:t>
            </w:r>
          </w:p>
        </w:tc>
        <w:tc>
          <w:tcPr>
            <w:tcW w:w="896" w:type="dxa"/>
            <w:tcBorders>
              <w:top w:val="nil"/>
              <w:left w:val="nil"/>
              <w:bottom w:val="nil"/>
              <w:right w:val="single" w:sz="4" w:space="0" w:color="4F81BD"/>
            </w:tcBorders>
            <w:shd w:val="clear" w:color="auto" w:fill="auto"/>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3</w:t>
            </w:r>
          </w:p>
        </w:tc>
        <w:tc>
          <w:tcPr>
            <w:tcW w:w="1074" w:type="dxa"/>
            <w:vMerge/>
            <w:tcBorders>
              <w:top w:val="nil"/>
              <w:left w:val="single" w:sz="4" w:space="0" w:color="4F81BD"/>
              <w:bottom w:val="single" w:sz="4" w:space="0" w:color="5B9BD5"/>
              <w:right w:val="single" w:sz="4" w:space="0" w:color="4F81BD"/>
            </w:tcBorders>
            <w:vAlign w:val="center"/>
            <w:hideMark/>
          </w:tcPr>
          <w:p w:rsidR="0003345E" w:rsidRPr="00852149" w:rsidRDefault="0003345E" w:rsidP="0003345E">
            <w:pPr>
              <w:spacing w:after="0" w:line="240" w:lineRule="auto"/>
              <w:jc w:val="center"/>
              <w:rPr>
                <w:rFonts w:ascii="Arial" w:hAnsi="Arial" w:cs="Arial"/>
                <w:bCs/>
                <w:sz w:val="16"/>
                <w:szCs w:val="16"/>
              </w:rPr>
            </w:pPr>
          </w:p>
        </w:tc>
      </w:tr>
      <w:tr w:rsidR="0003345E" w:rsidRPr="00852149" w:rsidTr="0003345E">
        <w:trPr>
          <w:trHeight w:val="521"/>
        </w:trPr>
        <w:tc>
          <w:tcPr>
            <w:tcW w:w="1558" w:type="dxa"/>
            <w:vMerge w:val="restart"/>
            <w:tcBorders>
              <w:top w:val="single" w:sz="8" w:space="0" w:color="4F81BD"/>
              <w:left w:val="single" w:sz="4" w:space="0" w:color="4F81BD"/>
              <w:bottom w:val="nil"/>
              <w:right w:val="single" w:sz="4" w:space="0" w:color="5B9BD5"/>
            </w:tcBorders>
            <w:shd w:val="clear" w:color="auto" w:fill="auto"/>
            <w:vAlign w:val="center"/>
            <w:hideMark/>
          </w:tcPr>
          <w:p w:rsidR="0003345E" w:rsidRPr="00A4254F" w:rsidRDefault="0003345E" w:rsidP="0003345E">
            <w:pPr>
              <w:spacing w:after="0" w:line="240" w:lineRule="auto"/>
              <w:rPr>
                <w:rFonts w:ascii="Arial" w:hAnsi="Arial" w:cs="Arial"/>
                <w:b/>
                <w:sz w:val="20"/>
                <w:szCs w:val="20"/>
              </w:rPr>
            </w:pPr>
            <w:r w:rsidRPr="00A4254F">
              <w:rPr>
                <w:rFonts w:ascii="Arial" w:hAnsi="Arial" w:cs="Arial"/>
                <w:b/>
                <w:sz w:val="20"/>
                <w:szCs w:val="20"/>
              </w:rPr>
              <w:t>Cohérence et pertinence des propositions des organismes de formation et/ou OPCO/FAF en réponse aux appels à projets</w:t>
            </w:r>
          </w:p>
        </w:tc>
        <w:tc>
          <w:tcPr>
            <w:tcW w:w="3594" w:type="dxa"/>
            <w:vMerge w:val="restart"/>
            <w:tcBorders>
              <w:top w:val="single" w:sz="4" w:space="0" w:color="4F81BD"/>
              <w:left w:val="single" w:sz="4" w:space="0" w:color="5B9BD5"/>
              <w:right w:val="single" w:sz="4" w:space="0" w:color="4F81BD"/>
            </w:tcBorders>
            <w:vAlign w:val="center"/>
            <w:hideMark/>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Qualité des moyens et outils pédagogiques adaptés au contexte et aux objectifs de la formation</w:t>
            </w:r>
          </w:p>
          <w:p w:rsidR="0003345E" w:rsidRPr="00852149" w:rsidRDefault="0003345E" w:rsidP="0003345E">
            <w:pPr>
              <w:spacing w:after="0" w:line="240" w:lineRule="auto"/>
              <w:rPr>
                <w:rFonts w:ascii="Arial" w:hAnsi="Arial" w:cs="Arial"/>
                <w:bCs/>
                <w:sz w:val="18"/>
                <w:szCs w:val="20"/>
              </w:rPr>
            </w:pPr>
          </w:p>
        </w:tc>
        <w:tc>
          <w:tcPr>
            <w:tcW w:w="3212" w:type="dxa"/>
            <w:tcBorders>
              <w:top w:val="single" w:sz="4" w:space="0" w:color="4F81BD"/>
              <w:left w:val="nil"/>
              <w:bottom w:val="single" w:sz="4" w:space="0" w:color="4F81BD"/>
              <w:right w:val="single" w:sz="4" w:space="0" w:color="4F81BD"/>
            </w:tcBorders>
            <w:shd w:val="clear" w:color="auto" w:fill="auto"/>
            <w:vAlign w:val="center"/>
            <w:hideMark/>
          </w:tcPr>
          <w:p w:rsidR="0003345E" w:rsidRPr="00852149" w:rsidRDefault="0003345E" w:rsidP="0003345E">
            <w:pPr>
              <w:spacing w:after="0" w:line="240" w:lineRule="auto"/>
              <w:rPr>
                <w:rFonts w:ascii="Arial" w:hAnsi="Arial" w:cs="Arial"/>
                <w:bCs/>
                <w:sz w:val="16"/>
                <w:szCs w:val="20"/>
              </w:rPr>
            </w:pPr>
            <w:r w:rsidRPr="00852149">
              <w:rPr>
                <w:rFonts w:ascii="Arial" w:hAnsi="Arial" w:cs="Arial"/>
                <w:sz w:val="16"/>
                <w:szCs w:val="20"/>
              </w:rPr>
              <w:t>Prise en compte des acquis des stagiaires et leurs attentes spécifiques ainsi que de la spécificité de leurs profils dans la préparation et la conduite de la formation</w:t>
            </w:r>
          </w:p>
        </w:tc>
        <w:tc>
          <w:tcPr>
            <w:tcW w:w="896" w:type="dxa"/>
            <w:tcBorders>
              <w:top w:val="single" w:sz="4" w:space="0" w:color="4F81BD"/>
              <w:left w:val="nil"/>
              <w:bottom w:val="nil"/>
              <w:right w:val="single" w:sz="4" w:space="0" w:color="5B9BD5"/>
            </w:tcBorders>
            <w:shd w:val="clear" w:color="auto" w:fill="auto"/>
            <w:noWrap/>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1</w:t>
            </w:r>
          </w:p>
        </w:tc>
        <w:tc>
          <w:tcPr>
            <w:tcW w:w="1074" w:type="dxa"/>
            <w:vMerge w:val="restart"/>
            <w:tcBorders>
              <w:top w:val="single" w:sz="4" w:space="0" w:color="5B9BD5"/>
              <w:left w:val="single" w:sz="4" w:space="0" w:color="5B9BD5"/>
              <w:right w:val="single" w:sz="4" w:space="0" w:color="5B9BD5"/>
            </w:tcBorders>
            <w:shd w:val="clear" w:color="auto" w:fill="auto"/>
            <w:noWrap/>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5</w:t>
            </w:r>
          </w:p>
        </w:tc>
      </w:tr>
      <w:tr w:rsidR="0003345E" w:rsidRPr="00852149" w:rsidTr="0003345E">
        <w:trPr>
          <w:trHeight w:val="150"/>
        </w:trPr>
        <w:tc>
          <w:tcPr>
            <w:tcW w:w="1558" w:type="dxa"/>
            <w:vMerge/>
            <w:tcBorders>
              <w:top w:val="single" w:sz="8" w:space="0" w:color="4F81BD"/>
              <w:left w:val="single" w:sz="4" w:space="0" w:color="4F81BD"/>
              <w:bottom w:val="nil"/>
              <w:right w:val="single" w:sz="4" w:space="0" w:color="5B9BD5"/>
            </w:tcBorders>
            <w:vAlign w:val="center"/>
            <w:hideMark/>
          </w:tcPr>
          <w:p w:rsidR="0003345E" w:rsidRPr="00A4254F" w:rsidRDefault="0003345E" w:rsidP="0003345E">
            <w:pPr>
              <w:spacing w:after="0" w:line="240" w:lineRule="auto"/>
              <w:rPr>
                <w:rFonts w:ascii="Arial" w:hAnsi="Arial" w:cs="Arial"/>
                <w:b/>
                <w:sz w:val="20"/>
                <w:szCs w:val="20"/>
              </w:rPr>
            </w:pPr>
          </w:p>
        </w:tc>
        <w:tc>
          <w:tcPr>
            <w:tcW w:w="3594" w:type="dxa"/>
            <w:vMerge/>
            <w:tcBorders>
              <w:left w:val="single" w:sz="4" w:space="0" w:color="5B9BD5"/>
              <w:right w:val="single" w:sz="4" w:space="0" w:color="4F81BD"/>
            </w:tcBorders>
            <w:vAlign w:val="center"/>
            <w:hideMark/>
          </w:tcPr>
          <w:p w:rsidR="0003345E" w:rsidRPr="00852149" w:rsidRDefault="0003345E" w:rsidP="0003345E">
            <w:pPr>
              <w:spacing w:after="0" w:line="240" w:lineRule="auto"/>
              <w:rPr>
                <w:rFonts w:ascii="Arial" w:hAnsi="Arial" w:cs="Arial"/>
                <w:bCs/>
                <w:sz w:val="18"/>
                <w:szCs w:val="20"/>
              </w:rPr>
            </w:pPr>
          </w:p>
        </w:tc>
        <w:tc>
          <w:tcPr>
            <w:tcW w:w="3212" w:type="dxa"/>
            <w:tcBorders>
              <w:top w:val="nil"/>
              <w:left w:val="nil"/>
              <w:bottom w:val="nil"/>
              <w:right w:val="single" w:sz="4" w:space="0" w:color="4F81BD"/>
            </w:tcBorders>
            <w:shd w:val="clear" w:color="auto" w:fill="auto"/>
            <w:vAlign w:val="center"/>
          </w:tcPr>
          <w:p w:rsidR="0003345E" w:rsidRPr="00852149" w:rsidRDefault="0003345E" w:rsidP="0003345E">
            <w:pPr>
              <w:spacing w:after="0" w:line="240" w:lineRule="auto"/>
              <w:rPr>
                <w:rFonts w:ascii="Arial" w:hAnsi="Arial" w:cs="Arial"/>
                <w:bCs/>
                <w:sz w:val="16"/>
                <w:szCs w:val="20"/>
              </w:rPr>
            </w:pPr>
            <w:r w:rsidRPr="00852149">
              <w:rPr>
                <w:rFonts w:ascii="Arial" w:hAnsi="Arial" w:cs="Arial"/>
                <w:sz w:val="16"/>
                <w:szCs w:val="20"/>
              </w:rPr>
              <w:t>Alternance d'au moins trois techniques pédagogiques</w:t>
            </w:r>
          </w:p>
        </w:tc>
        <w:tc>
          <w:tcPr>
            <w:tcW w:w="896" w:type="dxa"/>
            <w:tcBorders>
              <w:top w:val="single" w:sz="4" w:space="0" w:color="4F81BD"/>
              <w:left w:val="nil"/>
              <w:bottom w:val="nil"/>
              <w:right w:val="single" w:sz="4" w:space="0" w:color="5B9BD5"/>
            </w:tcBorders>
            <w:shd w:val="clear" w:color="auto" w:fill="auto"/>
            <w:noWrap/>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2</w:t>
            </w:r>
          </w:p>
        </w:tc>
        <w:tc>
          <w:tcPr>
            <w:tcW w:w="1074" w:type="dxa"/>
            <w:vMerge/>
            <w:tcBorders>
              <w:left w:val="single" w:sz="4" w:space="0" w:color="5B9BD5"/>
              <w:right w:val="single" w:sz="4" w:space="0" w:color="5B9BD5"/>
            </w:tcBorders>
            <w:shd w:val="clear" w:color="auto" w:fill="auto"/>
            <w:vAlign w:val="center"/>
          </w:tcPr>
          <w:p w:rsidR="0003345E" w:rsidRPr="00852149" w:rsidRDefault="0003345E" w:rsidP="0003345E">
            <w:pPr>
              <w:spacing w:after="0" w:line="240" w:lineRule="auto"/>
              <w:jc w:val="center"/>
              <w:rPr>
                <w:rFonts w:ascii="Arial" w:hAnsi="Arial" w:cs="Arial"/>
                <w:bCs/>
                <w:sz w:val="16"/>
                <w:szCs w:val="16"/>
              </w:rPr>
            </w:pPr>
          </w:p>
        </w:tc>
      </w:tr>
      <w:tr w:rsidR="0003345E" w:rsidRPr="00852149" w:rsidTr="0003345E">
        <w:trPr>
          <w:trHeight w:val="426"/>
        </w:trPr>
        <w:tc>
          <w:tcPr>
            <w:tcW w:w="1558" w:type="dxa"/>
            <w:vMerge/>
            <w:tcBorders>
              <w:top w:val="single" w:sz="8" w:space="0" w:color="4F81BD"/>
              <w:left w:val="single" w:sz="4" w:space="0" w:color="4F81BD"/>
              <w:bottom w:val="single" w:sz="8" w:space="0" w:color="4F81BD"/>
              <w:right w:val="single" w:sz="4" w:space="0" w:color="5B9BD5"/>
            </w:tcBorders>
            <w:vAlign w:val="center"/>
            <w:hideMark/>
          </w:tcPr>
          <w:p w:rsidR="0003345E" w:rsidRPr="00A4254F" w:rsidRDefault="0003345E" w:rsidP="0003345E">
            <w:pPr>
              <w:spacing w:after="0" w:line="240" w:lineRule="auto"/>
              <w:rPr>
                <w:rFonts w:ascii="Arial" w:hAnsi="Arial" w:cs="Arial"/>
                <w:b/>
                <w:sz w:val="20"/>
                <w:szCs w:val="20"/>
              </w:rPr>
            </w:pPr>
          </w:p>
        </w:tc>
        <w:tc>
          <w:tcPr>
            <w:tcW w:w="3594" w:type="dxa"/>
            <w:vMerge/>
            <w:tcBorders>
              <w:left w:val="single" w:sz="4" w:space="0" w:color="5B9BD5"/>
              <w:bottom w:val="single" w:sz="4" w:space="0" w:color="5B9BD5"/>
              <w:right w:val="single" w:sz="4" w:space="0" w:color="4F81BD"/>
            </w:tcBorders>
            <w:shd w:val="clear" w:color="auto" w:fill="auto"/>
            <w:vAlign w:val="center"/>
            <w:hideMark/>
          </w:tcPr>
          <w:p w:rsidR="0003345E" w:rsidRPr="00852149" w:rsidRDefault="0003345E" w:rsidP="0003345E">
            <w:pPr>
              <w:spacing w:after="0" w:line="240" w:lineRule="auto"/>
              <w:rPr>
                <w:rFonts w:ascii="Arial" w:hAnsi="Arial" w:cs="Arial"/>
                <w:bCs/>
                <w:sz w:val="18"/>
                <w:szCs w:val="20"/>
              </w:rPr>
            </w:pPr>
          </w:p>
        </w:tc>
        <w:tc>
          <w:tcPr>
            <w:tcW w:w="3212" w:type="dxa"/>
            <w:tcBorders>
              <w:top w:val="single" w:sz="4" w:space="0" w:color="4F81BD"/>
              <w:left w:val="nil"/>
              <w:bottom w:val="single" w:sz="4" w:space="0" w:color="4F81BD"/>
              <w:right w:val="single" w:sz="4" w:space="0" w:color="4F81BD"/>
            </w:tcBorders>
            <w:shd w:val="clear" w:color="auto" w:fill="auto"/>
            <w:vAlign w:val="center"/>
          </w:tcPr>
          <w:p w:rsidR="0003345E" w:rsidRPr="00852149" w:rsidRDefault="0003345E" w:rsidP="0003345E">
            <w:pPr>
              <w:spacing w:after="0" w:line="240" w:lineRule="auto"/>
              <w:rPr>
                <w:rFonts w:ascii="Arial" w:hAnsi="Arial" w:cs="Arial"/>
                <w:bCs/>
                <w:sz w:val="16"/>
                <w:szCs w:val="20"/>
              </w:rPr>
            </w:pPr>
            <w:r w:rsidRPr="00852149">
              <w:rPr>
                <w:rFonts w:ascii="Arial" w:hAnsi="Arial" w:cs="Arial"/>
                <w:sz w:val="16"/>
                <w:szCs w:val="20"/>
              </w:rPr>
              <w:t>Recours à la formation ouverte et/ou à distance (FOAD), usages numériques</w:t>
            </w:r>
          </w:p>
        </w:tc>
        <w:tc>
          <w:tcPr>
            <w:tcW w:w="896" w:type="dxa"/>
            <w:tcBorders>
              <w:top w:val="single" w:sz="4" w:space="0" w:color="4F81BD"/>
              <w:left w:val="nil"/>
              <w:bottom w:val="single" w:sz="4" w:space="0" w:color="4F81BD"/>
              <w:right w:val="single" w:sz="4" w:space="0" w:color="5B9BD5"/>
            </w:tcBorders>
            <w:shd w:val="clear" w:color="auto" w:fill="auto"/>
            <w:noWrap/>
            <w:vAlign w:val="center"/>
            <w:hideMark/>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2</w:t>
            </w:r>
          </w:p>
        </w:tc>
        <w:tc>
          <w:tcPr>
            <w:tcW w:w="1074" w:type="dxa"/>
            <w:vMerge/>
            <w:tcBorders>
              <w:left w:val="single" w:sz="4" w:space="0" w:color="5B9BD5"/>
              <w:bottom w:val="single" w:sz="4" w:space="0" w:color="5B9BD5"/>
              <w:right w:val="single" w:sz="4" w:space="0" w:color="5B9BD5"/>
            </w:tcBorders>
            <w:shd w:val="clear" w:color="auto" w:fill="auto"/>
            <w:vAlign w:val="center"/>
          </w:tcPr>
          <w:p w:rsidR="0003345E" w:rsidRPr="00852149" w:rsidRDefault="0003345E" w:rsidP="0003345E">
            <w:pPr>
              <w:spacing w:after="0" w:line="240" w:lineRule="auto"/>
              <w:jc w:val="center"/>
              <w:rPr>
                <w:rFonts w:ascii="Arial" w:hAnsi="Arial" w:cs="Arial"/>
                <w:bCs/>
                <w:sz w:val="16"/>
                <w:szCs w:val="16"/>
              </w:rPr>
            </w:pPr>
          </w:p>
        </w:tc>
      </w:tr>
      <w:tr w:rsidR="0003345E" w:rsidRPr="00852149" w:rsidTr="0003345E">
        <w:trPr>
          <w:trHeight w:val="523"/>
        </w:trPr>
        <w:tc>
          <w:tcPr>
            <w:tcW w:w="1558" w:type="dxa"/>
            <w:tcBorders>
              <w:top w:val="single" w:sz="8" w:space="0" w:color="4F81BD"/>
              <w:left w:val="single" w:sz="4" w:space="0" w:color="4F81BD"/>
              <w:bottom w:val="single" w:sz="8" w:space="0" w:color="4F81BD"/>
              <w:right w:val="single" w:sz="4" w:space="0" w:color="auto"/>
            </w:tcBorders>
            <w:vAlign w:val="center"/>
          </w:tcPr>
          <w:p w:rsidR="0003345E" w:rsidRPr="00A4254F" w:rsidRDefault="0003345E" w:rsidP="0003345E">
            <w:pPr>
              <w:spacing w:after="0" w:line="240" w:lineRule="auto"/>
              <w:rPr>
                <w:rFonts w:ascii="Arial" w:hAnsi="Arial" w:cs="Arial"/>
                <w:b/>
                <w:bCs/>
                <w:sz w:val="20"/>
                <w:szCs w:val="20"/>
              </w:rPr>
            </w:pPr>
            <w:r w:rsidRPr="00A4254F">
              <w:rPr>
                <w:rFonts w:ascii="Arial" w:hAnsi="Arial" w:cs="Arial"/>
                <w:b/>
                <w:sz w:val="20"/>
                <w:szCs w:val="20"/>
              </w:rPr>
              <w:t>Qualité du descriptif du projet ou du programme de formation</w:t>
            </w:r>
          </w:p>
        </w:tc>
        <w:tc>
          <w:tcPr>
            <w:tcW w:w="3594" w:type="dxa"/>
            <w:tcBorders>
              <w:top w:val="single" w:sz="4" w:space="0" w:color="5B9BD5"/>
              <w:left w:val="single" w:sz="4" w:space="0" w:color="auto"/>
              <w:bottom w:val="single" w:sz="4" w:space="0" w:color="auto"/>
              <w:right w:val="single" w:sz="4" w:space="0" w:color="5B9BD5"/>
            </w:tcBorders>
            <w:shd w:val="clear" w:color="auto" w:fill="auto"/>
            <w:vAlign w:val="center"/>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Les éléments décrits dans l’annexe III ci-après sont présents dans le descriptif de chaque action de formation ou demandés par l’OPCO dans le cadre du programme de formation inscrit dans son appel d’offre</w:t>
            </w:r>
          </w:p>
          <w:p w:rsidR="0003345E" w:rsidRPr="00852149" w:rsidRDefault="0003345E" w:rsidP="0003345E">
            <w:pPr>
              <w:spacing w:after="0" w:line="240" w:lineRule="auto"/>
              <w:rPr>
                <w:rFonts w:ascii="Arial" w:hAnsi="Arial" w:cs="Arial"/>
                <w:bCs/>
                <w:sz w:val="18"/>
                <w:szCs w:val="20"/>
              </w:rPr>
            </w:pPr>
          </w:p>
        </w:tc>
        <w:tc>
          <w:tcPr>
            <w:tcW w:w="3212" w:type="dxa"/>
            <w:tcBorders>
              <w:top w:val="single" w:sz="4" w:space="0" w:color="4F81BD"/>
              <w:left w:val="single" w:sz="4" w:space="0" w:color="5B9BD5"/>
              <w:bottom w:val="single" w:sz="4" w:space="0" w:color="4F81BD"/>
              <w:right w:val="single" w:sz="4" w:space="0" w:color="4F81BD"/>
            </w:tcBorders>
            <w:shd w:val="clear" w:color="auto" w:fill="auto"/>
            <w:vAlign w:val="center"/>
          </w:tcPr>
          <w:p w:rsidR="0003345E" w:rsidRPr="00852149" w:rsidRDefault="0003345E" w:rsidP="0003345E">
            <w:pPr>
              <w:spacing w:after="0" w:line="240" w:lineRule="auto"/>
              <w:rPr>
                <w:rFonts w:ascii="Arial" w:hAnsi="Arial" w:cs="Arial"/>
                <w:bCs/>
                <w:sz w:val="16"/>
                <w:szCs w:val="20"/>
              </w:rPr>
            </w:pPr>
          </w:p>
        </w:tc>
        <w:tc>
          <w:tcPr>
            <w:tcW w:w="896" w:type="dxa"/>
            <w:tcBorders>
              <w:top w:val="single" w:sz="4" w:space="0" w:color="4F81BD"/>
              <w:left w:val="nil"/>
              <w:bottom w:val="single" w:sz="4" w:space="0" w:color="4F81BD"/>
              <w:right w:val="single" w:sz="4" w:space="0" w:color="5B9BD5"/>
            </w:tcBorders>
            <w:shd w:val="clear" w:color="auto" w:fill="auto"/>
            <w:noWrap/>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2</w:t>
            </w:r>
          </w:p>
        </w:tc>
        <w:tc>
          <w:tcPr>
            <w:tcW w:w="1074" w:type="dxa"/>
            <w:tcBorders>
              <w:top w:val="single" w:sz="4" w:space="0" w:color="5B9BD5"/>
              <w:left w:val="single" w:sz="4" w:space="0" w:color="5B9BD5"/>
              <w:bottom w:val="single" w:sz="4" w:space="0" w:color="5B9BD5"/>
              <w:right w:val="single" w:sz="4" w:space="0" w:color="5B9BD5"/>
            </w:tcBorders>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2</w:t>
            </w:r>
          </w:p>
        </w:tc>
      </w:tr>
      <w:tr w:rsidR="0003345E" w:rsidRPr="00852149" w:rsidTr="0003345E">
        <w:trPr>
          <w:trHeight w:val="523"/>
        </w:trPr>
        <w:tc>
          <w:tcPr>
            <w:tcW w:w="1558" w:type="dxa"/>
            <w:vMerge w:val="restart"/>
            <w:tcBorders>
              <w:top w:val="single" w:sz="8" w:space="0" w:color="4F81BD"/>
              <w:left w:val="single" w:sz="4" w:space="0" w:color="4F81BD"/>
              <w:right w:val="single" w:sz="4" w:space="0" w:color="auto"/>
            </w:tcBorders>
            <w:vAlign w:val="center"/>
          </w:tcPr>
          <w:p w:rsidR="0003345E" w:rsidRPr="00A4254F" w:rsidRDefault="0003345E" w:rsidP="0003345E">
            <w:pPr>
              <w:spacing w:after="0" w:line="240" w:lineRule="auto"/>
              <w:rPr>
                <w:rFonts w:ascii="Arial" w:hAnsi="Arial" w:cs="Arial"/>
                <w:b/>
                <w:bCs/>
                <w:sz w:val="20"/>
                <w:szCs w:val="20"/>
              </w:rPr>
            </w:pPr>
            <w:r w:rsidRPr="00A4254F">
              <w:rPr>
                <w:rFonts w:ascii="Arial" w:hAnsi="Arial" w:cs="Arial"/>
                <w:b/>
                <w:sz w:val="20"/>
                <w:szCs w:val="20"/>
              </w:rPr>
              <w:t>Coûts unitaires</w:t>
            </w:r>
          </w:p>
        </w:tc>
        <w:tc>
          <w:tcPr>
            <w:tcW w:w="3594" w:type="dxa"/>
            <w:tcBorders>
              <w:top w:val="single" w:sz="8" w:space="0" w:color="4F81BD"/>
              <w:left w:val="single" w:sz="4" w:space="0" w:color="4F81BD"/>
              <w:bottom w:val="single" w:sz="4" w:space="0" w:color="5B9BD5"/>
              <w:right w:val="single" w:sz="4" w:space="0" w:color="5B9BD5"/>
            </w:tcBorders>
            <w:shd w:val="clear" w:color="auto" w:fill="auto"/>
            <w:vAlign w:val="center"/>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Coût horaire de l'action proposée inférieure au coût moyen des actions proposées par l'Appel à projet, pour sa catégorie (action en formation en salle OU incluant des visites/déplacements OU sous forme d'ateliers/ de travaux pratiques)</w:t>
            </w:r>
          </w:p>
        </w:tc>
        <w:tc>
          <w:tcPr>
            <w:tcW w:w="3212" w:type="dxa"/>
            <w:tcBorders>
              <w:top w:val="single" w:sz="4" w:space="0" w:color="4F81BD"/>
              <w:left w:val="single" w:sz="4" w:space="0" w:color="5B9BD5"/>
              <w:bottom w:val="single" w:sz="4" w:space="0" w:color="5B9BD5"/>
              <w:right w:val="single" w:sz="4" w:space="0" w:color="4F81BD"/>
            </w:tcBorders>
            <w:shd w:val="clear" w:color="auto" w:fill="auto"/>
            <w:vAlign w:val="center"/>
          </w:tcPr>
          <w:p w:rsidR="0003345E" w:rsidRPr="00852149" w:rsidRDefault="0003345E" w:rsidP="0003345E">
            <w:pPr>
              <w:spacing w:after="0" w:line="240" w:lineRule="auto"/>
              <w:rPr>
                <w:rFonts w:ascii="Arial" w:hAnsi="Arial" w:cs="Arial"/>
                <w:bCs/>
                <w:sz w:val="16"/>
                <w:szCs w:val="20"/>
              </w:rPr>
            </w:pPr>
          </w:p>
        </w:tc>
        <w:tc>
          <w:tcPr>
            <w:tcW w:w="896" w:type="dxa"/>
            <w:tcBorders>
              <w:top w:val="single" w:sz="4" w:space="0" w:color="4F81BD"/>
              <w:left w:val="nil"/>
              <w:bottom w:val="single" w:sz="4" w:space="0" w:color="4F81BD"/>
              <w:right w:val="single" w:sz="4" w:space="0" w:color="5B9BD5"/>
            </w:tcBorders>
            <w:shd w:val="clear" w:color="auto" w:fill="auto"/>
            <w:noWrap/>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3</w:t>
            </w:r>
          </w:p>
        </w:tc>
        <w:tc>
          <w:tcPr>
            <w:tcW w:w="1074" w:type="dxa"/>
            <w:vMerge w:val="restart"/>
            <w:tcBorders>
              <w:top w:val="single" w:sz="4" w:space="0" w:color="5B9BD5"/>
              <w:left w:val="single" w:sz="4" w:space="0" w:color="5B9BD5"/>
              <w:right w:val="single" w:sz="4" w:space="0" w:color="5B9BD5"/>
            </w:tcBorders>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3</w:t>
            </w:r>
          </w:p>
        </w:tc>
      </w:tr>
      <w:tr w:rsidR="0003345E" w:rsidRPr="00852149" w:rsidTr="0003345E">
        <w:trPr>
          <w:trHeight w:val="523"/>
        </w:trPr>
        <w:tc>
          <w:tcPr>
            <w:tcW w:w="1558" w:type="dxa"/>
            <w:vMerge/>
            <w:tcBorders>
              <w:left w:val="single" w:sz="4" w:space="0" w:color="4F81BD"/>
              <w:bottom w:val="single" w:sz="4" w:space="0" w:color="auto"/>
              <w:right w:val="single" w:sz="4" w:space="0" w:color="auto"/>
            </w:tcBorders>
            <w:vAlign w:val="center"/>
          </w:tcPr>
          <w:p w:rsidR="0003345E" w:rsidRPr="00A4254F" w:rsidRDefault="0003345E" w:rsidP="0003345E">
            <w:pPr>
              <w:spacing w:after="0" w:line="240" w:lineRule="auto"/>
              <w:rPr>
                <w:rFonts w:ascii="Arial" w:hAnsi="Arial" w:cs="Arial"/>
                <w:b/>
                <w:bCs/>
                <w:sz w:val="20"/>
                <w:szCs w:val="20"/>
              </w:rPr>
            </w:pPr>
          </w:p>
        </w:tc>
        <w:tc>
          <w:tcPr>
            <w:tcW w:w="3594" w:type="dxa"/>
            <w:tcBorders>
              <w:top w:val="single" w:sz="4" w:space="0" w:color="5B9BD5"/>
              <w:left w:val="single" w:sz="4" w:space="0" w:color="4F81BD"/>
              <w:bottom w:val="single" w:sz="8" w:space="0" w:color="4F81BD"/>
              <w:right w:val="single" w:sz="4" w:space="0" w:color="5B9BD5"/>
            </w:tcBorders>
            <w:shd w:val="clear" w:color="auto" w:fill="auto"/>
            <w:vAlign w:val="center"/>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Coût horaire de l'action proposée supérieure de moins de 50% au cout moyen des actions proposées pour l'appel à projet, pour sa catégorie (action en formation en salle OU incluant des visites/déplacements OU sous forme d'ateliers/ de travaux pratiques)</w:t>
            </w:r>
          </w:p>
        </w:tc>
        <w:tc>
          <w:tcPr>
            <w:tcW w:w="3212" w:type="dxa"/>
            <w:tcBorders>
              <w:top w:val="single" w:sz="4" w:space="0" w:color="5B9BD5"/>
              <w:left w:val="single" w:sz="4" w:space="0" w:color="5B9BD5"/>
              <w:bottom w:val="single" w:sz="4" w:space="0" w:color="5B9BD5"/>
              <w:right w:val="single" w:sz="4" w:space="0" w:color="4F81BD"/>
            </w:tcBorders>
            <w:shd w:val="clear" w:color="auto" w:fill="auto"/>
            <w:vAlign w:val="center"/>
          </w:tcPr>
          <w:p w:rsidR="0003345E" w:rsidRPr="00852149" w:rsidRDefault="0003345E" w:rsidP="0003345E">
            <w:pPr>
              <w:spacing w:after="0" w:line="240" w:lineRule="auto"/>
              <w:rPr>
                <w:rFonts w:ascii="Arial" w:hAnsi="Arial" w:cs="Arial"/>
                <w:bCs/>
                <w:sz w:val="16"/>
                <w:szCs w:val="20"/>
              </w:rPr>
            </w:pPr>
          </w:p>
        </w:tc>
        <w:tc>
          <w:tcPr>
            <w:tcW w:w="896" w:type="dxa"/>
            <w:tcBorders>
              <w:top w:val="single" w:sz="4" w:space="0" w:color="4F81BD"/>
              <w:left w:val="nil"/>
              <w:bottom w:val="single" w:sz="4" w:space="0" w:color="4F81BD"/>
              <w:right w:val="single" w:sz="4" w:space="0" w:color="5B9BD5"/>
            </w:tcBorders>
            <w:shd w:val="clear" w:color="auto" w:fill="auto"/>
            <w:noWrap/>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1</w:t>
            </w:r>
          </w:p>
        </w:tc>
        <w:tc>
          <w:tcPr>
            <w:tcW w:w="1074" w:type="dxa"/>
            <w:vMerge/>
            <w:tcBorders>
              <w:left w:val="single" w:sz="4" w:space="0" w:color="5B9BD5"/>
              <w:bottom w:val="single" w:sz="4" w:space="0" w:color="5B9BD5"/>
              <w:right w:val="single" w:sz="4" w:space="0" w:color="5B9BD5"/>
            </w:tcBorders>
            <w:vAlign w:val="center"/>
          </w:tcPr>
          <w:p w:rsidR="0003345E" w:rsidRPr="00852149" w:rsidRDefault="0003345E" w:rsidP="0003345E">
            <w:pPr>
              <w:spacing w:after="0" w:line="240" w:lineRule="auto"/>
              <w:jc w:val="center"/>
              <w:rPr>
                <w:rFonts w:ascii="Arial" w:hAnsi="Arial" w:cs="Arial"/>
                <w:bCs/>
                <w:sz w:val="16"/>
                <w:szCs w:val="16"/>
              </w:rPr>
            </w:pPr>
          </w:p>
        </w:tc>
      </w:tr>
      <w:tr w:rsidR="0003345E" w:rsidRPr="00852149" w:rsidTr="0003345E">
        <w:trPr>
          <w:trHeight w:val="518"/>
        </w:trPr>
        <w:tc>
          <w:tcPr>
            <w:tcW w:w="1558" w:type="dxa"/>
            <w:tcBorders>
              <w:top w:val="single" w:sz="4" w:space="0" w:color="auto"/>
              <w:left w:val="single" w:sz="4" w:space="0" w:color="5B9BD5"/>
              <w:bottom w:val="single" w:sz="4" w:space="0" w:color="5B9BD5"/>
              <w:right w:val="single" w:sz="4" w:space="0" w:color="5B9BD5"/>
            </w:tcBorders>
            <w:vAlign w:val="center"/>
          </w:tcPr>
          <w:p w:rsidR="0003345E" w:rsidRPr="00A4254F" w:rsidRDefault="0003345E" w:rsidP="0003345E">
            <w:pPr>
              <w:spacing w:after="0" w:line="240" w:lineRule="auto"/>
              <w:rPr>
                <w:rFonts w:ascii="Arial" w:hAnsi="Arial" w:cs="Arial"/>
                <w:b/>
                <w:bCs/>
                <w:sz w:val="20"/>
                <w:szCs w:val="20"/>
              </w:rPr>
            </w:pPr>
            <w:r w:rsidRPr="00A4254F">
              <w:rPr>
                <w:rFonts w:ascii="Arial" w:hAnsi="Arial" w:cs="Arial"/>
                <w:b/>
                <w:sz w:val="20"/>
                <w:szCs w:val="20"/>
              </w:rPr>
              <w:t>Thématiques prioritaires</w:t>
            </w:r>
          </w:p>
        </w:tc>
        <w:tc>
          <w:tcPr>
            <w:tcW w:w="3594" w:type="dxa"/>
            <w:tcBorders>
              <w:top w:val="nil"/>
              <w:left w:val="single" w:sz="4" w:space="0" w:color="5B9BD5"/>
              <w:bottom w:val="single" w:sz="4" w:space="0" w:color="5B9BD5"/>
              <w:right w:val="single" w:sz="4" w:space="0" w:color="4F81BD"/>
            </w:tcBorders>
            <w:shd w:val="clear" w:color="auto" w:fill="auto"/>
            <w:vAlign w:val="center"/>
          </w:tcPr>
          <w:p w:rsidR="0003345E" w:rsidRPr="00852149" w:rsidRDefault="0003345E" w:rsidP="0003345E">
            <w:pPr>
              <w:spacing w:after="0" w:line="240" w:lineRule="auto"/>
              <w:rPr>
                <w:rFonts w:ascii="Arial" w:hAnsi="Arial" w:cs="Arial"/>
                <w:bCs/>
                <w:sz w:val="18"/>
                <w:szCs w:val="20"/>
              </w:rPr>
            </w:pPr>
            <w:r w:rsidRPr="00852149">
              <w:rPr>
                <w:rFonts w:ascii="Arial" w:hAnsi="Arial" w:cs="Arial"/>
                <w:sz w:val="18"/>
                <w:szCs w:val="20"/>
              </w:rPr>
              <w:t>Réponse des formations proposées aux thèmes stratégiques principaux</w:t>
            </w:r>
          </w:p>
        </w:tc>
        <w:tc>
          <w:tcPr>
            <w:tcW w:w="3212" w:type="dxa"/>
            <w:tcBorders>
              <w:top w:val="single" w:sz="4" w:space="0" w:color="5B9BD5"/>
              <w:left w:val="nil"/>
              <w:bottom w:val="single" w:sz="4" w:space="0" w:color="5B9BD5"/>
              <w:right w:val="single" w:sz="4" w:space="0" w:color="5B9BD5"/>
            </w:tcBorders>
            <w:shd w:val="clear" w:color="auto" w:fill="auto"/>
            <w:vAlign w:val="center"/>
          </w:tcPr>
          <w:p w:rsidR="0003345E" w:rsidRPr="00852149" w:rsidRDefault="0003345E" w:rsidP="0003345E">
            <w:pPr>
              <w:spacing w:after="0" w:line="240" w:lineRule="auto"/>
              <w:rPr>
                <w:rFonts w:ascii="Arial" w:hAnsi="Arial" w:cs="Arial"/>
                <w:bCs/>
                <w:sz w:val="16"/>
                <w:szCs w:val="20"/>
              </w:rPr>
            </w:pPr>
            <w:r w:rsidRPr="00852149">
              <w:rPr>
                <w:rFonts w:ascii="Arial" w:hAnsi="Arial" w:cs="Arial"/>
                <w:sz w:val="16"/>
                <w:szCs w:val="20"/>
              </w:rPr>
              <w:t xml:space="preserve">Le projet proposé concerne plusieurs thématiques visées dans l’appel à projets. </w:t>
            </w:r>
            <w:r w:rsidRPr="00852149">
              <w:rPr>
                <w:rFonts w:ascii="Arial" w:hAnsi="Arial" w:cs="Arial"/>
                <w:sz w:val="16"/>
                <w:szCs w:val="20"/>
              </w:rPr>
              <w:br/>
            </w:r>
            <w:r w:rsidRPr="00852149">
              <w:rPr>
                <w:rFonts w:ascii="Arial" w:hAnsi="Arial" w:cs="Arial"/>
                <w:sz w:val="16"/>
                <w:szCs w:val="20"/>
              </w:rPr>
              <w:br/>
            </w:r>
          </w:p>
        </w:tc>
        <w:tc>
          <w:tcPr>
            <w:tcW w:w="896" w:type="dxa"/>
            <w:tcBorders>
              <w:top w:val="single" w:sz="4" w:space="0" w:color="4F81BD"/>
              <w:left w:val="single" w:sz="4" w:space="0" w:color="5B9BD5"/>
              <w:bottom w:val="single" w:sz="4" w:space="0" w:color="4F81BD"/>
              <w:right w:val="single" w:sz="4" w:space="0" w:color="5B9BD5"/>
            </w:tcBorders>
            <w:shd w:val="clear" w:color="auto" w:fill="auto"/>
            <w:noWrap/>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6</w:t>
            </w:r>
          </w:p>
        </w:tc>
        <w:tc>
          <w:tcPr>
            <w:tcW w:w="1074" w:type="dxa"/>
            <w:tcBorders>
              <w:top w:val="single" w:sz="4" w:space="0" w:color="5B9BD5"/>
              <w:left w:val="single" w:sz="4" w:space="0" w:color="5B9BD5"/>
              <w:bottom w:val="single" w:sz="4" w:space="0" w:color="5B9BD5"/>
              <w:right w:val="single" w:sz="4" w:space="0" w:color="5B9BD5"/>
            </w:tcBorders>
            <w:vAlign w:val="center"/>
          </w:tcPr>
          <w:p w:rsidR="0003345E" w:rsidRPr="00852149" w:rsidRDefault="0003345E" w:rsidP="0003345E">
            <w:pPr>
              <w:spacing w:after="0" w:line="240" w:lineRule="auto"/>
              <w:jc w:val="center"/>
              <w:rPr>
                <w:rFonts w:ascii="Arial" w:hAnsi="Arial" w:cs="Arial"/>
                <w:bCs/>
                <w:sz w:val="16"/>
                <w:szCs w:val="16"/>
              </w:rPr>
            </w:pPr>
            <w:r w:rsidRPr="00852149">
              <w:rPr>
                <w:rFonts w:ascii="Arial" w:hAnsi="Arial" w:cs="Arial"/>
                <w:sz w:val="16"/>
                <w:szCs w:val="16"/>
              </w:rPr>
              <w:t>6</w:t>
            </w:r>
          </w:p>
        </w:tc>
      </w:tr>
      <w:tr w:rsidR="0003345E" w:rsidRPr="00852149" w:rsidTr="0003345E">
        <w:trPr>
          <w:gridAfter w:val="3"/>
          <w:wAfter w:w="5182" w:type="dxa"/>
          <w:trHeight w:val="518"/>
        </w:trPr>
        <w:tc>
          <w:tcPr>
            <w:tcW w:w="1558" w:type="dxa"/>
            <w:tcBorders>
              <w:top w:val="single" w:sz="4" w:space="0" w:color="5B9BD5"/>
              <w:right w:val="single" w:sz="4" w:space="0" w:color="5B9BD5"/>
            </w:tcBorders>
            <w:vAlign w:val="center"/>
          </w:tcPr>
          <w:p w:rsidR="0003345E" w:rsidRPr="00A4254F" w:rsidRDefault="0003345E" w:rsidP="0003345E">
            <w:pPr>
              <w:spacing w:after="0" w:line="240" w:lineRule="auto"/>
              <w:rPr>
                <w:rFonts w:ascii="Arial" w:hAnsi="Arial" w:cs="Arial"/>
                <w:b/>
                <w:bCs/>
                <w:sz w:val="20"/>
                <w:szCs w:val="20"/>
              </w:rPr>
            </w:pPr>
          </w:p>
        </w:tc>
        <w:tc>
          <w:tcPr>
            <w:tcW w:w="3594" w:type="dxa"/>
            <w:tcBorders>
              <w:top w:val="single" w:sz="4" w:space="0" w:color="5B9BD5"/>
              <w:left w:val="single" w:sz="4" w:space="0" w:color="5B9BD5"/>
              <w:bottom w:val="single" w:sz="4" w:space="0" w:color="4F81BD"/>
              <w:right w:val="single" w:sz="4" w:space="0" w:color="4F81BD"/>
            </w:tcBorders>
            <w:shd w:val="clear" w:color="auto" w:fill="auto"/>
          </w:tcPr>
          <w:p w:rsidR="0003345E" w:rsidRPr="00852149" w:rsidRDefault="0003345E" w:rsidP="0003345E">
            <w:pPr>
              <w:spacing w:after="0" w:line="240" w:lineRule="auto"/>
              <w:rPr>
                <w:rFonts w:ascii="Arial" w:hAnsi="Arial" w:cs="Arial"/>
                <w:bCs/>
                <w:sz w:val="20"/>
                <w:szCs w:val="20"/>
              </w:rPr>
            </w:pPr>
            <w:r w:rsidRPr="00852149">
              <w:rPr>
                <w:rFonts w:ascii="Arial" w:hAnsi="Arial" w:cs="Arial" w:hint="eastAsia"/>
                <w:sz w:val="20"/>
                <w:szCs w:val="20"/>
              </w:rPr>
              <w:t>Seuil maximum: 2</w:t>
            </w:r>
            <w:r>
              <w:rPr>
                <w:rFonts w:ascii="Arial" w:hAnsi="Arial" w:cs="Arial"/>
                <w:sz w:val="20"/>
                <w:szCs w:val="20"/>
              </w:rPr>
              <w:t>1</w:t>
            </w:r>
            <w:r w:rsidRPr="00852149">
              <w:rPr>
                <w:rFonts w:ascii="Arial" w:hAnsi="Arial" w:cs="Arial" w:hint="eastAsia"/>
                <w:sz w:val="20"/>
                <w:szCs w:val="20"/>
              </w:rPr>
              <w:t xml:space="preserve"> points </w:t>
            </w:r>
            <w:r w:rsidRPr="00852149">
              <w:rPr>
                <w:rFonts w:ascii="Arial" w:hAnsi="Arial" w:cs="Arial" w:hint="eastAsia"/>
                <w:sz w:val="20"/>
                <w:szCs w:val="20"/>
              </w:rPr>
              <w:br/>
              <w:t>Seuil de sélection : 1</w:t>
            </w:r>
            <w:r w:rsidRPr="00852149">
              <w:rPr>
                <w:rFonts w:ascii="Arial" w:hAnsi="Arial" w:cs="Arial"/>
                <w:sz w:val="20"/>
                <w:szCs w:val="20"/>
              </w:rPr>
              <w:t>3</w:t>
            </w:r>
            <w:r w:rsidRPr="00852149">
              <w:rPr>
                <w:rFonts w:ascii="Arial" w:hAnsi="Arial" w:cs="Arial" w:hint="eastAsia"/>
                <w:sz w:val="20"/>
                <w:szCs w:val="20"/>
              </w:rPr>
              <w:t xml:space="preserve"> points</w:t>
            </w:r>
          </w:p>
          <w:p w:rsidR="0003345E" w:rsidRPr="00852149" w:rsidRDefault="0003345E" w:rsidP="0003345E">
            <w:pPr>
              <w:spacing w:after="0" w:line="240" w:lineRule="auto"/>
              <w:rPr>
                <w:rFonts w:ascii="Arial" w:hAnsi="Arial" w:cs="Arial"/>
                <w:bCs/>
                <w:sz w:val="20"/>
                <w:szCs w:val="20"/>
              </w:rPr>
            </w:pPr>
          </w:p>
        </w:tc>
      </w:tr>
    </w:tbl>
    <w:p w:rsidR="0003345E" w:rsidRDefault="0003345E" w:rsidP="0003345E">
      <w:pPr>
        <w:spacing w:after="0" w:line="240" w:lineRule="auto"/>
        <w:rPr>
          <w:rFonts w:ascii="Arial" w:hAnsi="Arial" w:cs="Arial"/>
          <w:b/>
          <w:sz w:val="20"/>
          <w:szCs w:val="20"/>
        </w:rPr>
      </w:pPr>
    </w:p>
    <w:p w:rsidR="0003345E" w:rsidRPr="008E74B8" w:rsidRDefault="0003345E" w:rsidP="0003345E">
      <w:pPr>
        <w:spacing w:after="0" w:line="240" w:lineRule="auto"/>
        <w:rPr>
          <w:rFonts w:ascii="Arial" w:hAnsi="Arial" w:cs="Arial"/>
          <w:b/>
          <w:sz w:val="20"/>
          <w:szCs w:val="20"/>
        </w:rPr>
      </w:pPr>
    </w:p>
    <w:p w:rsidR="0003345E" w:rsidRPr="008E74B8" w:rsidRDefault="0003345E" w:rsidP="0003345E">
      <w:pPr>
        <w:shd w:val="clear" w:color="auto" w:fill="002060"/>
        <w:spacing w:after="0" w:line="240" w:lineRule="auto"/>
        <w:jc w:val="center"/>
        <w:rPr>
          <w:rFonts w:ascii="Arial" w:hAnsi="Arial" w:cs="Arial"/>
          <w:b/>
          <w:color w:val="FFFFFF" w:themeColor="background1"/>
          <w:sz w:val="20"/>
          <w:szCs w:val="20"/>
        </w:rPr>
      </w:pPr>
      <w:r w:rsidRPr="008E74B8">
        <w:rPr>
          <w:rFonts w:ascii="Arial" w:hAnsi="Arial" w:cs="Arial"/>
          <w:b/>
          <w:color w:val="FFFFFF" w:themeColor="background1"/>
          <w:sz w:val="20"/>
          <w:szCs w:val="20"/>
        </w:rPr>
        <w:t xml:space="preserve">Sélection au titre </w:t>
      </w:r>
      <w:r>
        <w:rPr>
          <w:rFonts w:ascii="Arial" w:hAnsi="Arial" w:cs="Arial"/>
          <w:b/>
          <w:color w:val="FFFFFF" w:themeColor="background1"/>
          <w:sz w:val="20"/>
          <w:szCs w:val="20"/>
        </w:rPr>
        <w:t xml:space="preserve">de l’appel à projet </w:t>
      </w:r>
      <w:r w:rsidRPr="008E74B8">
        <w:rPr>
          <w:rFonts w:ascii="Arial" w:hAnsi="Arial" w:cs="Arial"/>
          <w:b/>
          <w:color w:val="FFFFFF" w:themeColor="background1"/>
          <w:sz w:val="20"/>
          <w:szCs w:val="20"/>
        </w:rPr>
        <w:t>est fixé à :</w:t>
      </w:r>
    </w:p>
    <w:p w:rsidR="0003345E" w:rsidRPr="00D90711" w:rsidRDefault="0003345E" w:rsidP="0003345E">
      <w:pPr>
        <w:shd w:val="clear" w:color="auto" w:fill="002060"/>
        <w:spacing w:after="0" w:line="240" w:lineRule="auto"/>
        <w:jc w:val="center"/>
        <w:rPr>
          <w:rFonts w:ascii="Arial" w:hAnsi="Arial" w:cs="Arial"/>
          <w:b/>
          <w:color w:val="FFFFFF" w:themeColor="background1"/>
          <w:sz w:val="24"/>
          <w:szCs w:val="24"/>
        </w:rPr>
      </w:pPr>
      <w:r w:rsidRPr="00C47AD5">
        <w:rPr>
          <w:rFonts w:ascii="Arial" w:hAnsi="Arial" w:cs="Arial"/>
          <w:b/>
          <w:color w:val="FFFFFF" w:themeColor="background1"/>
          <w:sz w:val="24"/>
          <w:szCs w:val="24"/>
        </w:rPr>
        <w:t xml:space="preserve"> </w:t>
      </w:r>
      <w:r>
        <w:rPr>
          <w:rFonts w:ascii="Arial" w:hAnsi="Arial" w:cs="Arial"/>
          <w:b/>
          <w:color w:val="FFFFFF" w:themeColor="background1"/>
          <w:sz w:val="24"/>
          <w:szCs w:val="24"/>
        </w:rPr>
        <w:t>13</w:t>
      </w:r>
      <w:r w:rsidRPr="006747ED">
        <w:rPr>
          <w:rFonts w:ascii="Arial" w:hAnsi="Arial" w:cs="Arial"/>
          <w:b/>
          <w:color w:val="FFFFFF" w:themeColor="background1"/>
          <w:sz w:val="24"/>
          <w:szCs w:val="24"/>
        </w:rPr>
        <w:t xml:space="preserve"> points sur un total de </w:t>
      </w:r>
      <w:r>
        <w:rPr>
          <w:rFonts w:ascii="Arial" w:hAnsi="Arial" w:cs="Arial"/>
          <w:b/>
          <w:color w:val="FFFFFF" w:themeColor="background1"/>
          <w:sz w:val="24"/>
          <w:szCs w:val="24"/>
        </w:rPr>
        <w:t>21</w:t>
      </w:r>
      <w:r w:rsidRPr="00C47AD5">
        <w:rPr>
          <w:rFonts w:ascii="Arial" w:hAnsi="Arial" w:cs="Arial"/>
          <w:b/>
          <w:color w:val="FFFFFF" w:themeColor="background1"/>
          <w:sz w:val="24"/>
          <w:szCs w:val="24"/>
        </w:rPr>
        <w:t xml:space="preserve"> </w:t>
      </w:r>
      <w:r>
        <w:rPr>
          <w:rFonts w:ascii="Arial" w:hAnsi="Arial" w:cs="Arial"/>
          <w:b/>
          <w:color w:val="FFFFFF" w:themeColor="background1"/>
          <w:sz w:val="24"/>
          <w:szCs w:val="24"/>
        </w:rPr>
        <w:t>points maximum</w:t>
      </w:r>
    </w:p>
    <w:p w:rsidR="0003345E" w:rsidRDefault="0003345E" w:rsidP="0003345E">
      <w:pPr>
        <w:spacing w:after="0" w:line="240" w:lineRule="auto"/>
        <w:rPr>
          <w:rFonts w:ascii="Arial" w:hAnsi="Arial" w:cs="Arial"/>
          <w:b/>
          <w:sz w:val="20"/>
          <w:szCs w:val="20"/>
        </w:rPr>
      </w:pPr>
    </w:p>
    <w:p w:rsidR="00E54D80" w:rsidRDefault="00E54D80" w:rsidP="00E54D80">
      <w:pPr>
        <w:spacing w:after="0" w:line="276" w:lineRule="auto"/>
        <w:jc w:val="both"/>
        <w:rPr>
          <w:rFonts w:ascii="Arial" w:eastAsia="Times New Roman" w:hAnsi="Arial" w:cs="Arial"/>
          <w:sz w:val="20"/>
          <w:szCs w:val="20"/>
          <w:lang w:eastAsia="fr-FR"/>
        </w:rPr>
      </w:pPr>
      <w:bookmarkStart w:id="0" w:name="_GoBack"/>
      <w:bookmarkEnd w:id="0"/>
      <w:r w:rsidRPr="00874956">
        <w:rPr>
          <w:rFonts w:ascii="Arial" w:eastAsia="Times New Roman" w:hAnsi="Arial" w:cs="Arial"/>
          <w:sz w:val="20"/>
          <w:szCs w:val="20"/>
          <w:lang w:eastAsia="fr-FR"/>
        </w:rPr>
        <w:t>Un processus de sélection est mis en place afin de retenir les programmes et les actions de formation répondant le mieux au présent appel à projets. Un programme de formation pourra être partiellement sélectionné (chacune des actions de formation donnera lieu à une sélection).</w:t>
      </w:r>
    </w:p>
    <w:p w:rsidR="00E54D80" w:rsidRPr="00874956" w:rsidRDefault="00E54D80" w:rsidP="00E54D80">
      <w:pPr>
        <w:spacing w:after="0" w:line="276" w:lineRule="auto"/>
        <w:jc w:val="both"/>
        <w:rPr>
          <w:rFonts w:ascii="Arial" w:eastAsia="Times New Roman" w:hAnsi="Arial" w:cs="Arial"/>
          <w:sz w:val="20"/>
          <w:szCs w:val="20"/>
          <w:lang w:eastAsia="fr-FR"/>
        </w:rPr>
      </w:pPr>
    </w:p>
    <w:p w:rsidR="00E54D80" w:rsidRPr="00874956" w:rsidRDefault="00E54D80" w:rsidP="00E54D80">
      <w:pPr>
        <w:spacing w:after="0" w:line="276" w:lineRule="auto"/>
        <w:jc w:val="both"/>
        <w:rPr>
          <w:rFonts w:ascii="Arial" w:eastAsia="Times New Roman" w:hAnsi="Arial" w:cs="Arial"/>
          <w:sz w:val="20"/>
          <w:szCs w:val="20"/>
          <w:lang w:eastAsia="fr-FR"/>
        </w:rPr>
      </w:pPr>
      <w:r w:rsidRPr="00874956">
        <w:rPr>
          <w:rFonts w:ascii="Arial" w:eastAsia="Times New Roman" w:hAnsi="Arial" w:cs="Arial"/>
          <w:sz w:val="20"/>
          <w:szCs w:val="20"/>
          <w:lang w:eastAsia="fr-FR"/>
        </w:rPr>
        <w:t xml:space="preserve">Les projets sont sélectionnés par l’autorité de gestion, après avis d’un comité de sélection. La sélection prend en compte les critères déclinés dans la grille de sélection </w:t>
      </w:r>
      <w:r>
        <w:rPr>
          <w:rFonts w:ascii="Arial" w:eastAsia="Times New Roman" w:hAnsi="Arial" w:cs="Arial"/>
          <w:sz w:val="20"/>
          <w:szCs w:val="20"/>
          <w:lang w:eastAsia="fr-FR"/>
        </w:rPr>
        <w:t xml:space="preserve">ci-dessus et </w:t>
      </w:r>
      <w:r w:rsidRPr="00504FC7">
        <w:rPr>
          <w:rFonts w:ascii="Arial" w:eastAsia="Times New Roman" w:hAnsi="Arial" w:cs="Arial"/>
          <w:sz w:val="20"/>
          <w:szCs w:val="20"/>
          <w:lang w:eastAsia="fr-FR"/>
        </w:rPr>
        <w:t>sa notice en annexe 3.</w:t>
      </w:r>
    </w:p>
    <w:p w:rsidR="00E54D80" w:rsidRPr="00874956" w:rsidRDefault="00E54D80" w:rsidP="00E54D80">
      <w:pPr>
        <w:spacing w:after="0" w:line="276" w:lineRule="auto"/>
        <w:jc w:val="both"/>
        <w:rPr>
          <w:rFonts w:ascii="Arial" w:eastAsia="Times New Roman" w:hAnsi="Arial" w:cs="Arial"/>
          <w:sz w:val="20"/>
          <w:szCs w:val="20"/>
          <w:lang w:eastAsia="fr-FR"/>
        </w:rPr>
      </w:pPr>
    </w:p>
    <w:p w:rsidR="00E54D80" w:rsidRPr="00874956" w:rsidRDefault="00E54D80" w:rsidP="00E54D80">
      <w:pPr>
        <w:spacing w:after="0" w:line="276" w:lineRule="auto"/>
        <w:jc w:val="both"/>
        <w:rPr>
          <w:rFonts w:ascii="Arial" w:eastAsia="Times New Roman" w:hAnsi="Arial" w:cs="Arial"/>
          <w:sz w:val="20"/>
          <w:szCs w:val="20"/>
          <w:lang w:eastAsia="fr-FR"/>
        </w:rPr>
      </w:pPr>
      <w:r w:rsidRPr="00874956">
        <w:rPr>
          <w:rFonts w:ascii="Arial" w:eastAsia="Times New Roman" w:hAnsi="Arial" w:cs="Arial"/>
          <w:sz w:val="20"/>
          <w:szCs w:val="20"/>
          <w:lang w:eastAsia="fr-FR"/>
        </w:rPr>
        <w:lastRenderedPageBreak/>
        <w:t xml:space="preserve">Une note sera attribuée par le service instructeur à chaque dossier selon ces critères, sur la base des informations transmises par le bénéficiaire dans sa demande d'aide. Les formulaires de demande d'aide détaillent les informations utiles et, le cas échéant, les pièces justificatives nécessaires à la notation du dossier selon chacun des critères. </w:t>
      </w:r>
    </w:p>
    <w:p w:rsidR="00E54D80" w:rsidRPr="00874956" w:rsidRDefault="00E54D80" w:rsidP="00E54D80">
      <w:pPr>
        <w:spacing w:after="0" w:line="276" w:lineRule="auto"/>
        <w:jc w:val="both"/>
        <w:rPr>
          <w:rFonts w:ascii="Arial" w:eastAsia="Times New Roman" w:hAnsi="Arial" w:cs="Arial"/>
          <w:sz w:val="20"/>
          <w:szCs w:val="20"/>
          <w:lang w:eastAsia="fr-FR"/>
        </w:rPr>
      </w:pPr>
    </w:p>
    <w:p w:rsidR="00E54D80" w:rsidRPr="00A4254F" w:rsidRDefault="00E54D80" w:rsidP="00E54D80">
      <w:pPr>
        <w:spacing w:after="0" w:line="276" w:lineRule="auto"/>
        <w:jc w:val="both"/>
        <w:rPr>
          <w:rFonts w:ascii="Arial" w:eastAsia="Times New Roman" w:hAnsi="Arial" w:cs="Arial"/>
          <w:sz w:val="20"/>
          <w:szCs w:val="20"/>
          <w:lang w:eastAsia="fr-FR"/>
        </w:rPr>
      </w:pPr>
      <w:r w:rsidRPr="00A4254F">
        <w:rPr>
          <w:rFonts w:ascii="Arial" w:eastAsia="Times New Roman" w:hAnsi="Arial" w:cs="Arial"/>
          <w:sz w:val="20"/>
          <w:szCs w:val="20"/>
          <w:lang w:eastAsia="fr-FR"/>
        </w:rPr>
        <w:t>Seules les actions de formation ayant obtenu la note minimale de 13 points pourront bénéficier de l’accès à l’aide financière.</w:t>
      </w:r>
    </w:p>
    <w:p w:rsidR="00E54D80" w:rsidRPr="00A4254F" w:rsidRDefault="00E54D80" w:rsidP="00E54D80">
      <w:pPr>
        <w:spacing w:after="0" w:line="276" w:lineRule="auto"/>
        <w:jc w:val="both"/>
        <w:rPr>
          <w:rFonts w:ascii="Arial" w:eastAsia="Times New Roman" w:hAnsi="Arial" w:cs="Arial"/>
          <w:sz w:val="20"/>
          <w:szCs w:val="20"/>
          <w:lang w:eastAsia="fr-FR"/>
        </w:rPr>
      </w:pPr>
    </w:p>
    <w:p w:rsidR="00E54D80" w:rsidRPr="00A4254F" w:rsidRDefault="00E54D80" w:rsidP="00E54D80">
      <w:pPr>
        <w:spacing w:after="0" w:line="276" w:lineRule="auto"/>
        <w:jc w:val="both"/>
        <w:rPr>
          <w:rFonts w:ascii="Arial" w:eastAsia="Times New Roman" w:hAnsi="Arial" w:cs="Arial"/>
          <w:sz w:val="20"/>
          <w:szCs w:val="20"/>
          <w:lang w:eastAsia="fr-FR"/>
        </w:rPr>
      </w:pPr>
      <w:r w:rsidRPr="00A4254F">
        <w:rPr>
          <w:rFonts w:ascii="Arial" w:eastAsia="Times New Roman" w:hAnsi="Arial" w:cs="Arial"/>
          <w:sz w:val="20"/>
          <w:szCs w:val="20"/>
          <w:lang w:eastAsia="fr-FR"/>
        </w:rPr>
        <w:t>Les projets éligibles sont retenus dans l’ordre de leur classement, en fonction des disponibilités financières.</w:t>
      </w:r>
    </w:p>
    <w:p w:rsidR="00E54D80" w:rsidRPr="00A4254F" w:rsidRDefault="00E54D80" w:rsidP="00E54D80">
      <w:pPr>
        <w:spacing w:after="0" w:line="276" w:lineRule="auto"/>
        <w:jc w:val="both"/>
        <w:rPr>
          <w:rFonts w:ascii="Arial" w:eastAsia="Times New Roman" w:hAnsi="Arial" w:cs="Arial"/>
          <w:sz w:val="20"/>
          <w:szCs w:val="20"/>
          <w:lang w:eastAsia="fr-FR"/>
        </w:rPr>
      </w:pPr>
    </w:p>
    <w:p w:rsidR="00E54D80" w:rsidRPr="00874956" w:rsidRDefault="00E54D80" w:rsidP="00E54D80">
      <w:pPr>
        <w:spacing w:after="0" w:line="276" w:lineRule="auto"/>
        <w:jc w:val="both"/>
        <w:rPr>
          <w:rFonts w:ascii="Arial" w:eastAsia="Times New Roman" w:hAnsi="Arial" w:cs="Arial"/>
          <w:sz w:val="20"/>
          <w:szCs w:val="20"/>
          <w:lang w:eastAsia="fr-FR"/>
        </w:rPr>
      </w:pPr>
      <w:r w:rsidRPr="00A4254F">
        <w:rPr>
          <w:rFonts w:ascii="Arial" w:eastAsia="Times New Roman" w:hAnsi="Arial" w:cs="Arial"/>
          <w:sz w:val="20"/>
          <w:szCs w:val="20"/>
          <w:lang w:eastAsia="fr-FR"/>
        </w:rPr>
        <w:t>En cas d'ex æquo, si l'enveloppe disponible ne permet pas de retenir les projets ayant obtenu la même note, les projets ayant la meilleure note au sous- critère "Alternance d'au moins trois techniques pédagogiques" seront sélectionnés. Le cas échéant, en cas d'ex-aequo, les projets ayant la meilleure note au principe de sélection "Coûts unitaires" seront sélectionnés. Le cas échéant, en cas d'ex-aequo, les projets ayant la meilleure note au sous-critère "Recours à la formation ouverte et/ou à distance (FOAD), usages numériques" seront sélectionnés.</w:t>
      </w:r>
    </w:p>
    <w:p w:rsidR="00E54D80" w:rsidRDefault="00E54D80"/>
    <w:sectPr w:rsidR="00E54D8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5E" w:rsidRDefault="0003345E" w:rsidP="0003345E">
      <w:pPr>
        <w:spacing w:after="0" w:line="240" w:lineRule="auto"/>
      </w:pPr>
      <w:r>
        <w:separator/>
      </w:r>
    </w:p>
  </w:endnote>
  <w:endnote w:type="continuationSeparator" w:id="0">
    <w:p w:rsidR="0003345E" w:rsidRDefault="0003345E" w:rsidP="0003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5E" w:rsidRDefault="0003345E" w:rsidP="0003345E">
      <w:pPr>
        <w:spacing w:after="0" w:line="240" w:lineRule="auto"/>
      </w:pPr>
      <w:r>
        <w:separator/>
      </w:r>
    </w:p>
  </w:footnote>
  <w:footnote w:type="continuationSeparator" w:id="0">
    <w:p w:rsidR="0003345E" w:rsidRDefault="0003345E" w:rsidP="0003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5E" w:rsidRPr="0003345E" w:rsidRDefault="0003345E" w:rsidP="0003345E">
    <w:pPr>
      <w:pStyle w:val="En-tte"/>
      <w:jc w:val="center"/>
      <w:rPr>
        <w:b/>
        <w:sz w:val="28"/>
      </w:rPr>
    </w:pPr>
    <w:r w:rsidRPr="0003345E">
      <w:rPr>
        <w:b/>
        <w:sz w:val="28"/>
      </w:rPr>
      <w:t>Grille de sélection « aide à la formation professionnelle et à l’acquisition de compétences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5E"/>
    <w:rsid w:val="0003345E"/>
    <w:rsid w:val="000939A4"/>
    <w:rsid w:val="00946405"/>
    <w:rsid w:val="00E54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DAE9"/>
  <w15:chartTrackingRefBased/>
  <w15:docId w15:val="{A81BE39A-55FC-4996-A8E8-8CDC6CD3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345E"/>
    <w:pPr>
      <w:tabs>
        <w:tab w:val="center" w:pos="4536"/>
        <w:tab w:val="right" w:pos="9072"/>
      </w:tabs>
      <w:spacing w:after="0" w:line="240" w:lineRule="auto"/>
    </w:pPr>
  </w:style>
  <w:style w:type="character" w:customStyle="1" w:styleId="En-tteCar">
    <w:name w:val="En-tête Car"/>
    <w:basedOn w:val="Policepardfaut"/>
    <w:link w:val="En-tte"/>
    <w:uiPriority w:val="99"/>
    <w:rsid w:val="0003345E"/>
  </w:style>
  <w:style w:type="paragraph" w:styleId="Pieddepage">
    <w:name w:val="footer"/>
    <w:basedOn w:val="Normal"/>
    <w:link w:val="PieddepageCar"/>
    <w:uiPriority w:val="99"/>
    <w:unhideWhenUsed/>
    <w:rsid w:val="00033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TALLEUX Claire</dc:creator>
  <cp:keywords/>
  <dc:description/>
  <cp:lastModifiedBy>TALLEUX Claire</cp:lastModifiedBy>
  <cp:revision>2</cp:revision>
  <dcterms:created xsi:type="dcterms:W3CDTF">2023-04-12T14:23:00Z</dcterms:created>
  <dcterms:modified xsi:type="dcterms:W3CDTF">2023-04-12T15:16:00Z</dcterms:modified>
</cp:coreProperties>
</file>