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A4" w:rsidRDefault="000939A4"/>
    <w:p w:rsidR="007E4CEF" w:rsidRDefault="007E4CEF">
      <w:pPr>
        <w:rPr>
          <w:b/>
          <w:sz w:val="24"/>
        </w:rPr>
      </w:pPr>
      <w:r w:rsidRPr="007E4CEF">
        <w:rPr>
          <w:b/>
          <w:sz w:val="24"/>
        </w:rPr>
        <w:t>I – Grille de sélection pour les groupes opérationnels en émergence</w:t>
      </w:r>
    </w:p>
    <w:p w:rsidR="00711456" w:rsidRDefault="00711456">
      <w:pPr>
        <w:rPr>
          <w:b/>
          <w:sz w:val="24"/>
        </w:rPr>
      </w:pPr>
    </w:p>
    <w:tbl>
      <w:tblPr>
        <w:tblW w:w="10219" w:type="dxa"/>
        <w:tblInd w:w="-581" w:type="dxa"/>
        <w:tblCellMar>
          <w:left w:w="70" w:type="dxa"/>
          <w:right w:w="70" w:type="dxa"/>
        </w:tblCellMar>
        <w:tblLook w:val="04A0" w:firstRow="1" w:lastRow="0" w:firstColumn="1" w:lastColumn="0" w:noHBand="0" w:noVBand="1"/>
      </w:tblPr>
      <w:tblGrid>
        <w:gridCol w:w="2271"/>
        <w:gridCol w:w="2065"/>
        <w:gridCol w:w="3096"/>
        <w:gridCol w:w="1238"/>
        <w:gridCol w:w="1549"/>
      </w:tblGrid>
      <w:tr w:rsidR="007E4CEF" w:rsidRPr="00D43DD9" w:rsidTr="007E4CEF">
        <w:trPr>
          <w:trHeight w:val="239"/>
        </w:trPr>
        <w:tc>
          <w:tcPr>
            <w:tcW w:w="2271" w:type="dxa"/>
            <w:tcBorders>
              <w:top w:val="single" w:sz="4" w:space="0" w:color="auto"/>
              <w:left w:val="single" w:sz="4" w:space="0" w:color="auto"/>
              <w:bottom w:val="nil"/>
              <w:right w:val="single" w:sz="4" w:space="0" w:color="auto"/>
            </w:tcBorders>
            <w:shd w:val="clear" w:color="auto" w:fill="1F4E79"/>
            <w:noWrap/>
            <w:vAlign w:val="center"/>
            <w:hideMark/>
          </w:tcPr>
          <w:p w:rsidR="007E4CEF" w:rsidRPr="0009726D" w:rsidRDefault="007E4CEF" w:rsidP="008346E5">
            <w:pPr>
              <w:jc w:val="center"/>
              <w:rPr>
                <w:rFonts w:ascii="Arial" w:hAnsi="Arial" w:cs="Arial"/>
                <w:b/>
                <w:color w:val="FFFFFF"/>
                <w:sz w:val="20"/>
                <w:szCs w:val="20"/>
              </w:rPr>
            </w:pPr>
            <w:r w:rsidRPr="0009726D">
              <w:rPr>
                <w:rFonts w:ascii="Arial" w:hAnsi="Arial" w:cs="Arial"/>
                <w:b/>
                <w:color w:val="FFFFFF"/>
                <w:sz w:val="20"/>
                <w:szCs w:val="20"/>
              </w:rPr>
              <w:t>Principes de sélection</w:t>
            </w:r>
          </w:p>
        </w:tc>
        <w:tc>
          <w:tcPr>
            <w:tcW w:w="5161" w:type="dxa"/>
            <w:gridSpan w:val="2"/>
            <w:tcBorders>
              <w:top w:val="nil"/>
              <w:left w:val="nil"/>
              <w:bottom w:val="nil"/>
              <w:right w:val="single" w:sz="4" w:space="0" w:color="000000"/>
            </w:tcBorders>
            <w:shd w:val="clear" w:color="auto" w:fill="1F4E79"/>
            <w:vAlign w:val="center"/>
            <w:hideMark/>
          </w:tcPr>
          <w:p w:rsidR="007E4CEF" w:rsidRPr="0009726D" w:rsidRDefault="007E4CEF" w:rsidP="008346E5">
            <w:pPr>
              <w:jc w:val="center"/>
              <w:rPr>
                <w:rFonts w:ascii="Arial" w:hAnsi="Arial" w:cs="Arial"/>
                <w:b/>
                <w:color w:val="FFFFFF"/>
                <w:sz w:val="20"/>
                <w:szCs w:val="20"/>
              </w:rPr>
            </w:pPr>
            <w:r w:rsidRPr="0009726D">
              <w:rPr>
                <w:rFonts w:ascii="Arial" w:hAnsi="Arial" w:cs="Arial"/>
                <w:b/>
                <w:color w:val="FFFFFF"/>
                <w:sz w:val="20"/>
                <w:szCs w:val="20"/>
              </w:rPr>
              <w:t>Critères de sélection</w:t>
            </w:r>
          </w:p>
        </w:tc>
        <w:tc>
          <w:tcPr>
            <w:tcW w:w="1238" w:type="dxa"/>
            <w:tcBorders>
              <w:top w:val="single" w:sz="4" w:space="0" w:color="auto"/>
              <w:left w:val="nil"/>
              <w:bottom w:val="nil"/>
              <w:right w:val="single" w:sz="4" w:space="0" w:color="auto"/>
            </w:tcBorders>
            <w:shd w:val="clear" w:color="auto" w:fill="1F4E79"/>
            <w:vAlign w:val="center"/>
            <w:hideMark/>
          </w:tcPr>
          <w:p w:rsidR="007E4CEF" w:rsidRPr="0009726D" w:rsidRDefault="007E4CEF" w:rsidP="008346E5">
            <w:pPr>
              <w:jc w:val="center"/>
              <w:rPr>
                <w:rFonts w:ascii="Arial" w:hAnsi="Arial" w:cs="Arial"/>
                <w:b/>
                <w:color w:val="FFFFFF"/>
                <w:sz w:val="20"/>
                <w:szCs w:val="20"/>
              </w:rPr>
            </w:pPr>
            <w:r w:rsidRPr="0009726D">
              <w:rPr>
                <w:rFonts w:ascii="Arial" w:hAnsi="Arial" w:cs="Arial"/>
                <w:b/>
                <w:color w:val="FFFFFF"/>
                <w:sz w:val="20"/>
                <w:szCs w:val="20"/>
              </w:rPr>
              <w:t>Nombre de points possible</w:t>
            </w:r>
          </w:p>
        </w:tc>
        <w:tc>
          <w:tcPr>
            <w:tcW w:w="1549" w:type="dxa"/>
            <w:tcBorders>
              <w:top w:val="single" w:sz="4" w:space="0" w:color="auto"/>
              <w:left w:val="nil"/>
              <w:bottom w:val="nil"/>
              <w:right w:val="nil"/>
            </w:tcBorders>
            <w:shd w:val="clear" w:color="auto" w:fill="1F4E79"/>
            <w:vAlign w:val="center"/>
            <w:hideMark/>
          </w:tcPr>
          <w:p w:rsidR="007E4CEF" w:rsidRPr="0009726D" w:rsidRDefault="007E4CEF" w:rsidP="008346E5">
            <w:pPr>
              <w:jc w:val="center"/>
              <w:rPr>
                <w:rFonts w:ascii="Arial" w:hAnsi="Arial" w:cs="Arial"/>
                <w:b/>
                <w:color w:val="FFFFFF"/>
                <w:sz w:val="20"/>
                <w:szCs w:val="20"/>
              </w:rPr>
            </w:pPr>
            <w:r w:rsidRPr="0009726D">
              <w:rPr>
                <w:rFonts w:ascii="Arial" w:hAnsi="Arial" w:cs="Arial"/>
                <w:b/>
                <w:color w:val="FFFFFF"/>
                <w:sz w:val="20"/>
                <w:szCs w:val="20"/>
              </w:rPr>
              <w:t>Nombre maximal de points</w:t>
            </w:r>
          </w:p>
        </w:tc>
      </w:tr>
      <w:tr w:rsidR="007E4CEF" w:rsidRPr="00D43DD9" w:rsidTr="007E4CEF">
        <w:trPr>
          <w:trHeight w:val="659"/>
        </w:trPr>
        <w:tc>
          <w:tcPr>
            <w:tcW w:w="227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E4CEF" w:rsidRPr="00D43DD9" w:rsidRDefault="007E4CEF" w:rsidP="008346E5">
            <w:pPr>
              <w:spacing w:after="0" w:line="240" w:lineRule="auto"/>
              <w:jc w:val="both"/>
              <w:rPr>
                <w:rFonts w:ascii="Arial" w:hAnsi="Arial" w:cs="Arial"/>
                <w:b/>
                <w:sz w:val="20"/>
                <w:szCs w:val="20"/>
              </w:rPr>
            </w:pPr>
            <w:r w:rsidRPr="00D43DD9">
              <w:rPr>
                <w:rFonts w:ascii="Arial" w:hAnsi="Arial" w:cs="Arial"/>
                <w:b/>
                <w:sz w:val="20"/>
                <w:szCs w:val="20"/>
              </w:rPr>
              <w:t>Diversité des acteurs associés</w:t>
            </w:r>
          </w:p>
        </w:tc>
        <w:tc>
          <w:tcPr>
            <w:tcW w:w="2065" w:type="dxa"/>
            <w:vMerge w:val="restart"/>
            <w:tcBorders>
              <w:top w:val="single" w:sz="8" w:space="0" w:color="auto"/>
              <w:left w:val="single" w:sz="4" w:space="0" w:color="auto"/>
              <w:bottom w:val="nil"/>
              <w:right w:val="single" w:sz="4" w:space="0" w:color="auto"/>
            </w:tcBorders>
            <w:shd w:val="clear" w:color="auto" w:fill="auto"/>
            <w:vAlign w:val="center"/>
            <w:hideMark/>
          </w:tcPr>
          <w:p w:rsidR="007E4CEF" w:rsidRPr="00604940" w:rsidRDefault="007E4CEF" w:rsidP="008346E5">
            <w:pPr>
              <w:spacing w:after="0" w:line="240" w:lineRule="auto"/>
              <w:rPr>
                <w:rFonts w:ascii="Arial" w:hAnsi="Arial" w:cs="Arial"/>
                <w:sz w:val="18"/>
                <w:szCs w:val="16"/>
              </w:rPr>
            </w:pPr>
            <w:r w:rsidRPr="00604940">
              <w:rPr>
                <w:rFonts w:ascii="Arial" w:hAnsi="Arial" w:cs="Arial"/>
                <w:sz w:val="18"/>
                <w:szCs w:val="16"/>
              </w:rPr>
              <w:t>Diversité des acteurs impliqués dans la coopération, au regard des objectifs du projet</w:t>
            </w:r>
          </w:p>
        </w:tc>
        <w:tc>
          <w:tcPr>
            <w:tcW w:w="3096" w:type="dxa"/>
            <w:tcBorders>
              <w:top w:val="single" w:sz="8" w:space="0" w:color="auto"/>
              <w:left w:val="nil"/>
              <w:bottom w:val="single" w:sz="4" w:space="0" w:color="auto"/>
              <w:right w:val="single" w:sz="4" w:space="0" w:color="auto"/>
            </w:tcBorders>
            <w:shd w:val="clear" w:color="auto" w:fill="auto"/>
            <w:vAlign w:val="center"/>
            <w:hideMark/>
          </w:tcPr>
          <w:p w:rsidR="007E4CEF" w:rsidRPr="00D538C7" w:rsidRDefault="007E4CEF" w:rsidP="008346E5">
            <w:pPr>
              <w:spacing w:after="0" w:line="240" w:lineRule="auto"/>
              <w:jc w:val="both"/>
              <w:rPr>
                <w:rFonts w:ascii="Arial" w:hAnsi="Arial" w:cs="Arial"/>
                <w:sz w:val="16"/>
                <w:szCs w:val="16"/>
              </w:rPr>
            </w:pPr>
            <w:r w:rsidRPr="00D538C7">
              <w:rPr>
                <w:rFonts w:ascii="Arial" w:hAnsi="Arial" w:cs="Arial"/>
                <w:sz w:val="16"/>
                <w:szCs w:val="16"/>
              </w:rPr>
              <w:t>Partenariat réunissant 3 types d’acteurs différents dont un institut technique (ou équivalent) ou d'une structure de recherche</w:t>
            </w:r>
          </w:p>
        </w:tc>
        <w:tc>
          <w:tcPr>
            <w:tcW w:w="1238" w:type="dxa"/>
            <w:tcBorders>
              <w:top w:val="single" w:sz="8" w:space="0" w:color="auto"/>
              <w:left w:val="nil"/>
              <w:bottom w:val="single" w:sz="4" w:space="0" w:color="auto"/>
              <w:right w:val="single" w:sz="4" w:space="0" w:color="auto"/>
            </w:tcBorders>
            <w:shd w:val="clear" w:color="auto" w:fill="auto"/>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3</w:t>
            </w:r>
          </w:p>
        </w:tc>
        <w:tc>
          <w:tcPr>
            <w:tcW w:w="1549"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6</w:t>
            </w:r>
          </w:p>
        </w:tc>
      </w:tr>
      <w:tr w:rsidR="007E4CEF" w:rsidRPr="00D43DD9" w:rsidTr="007E4CEF">
        <w:trPr>
          <w:trHeight w:val="522"/>
        </w:trPr>
        <w:tc>
          <w:tcPr>
            <w:tcW w:w="2271" w:type="dxa"/>
            <w:vMerge/>
            <w:tcBorders>
              <w:top w:val="single" w:sz="8" w:space="0" w:color="auto"/>
              <w:left w:val="single" w:sz="4" w:space="0" w:color="auto"/>
              <w:bottom w:val="nil"/>
              <w:right w:val="single" w:sz="4" w:space="0" w:color="auto"/>
            </w:tcBorders>
            <w:vAlign w:val="center"/>
            <w:hideMark/>
          </w:tcPr>
          <w:p w:rsidR="007E4CEF" w:rsidRPr="00D43DD9" w:rsidRDefault="007E4CEF" w:rsidP="008346E5">
            <w:pPr>
              <w:spacing w:after="0" w:line="240" w:lineRule="auto"/>
              <w:jc w:val="both"/>
              <w:rPr>
                <w:rFonts w:ascii="Arial" w:hAnsi="Arial" w:cs="Arial"/>
                <w:b/>
                <w:sz w:val="20"/>
                <w:szCs w:val="20"/>
              </w:rPr>
            </w:pPr>
          </w:p>
        </w:tc>
        <w:tc>
          <w:tcPr>
            <w:tcW w:w="2065" w:type="dxa"/>
            <w:vMerge/>
            <w:tcBorders>
              <w:top w:val="single" w:sz="8" w:space="0" w:color="auto"/>
              <w:left w:val="single" w:sz="4" w:space="0" w:color="auto"/>
              <w:bottom w:val="nil"/>
              <w:right w:val="single" w:sz="4" w:space="0" w:color="auto"/>
            </w:tcBorders>
            <w:vAlign w:val="center"/>
            <w:hideMark/>
          </w:tcPr>
          <w:p w:rsidR="007E4CEF" w:rsidRPr="00604940" w:rsidRDefault="007E4CEF" w:rsidP="008346E5">
            <w:pPr>
              <w:spacing w:after="0" w:line="240" w:lineRule="auto"/>
              <w:rPr>
                <w:rFonts w:ascii="Arial" w:hAnsi="Arial" w:cs="Arial"/>
                <w:sz w:val="18"/>
                <w:szCs w:val="16"/>
              </w:rPr>
            </w:pPr>
          </w:p>
        </w:tc>
        <w:tc>
          <w:tcPr>
            <w:tcW w:w="3096" w:type="dxa"/>
            <w:tcBorders>
              <w:top w:val="nil"/>
              <w:left w:val="nil"/>
              <w:bottom w:val="nil"/>
              <w:right w:val="single" w:sz="4" w:space="0" w:color="auto"/>
            </w:tcBorders>
            <w:shd w:val="clear" w:color="auto" w:fill="auto"/>
            <w:vAlign w:val="center"/>
            <w:hideMark/>
          </w:tcPr>
          <w:p w:rsidR="007E4CEF" w:rsidRPr="007E7161" w:rsidRDefault="007E4CEF" w:rsidP="008346E5">
            <w:pPr>
              <w:spacing w:after="0" w:line="240" w:lineRule="auto"/>
              <w:jc w:val="both"/>
              <w:rPr>
                <w:rFonts w:ascii="Arial" w:hAnsi="Arial" w:cs="Arial"/>
                <w:sz w:val="16"/>
                <w:szCs w:val="16"/>
              </w:rPr>
            </w:pPr>
            <w:r w:rsidRPr="007E7161">
              <w:rPr>
                <w:rFonts w:ascii="Arial" w:hAnsi="Arial" w:cs="Arial"/>
                <w:sz w:val="16"/>
                <w:szCs w:val="16"/>
              </w:rPr>
              <w:t>Partenariat réunissant au moins 4 types d’acteurs différents dont un institut technique (ou équivalent) ou d'une structure de recherche</w:t>
            </w:r>
          </w:p>
        </w:tc>
        <w:tc>
          <w:tcPr>
            <w:tcW w:w="1238" w:type="dxa"/>
            <w:tcBorders>
              <w:top w:val="nil"/>
              <w:left w:val="nil"/>
              <w:bottom w:val="nil"/>
              <w:right w:val="single" w:sz="4" w:space="0" w:color="auto"/>
            </w:tcBorders>
            <w:shd w:val="clear" w:color="auto" w:fill="auto"/>
            <w:vAlign w:val="center"/>
            <w:hideMark/>
          </w:tcPr>
          <w:p w:rsidR="007E4CEF" w:rsidRPr="007E7161" w:rsidRDefault="007E4CEF" w:rsidP="008346E5">
            <w:pPr>
              <w:spacing w:after="0" w:line="240" w:lineRule="auto"/>
              <w:jc w:val="center"/>
              <w:rPr>
                <w:rFonts w:ascii="Arial" w:hAnsi="Arial" w:cs="Arial"/>
                <w:sz w:val="16"/>
                <w:szCs w:val="16"/>
              </w:rPr>
            </w:pPr>
            <w:r w:rsidRPr="007E7161">
              <w:rPr>
                <w:rFonts w:ascii="Arial" w:hAnsi="Arial" w:cs="Arial"/>
                <w:sz w:val="16"/>
                <w:szCs w:val="16"/>
              </w:rPr>
              <w:t>6</w:t>
            </w:r>
          </w:p>
        </w:tc>
        <w:tc>
          <w:tcPr>
            <w:tcW w:w="1549" w:type="dxa"/>
            <w:vMerge/>
            <w:tcBorders>
              <w:top w:val="single" w:sz="8" w:space="0" w:color="auto"/>
              <w:left w:val="single" w:sz="4" w:space="0" w:color="auto"/>
              <w:bottom w:val="nil"/>
              <w:right w:val="single" w:sz="4" w:space="0" w:color="auto"/>
            </w:tcBorders>
            <w:vAlign w:val="center"/>
            <w:hideMark/>
          </w:tcPr>
          <w:p w:rsidR="007E4CEF" w:rsidRPr="007E7161" w:rsidRDefault="007E4CEF" w:rsidP="008346E5">
            <w:pPr>
              <w:spacing w:after="0" w:line="240" w:lineRule="auto"/>
              <w:jc w:val="center"/>
              <w:rPr>
                <w:rFonts w:ascii="Arial" w:hAnsi="Arial" w:cs="Arial"/>
                <w:sz w:val="16"/>
                <w:szCs w:val="16"/>
              </w:rPr>
            </w:pPr>
          </w:p>
        </w:tc>
      </w:tr>
      <w:tr w:rsidR="007E4CEF" w:rsidRPr="00D43DD9" w:rsidTr="007E4CEF">
        <w:trPr>
          <w:trHeight w:val="633"/>
        </w:trPr>
        <w:tc>
          <w:tcPr>
            <w:tcW w:w="22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4CEF" w:rsidRPr="00D43DD9" w:rsidRDefault="007E4CEF" w:rsidP="008346E5">
            <w:pPr>
              <w:spacing w:after="0" w:line="240" w:lineRule="auto"/>
              <w:jc w:val="both"/>
              <w:rPr>
                <w:rFonts w:ascii="Arial" w:hAnsi="Arial" w:cs="Arial"/>
                <w:b/>
                <w:sz w:val="20"/>
                <w:szCs w:val="20"/>
              </w:rPr>
            </w:pPr>
            <w:r w:rsidRPr="00D43DD9">
              <w:rPr>
                <w:rFonts w:ascii="Arial" w:hAnsi="Arial" w:cs="Arial"/>
                <w:b/>
                <w:sz w:val="20"/>
                <w:szCs w:val="20"/>
              </w:rPr>
              <w:t>Caractère ascendant du projet (à l’initiative des agriculteurs ou propriétaires forestiers)</w:t>
            </w:r>
          </w:p>
        </w:tc>
        <w:tc>
          <w:tcPr>
            <w:tcW w:w="206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E4CEF" w:rsidRPr="00604940" w:rsidRDefault="007E4CEF" w:rsidP="008346E5">
            <w:pPr>
              <w:spacing w:after="0" w:line="240" w:lineRule="auto"/>
              <w:rPr>
                <w:rFonts w:ascii="Arial" w:hAnsi="Arial" w:cs="Arial"/>
                <w:sz w:val="18"/>
                <w:szCs w:val="16"/>
              </w:rPr>
            </w:pPr>
            <w:r w:rsidRPr="00604940">
              <w:rPr>
                <w:rFonts w:ascii="Arial" w:hAnsi="Arial" w:cs="Arial"/>
                <w:sz w:val="18"/>
                <w:szCs w:val="16"/>
              </w:rPr>
              <w:t>Démarche ascendante</w:t>
            </w:r>
          </w:p>
        </w:tc>
        <w:tc>
          <w:tcPr>
            <w:tcW w:w="3096" w:type="dxa"/>
            <w:tcBorders>
              <w:top w:val="single" w:sz="8" w:space="0" w:color="auto"/>
              <w:left w:val="nil"/>
              <w:bottom w:val="single" w:sz="4" w:space="0" w:color="auto"/>
              <w:right w:val="single" w:sz="4" w:space="0" w:color="auto"/>
            </w:tcBorders>
            <w:shd w:val="clear" w:color="auto" w:fill="auto"/>
            <w:vAlign w:val="center"/>
            <w:hideMark/>
          </w:tcPr>
          <w:p w:rsidR="007E4CEF" w:rsidRPr="00D538C7" w:rsidRDefault="007E4CEF" w:rsidP="008346E5">
            <w:pPr>
              <w:spacing w:after="0" w:line="240" w:lineRule="auto"/>
              <w:jc w:val="both"/>
              <w:rPr>
                <w:rFonts w:ascii="Arial" w:hAnsi="Arial" w:cs="Arial"/>
                <w:sz w:val="16"/>
                <w:szCs w:val="16"/>
              </w:rPr>
            </w:pPr>
            <w:r w:rsidRPr="00D538C7">
              <w:rPr>
                <w:rFonts w:ascii="Arial" w:hAnsi="Arial" w:cs="Arial"/>
                <w:sz w:val="16"/>
                <w:szCs w:val="16"/>
              </w:rPr>
              <w:t>Les bénéficiaires finaux ne font pas partie du partenariat et ne participent pas à la définition des besoins et des objectifs</w:t>
            </w:r>
          </w:p>
        </w:tc>
        <w:tc>
          <w:tcPr>
            <w:tcW w:w="1238" w:type="dxa"/>
            <w:tcBorders>
              <w:top w:val="single" w:sz="8" w:space="0" w:color="auto"/>
              <w:left w:val="nil"/>
              <w:bottom w:val="nil"/>
              <w:right w:val="single" w:sz="4" w:space="0" w:color="auto"/>
            </w:tcBorders>
            <w:shd w:val="clear" w:color="auto" w:fill="auto"/>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-5</w:t>
            </w:r>
          </w:p>
        </w:tc>
        <w:tc>
          <w:tcPr>
            <w:tcW w:w="15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5</w:t>
            </w:r>
          </w:p>
        </w:tc>
      </w:tr>
      <w:tr w:rsidR="007E4CEF" w:rsidRPr="00D43DD9" w:rsidTr="007E4CEF">
        <w:trPr>
          <w:trHeight w:val="381"/>
        </w:trPr>
        <w:tc>
          <w:tcPr>
            <w:tcW w:w="2271"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both"/>
              <w:rPr>
                <w:rFonts w:ascii="Arial" w:hAnsi="Arial" w:cs="Arial"/>
                <w:b/>
                <w:bCs/>
                <w:sz w:val="20"/>
                <w:szCs w:val="20"/>
              </w:rPr>
            </w:pPr>
          </w:p>
        </w:tc>
        <w:tc>
          <w:tcPr>
            <w:tcW w:w="2065"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both"/>
              <w:rPr>
                <w:rFonts w:ascii="Arial" w:hAnsi="Arial" w:cs="Arial"/>
                <w:b/>
                <w:sz w:val="20"/>
                <w:szCs w:val="20"/>
              </w:rPr>
            </w:pPr>
          </w:p>
        </w:tc>
        <w:tc>
          <w:tcPr>
            <w:tcW w:w="3096" w:type="dxa"/>
            <w:tcBorders>
              <w:top w:val="nil"/>
              <w:left w:val="nil"/>
              <w:bottom w:val="single" w:sz="4" w:space="0" w:color="auto"/>
              <w:right w:val="single" w:sz="4" w:space="0" w:color="auto"/>
            </w:tcBorders>
            <w:shd w:val="clear" w:color="auto" w:fill="auto"/>
            <w:hideMark/>
          </w:tcPr>
          <w:p w:rsidR="007E4CEF" w:rsidRPr="00D538C7" w:rsidRDefault="007E4CEF" w:rsidP="008346E5">
            <w:pPr>
              <w:spacing w:after="0" w:line="240" w:lineRule="auto"/>
              <w:jc w:val="both"/>
              <w:rPr>
                <w:rFonts w:ascii="Arial" w:hAnsi="Arial" w:cs="Arial"/>
                <w:sz w:val="16"/>
                <w:szCs w:val="16"/>
              </w:rPr>
            </w:pPr>
            <w:r w:rsidRPr="00D538C7">
              <w:rPr>
                <w:rFonts w:ascii="Arial" w:hAnsi="Arial" w:cs="Arial"/>
                <w:sz w:val="16"/>
                <w:szCs w:val="16"/>
              </w:rPr>
              <w:t>Les bénéficiaires finaux font partie du partenariat mais ne participent pas à la définition des besoins et des objectifs.</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-3</w:t>
            </w:r>
          </w:p>
        </w:tc>
        <w:tc>
          <w:tcPr>
            <w:tcW w:w="1549"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center"/>
              <w:rPr>
                <w:rFonts w:ascii="Arial" w:hAnsi="Arial" w:cs="Arial"/>
                <w:b/>
                <w:sz w:val="20"/>
                <w:szCs w:val="20"/>
              </w:rPr>
            </w:pPr>
          </w:p>
        </w:tc>
      </w:tr>
      <w:tr w:rsidR="007E4CEF" w:rsidRPr="00D43DD9" w:rsidTr="007E4CEF">
        <w:trPr>
          <w:trHeight w:val="551"/>
        </w:trPr>
        <w:tc>
          <w:tcPr>
            <w:tcW w:w="2271"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both"/>
              <w:rPr>
                <w:rFonts w:ascii="Arial" w:hAnsi="Arial" w:cs="Arial"/>
                <w:b/>
                <w:bCs/>
                <w:sz w:val="20"/>
                <w:szCs w:val="20"/>
              </w:rPr>
            </w:pPr>
          </w:p>
        </w:tc>
        <w:tc>
          <w:tcPr>
            <w:tcW w:w="2065"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both"/>
              <w:rPr>
                <w:rFonts w:ascii="Arial" w:hAnsi="Arial" w:cs="Arial"/>
                <w:b/>
                <w:sz w:val="20"/>
                <w:szCs w:val="20"/>
              </w:rPr>
            </w:pPr>
          </w:p>
        </w:tc>
        <w:tc>
          <w:tcPr>
            <w:tcW w:w="3096" w:type="dxa"/>
            <w:tcBorders>
              <w:top w:val="nil"/>
              <w:left w:val="nil"/>
              <w:bottom w:val="single" w:sz="8" w:space="0" w:color="auto"/>
              <w:right w:val="single" w:sz="4" w:space="0" w:color="auto"/>
            </w:tcBorders>
            <w:shd w:val="clear" w:color="auto" w:fill="auto"/>
            <w:hideMark/>
          </w:tcPr>
          <w:p w:rsidR="007E4CEF" w:rsidRPr="00D538C7" w:rsidRDefault="007E4CEF" w:rsidP="008346E5">
            <w:pPr>
              <w:spacing w:after="0" w:line="240" w:lineRule="auto"/>
              <w:jc w:val="both"/>
              <w:rPr>
                <w:rFonts w:ascii="Arial" w:hAnsi="Arial" w:cs="Arial"/>
                <w:sz w:val="16"/>
                <w:szCs w:val="16"/>
              </w:rPr>
            </w:pPr>
            <w:r w:rsidRPr="00D538C7">
              <w:rPr>
                <w:rFonts w:ascii="Arial" w:hAnsi="Arial" w:cs="Arial"/>
                <w:sz w:val="16"/>
                <w:szCs w:val="16"/>
              </w:rPr>
              <w:t>Bénéficiaires finaux font partie du partenariat et participent à la définition des besoins et des objectifs du projet</w:t>
            </w:r>
          </w:p>
        </w:tc>
        <w:tc>
          <w:tcPr>
            <w:tcW w:w="1238" w:type="dxa"/>
            <w:tcBorders>
              <w:top w:val="nil"/>
              <w:left w:val="nil"/>
              <w:bottom w:val="single" w:sz="8" w:space="0" w:color="auto"/>
              <w:right w:val="single" w:sz="4" w:space="0" w:color="auto"/>
            </w:tcBorders>
            <w:shd w:val="clear" w:color="auto" w:fill="auto"/>
            <w:vAlign w:val="center"/>
            <w:hideMark/>
          </w:tcPr>
          <w:p w:rsidR="007E4CEF" w:rsidRPr="00D538C7" w:rsidRDefault="007E4CEF" w:rsidP="008346E5">
            <w:pPr>
              <w:spacing w:after="0" w:line="240" w:lineRule="auto"/>
              <w:jc w:val="center"/>
              <w:rPr>
                <w:rFonts w:ascii="Arial" w:hAnsi="Arial" w:cs="Arial"/>
                <w:sz w:val="16"/>
                <w:szCs w:val="16"/>
              </w:rPr>
            </w:pPr>
            <w:r w:rsidRPr="00D538C7">
              <w:rPr>
                <w:rFonts w:ascii="Arial" w:hAnsi="Arial" w:cs="Arial"/>
                <w:sz w:val="16"/>
                <w:szCs w:val="16"/>
              </w:rPr>
              <w:t>5</w:t>
            </w:r>
          </w:p>
        </w:tc>
        <w:tc>
          <w:tcPr>
            <w:tcW w:w="1549" w:type="dxa"/>
            <w:vMerge/>
            <w:tcBorders>
              <w:top w:val="single" w:sz="8" w:space="0" w:color="auto"/>
              <w:left w:val="single" w:sz="4" w:space="0" w:color="auto"/>
              <w:bottom w:val="single" w:sz="8" w:space="0" w:color="000000"/>
              <w:right w:val="single" w:sz="4" w:space="0" w:color="auto"/>
            </w:tcBorders>
            <w:vAlign w:val="center"/>
            <w:hideMark/>
          </w:tcPr>
          <w:p w:rsidR="007E4CEF" w:rsidRPr="00D43DD9" w:rsidRDefault="007E4CEF" w:rsidP="008346E5">
            <w:pPr>
              <w:spacing w:after="0" w:line="240" w:lineRule="auto"/>
              <w:jc w:val="center"/>
              <w:rPr>
                <w:rFonts w:ascii="Arial" w:hAnsi="Arial" w:cs="Arial"/>
                <w:b/>
                <w:sz w:val="20"/>
                <w:szCs w:val="20"/>
              </w:rPr>
            </w:pPr>
          </w:p>
        </w:tc>
      </w:tr>
    </w:tbl>
    <w:p w:rsidR="007E4CEF" w:rsidRPr="008E74B8" w:rsidRDefault="007E4CEF" w:rsidP="007E4CEF">
      <w:pPr>
        <w:spacing w:after="0" w:line="240" w:lineRule="auto"/>
        <w:rPr>
          <w:rFonts w:ascii="Arial" w:hAnsi="Arial" w:cs="Arial"/>
          <w:b/>
          <w:sz w:val="20"/>
          <w:szCs w:val="20"/>
        </w:rPr>
      </w:pPr>
    </w:p>
    <w:p w:rsidR="007E4CEF" w:rsidRPr="008E74B8" w:rsidRDefault="007E4CEF" w:rsidP="007E4CEF">
      <w:pPr>
        <w:shd w:val="clear" w:color="auto" w:fill="002060"/>
        <w:spacing w:after="0" w:line="240" w:lineRule="auto"/>
        <w:jc w:val="center"/>
        <w:rPr>
          <w:rFonts w:ascii="Arial" w:hAnsi="Arial" w:cs="Arial"/>
          <w:b/>
          <w:color w:val="FFFFFF" w:themeColor="background1"/>
          <w:sz w:val="20"/>
          <w:szCs w:val="20"/>
        </w:rPr>
      </w:pPr>
      <w:r w:rsidRPr="008E74B8">
        <w:rPr>
          <w:rFonts w:ascii="Arial" w:hAnsi="Arial" w:cs="Arial"/>
          <w:b/>
          <w:color w:val="FFFFFF" w:themeColor="background1"/>
          <w:sz w:val="20"/>
          <w:szCs w:val="20"/>
        </w:rPr>
        <w:t xml:space="preserve">Le seuil de sélection au titre </w:t>
      </w:r>
      <w:r>
        <w:rPr>
          <w:rFonts w:ascii="Arial" w:hAnsi="Arial" w:cs="Arial"/>
          <w:b/>
          <w:color w:val="FFFFFF" w:themeColor="background1"/>
          <w:sz w:val="20"/>
          <w:szCs w:val="20"/>
        </w:rPr>
        <w:t xml:space="preserve">de l’appel à projet </w:t>
      </w:r>
      <w:r w:rsidRPr="008E74B8">
        <w:rPr>
          <w:rFonts w:ascii="Arial" w:hAnsi="Arial" w:cs="Arial"/>
          <w:b/>
          <w:color w:val="FFFFFF" w:themeColor="background1"/>
          <w:sz w:val="20"/>
          <w:szCs w:val="20"/>
        </w:rPr>
        <w:t>est fixé à :</w:t>
      </w:r>
    </w:p>
    <w:p w:rsidR="007E4CEF" w:rsidRPr="00420420" w:rsidRDefault="007E4CEF" w:rsidP="007E4CEF">
      <w:pPr>
        <w:shd w:val="clear" w:color="auto" w:fill="002060"/>
        <w:spacing w:after="0" w:line="240" w:lineRule="auto"/>
        <w:jc w:val="center"/>
        <w:rPr>
          <w:rFonts w:ascii="Arial" w:hAnsi="Arial" w:cs="Arial"/>
          <w:b/>
          <w:color w:val="FFFFFF" w:themeColor="background1"/>
          <w:sz w:val="24"/>
          <w:szCs w:val="24"/>
        </w:rPr>
      </w:pPr>
      <w:r w:rsidRPr="00C47AD5">
        <w:rPr>
          <w:rFonts w:ascii="Arial" w:hAnsi="Arial" w:cs="Arial"/>
          <w:b/>
          <w:color w:val="FFFFFF" w:themeColor="background1"/>
          <w:sz w:val="24"/>
          <w:szCs w:val="24"/>
        </w:rPr>
        <w:t xml:space="preserve"> 6</w:t>
      </w:r>
      <w:r w:rsidRPr="006747ED">
        <w:rPr>
          <w:rFonts w:ascii="Arial" w:hAnsi="Arial" w:cs="Arial"/>
          <w:b/>
          <w:color w:val="FFFFFF" w:themeColor="background1"/>
          <w:sz w:val="24"/>
          <w:szCs w:val="24"/>
        </w:rPr>
        <w:t xml:space="preserve"> points sur un total de </w:t>
      </w:r>
      <w:r w:rsidRPr="00C47AD5">
        <w:rPr>
          <w:rFonts w:ascii="Arial" w:hAnsi="Arial" w:cs="Arial"/>
          <w:b/>
          <w:color w:val="FFFFFF" w:themeColor="background1"/>
          <w:sz w:val="24"/>
          <w:szCs w:val="24"/>
        </w:rPr>
        <w:t xml:space="preserve">11 </w:t>
      </w:r>
      <w:r>
        <w:rPr>
          <w:rFonts w:ascii="Arial" w:hAnsi="Arial" w:cs="Arial"/>
          <w:b/>
          <w:color w:val="FFFFFF" w:themeColor="background1"/>
          <w:sz w:val="24"/>
          <w:szCs w:val="24"/>
        </w:rPr>
        <w:t>points maximum</w:t>
      </w:r>
    </w:p>
    <w:p w:rsidR="007E4CEF" w:rsidRDefault="007E4CEF">
      <w:pPr>
        <w:rPr>
          <w:b/>
          <w:sz w:val="24"/>
        </w:rPr>
      </w:pPr>
    </w:p>
    <w:p w:rsidR="00711456" w:rsidRPr="00F8371A" w:rsidRDefault="00711456" w:rsidP="00711456">
      <w:pPr>
        <w:spacing w:after="0" w:line="276" w:lineRule="auto"/>
        <w:jc w:val="both"/>
        <w:rPr>
          <w:rFonts w:ascii="Arial" w:eastAsia="Times New Roman" w:hAnsi="Arial" w:cs="Arial"/>
          <w:sz w:val="20"/>
          <w:szCs w:val="20"/>
          <w:lang w:eastAsia="fr-FR"/>
        </w:rPr>
      </w:pPr>
      <w:r w:rsidRPr="008E74B8">
        <w:rPr>
          <w:rFonts w:ascii="Arial" w:eastAsia="Times New Roman" w:hAnsi="Arial" w:cs="Arial"/>
          <w:sz w:val="20"/>
          <w:szCs w:val="20"/>
          <w:lang w:eastAsia="fr-FR"/>
        </w:rPr>
        <w:t xml:space="preserve">Les dossiers recevables seront notés selon </w:t>
      </w:r>
      <w:r>
        <w:rPr>
          <w:rFonts w:ascii="Arial" w:eastAsia="Times New Roman" w:hAnsi="Arial" w:cs="Arial"/>
          <w:sz w:val="20"/>
          <w:szCs w:val="20"/>
          <w:lang w:eastAsia="fr-FR"/>
        </w:rPr>
        <w:t>l’une des grilles ci-dessus,</w:t>
      </w:r>
      <w:r w:rsidRPr="008E74B8">
        <w:rPr>
          <w:rFonts w:ascii="Arial" w:eastAsia="Times New Roman" w:hAnsi="Arial" w:cs="Arial"/>
          <w:sz w:val="20"/>
          <w:szCs w:val="20"/>
          <w:lang w:eastAsia="fr-FR"/>
        </w:rPr>
        <w:t xml:space="preserve"> et devront atteindre la note minimale </w:t>
      </w:r>
      <w:r w:rsidRPr="00C47AD5">
        <w:rPr>
          <w:rFonts w:ascii="Arial" w:eastAsia="Times New Roman" w:hAnsi="Arial" w:cs="Arial"/>
          <w:sz w:val="20"/>
          <w:szCs w:val="20"/>
          <w:lang w:eastAsia="fr-FR"/>
        </w:rPr>
        <w:t>de 6</w:t>
      </w:r>
      <w:r w:rsidRPr="00F8371A">
        <w:rPr>
          <w:rFonts w:ascii="Arial" w:eastAsia="Times New Roman" w:hAnsi="Arial" w:cs="Arial"/>
          <w:sz w:val="20"/>
          <w:szCs w:val="20"/>
          <w:lang w:eastAsia="fr-FR"/>
        </w:rPr>
        <w:t xml:space="preserve"> points pour pouvoir être sélectionnés pour les GO en émergence. </w:t>
      </w:r>
    </w:p>
    <w:p w:rsidR="00711456" w:rsidRPr="00F8371A" w:rsidRDefault="00711456" w:rsidP="00711456">
      <w:pPr>
        <w:spacing w:after="0" w:line="276" w:lineRule="auto"/>
        <w:jc w:val="both"/>
        <w:rPr>
          <w:rFonts w:ascii="Arial" w:eastAsia="Times New Roman" w:hAnsi="Arial" w:cs="Arial"/>
          <w:b/>
          <w:sz w:val="20"/>
          <w:szCs w:val="20"/>
          <w:lang w:eastAsia="fr-FR"/>
        </w:rPr>
      </w:pPr>
    </w:p>
    <w:p w:rsidR="00711456" w:rsidRPr="00F8371A" w:rsidRDefault="00711456" w:rsidP="00711456">
      <w:pPr>
        <w:spacing w:after="0" w:line="276" w:lineRule="auto"/>
        <w:jc w:val="both"/>
        <w:rPr>
          <w:rFonts w:ascii="Arial" w:eastAsia="Times New Roman" w:hAnsi="Arial" w:cs="Arial"/>
          <w:sz w:val="20"/>
          <w:szCs w:val="20"/>
          <w:lang w:eastAsia="fr-FR"/>
        </w:rPr>
      </w:pPr>
      <w:r w:rsidRPr="00F8371A">
        <w:rPr>
          <w:rFonts w:ascii="Arial" w:eastAsia="Times New Roman" w:hAnsi="Arial" w:cs="Arial"/>
          <w:sz w:val="20"/>
          <w:szCs w:val="20"/>
          <w:lang w:eastAsia="fr-FR"/>
        </w:rPr>
        <w:t>Les dossiers sélectionnés seront priorisés en fonction de leur note et traités jusqu’à épuisement de l’enveloppe. Des dossiers sélectionnés pourront donc se voir rejeter si leur note est trop peu élevée, dès que l’enveloppe sera épuisée.</w:t>
      </w:r>
    </w:p>
    <w:p w:rsidR="00711456" w:rsidRPr="00F8371A" w:rsidRDefault="00711456" w:rsidP="00711456">
      <w:pPr>
        <w:spacing w:after="0" w:line="276" w:lineRule="auto"/>
        <w:jc w:val="both"/>
        <w:rPr>
          <w:rFonts w:ascii="Arial" w:eastAsia="Times New Roman" w:hAnsi="Arial" w:cs="Arial"/>
          <w:sz w:val="20"/>
          <w:szCs w:val="20"/>
          <w:lang w:eastAsia="fr-FR"/>
        </w:rPr>
      </w:pPr>
    </w:p>
    <w:p w:rsidR="00711456" w:rsidRPr="00F8371A" w:rsidRDefault="00711456" w:rsidP="00711456">
      <w:pPr>
        <w:spacing w:after="0" w:line="276" w:lineRule="auto"/>
        <w:jc w:val="both"/>
        <w:rPr>
          <w:rFonts w:ascii="Arial" w:eastAsia="Times New Roman" w:hAnsi="Arial" w:cs="Arial"/>
          <w:sz w:val="20"/>
          <w:szCs w:val="20"/>
          <w:lang w:eastAsia="fr-FR"/>
        </w:rPr>
      </w:pPr>
      <w:r w:rsidRPr="00F8371A">
        <w:rPr>
          <w:rFonts w:ascii="Arial" w:eastAsia="Times New Roman" w:hAnsi="Arial" w:cs="Arial"/>
          <w:sz w:val="20"/>
          <w:szCs w:val="20"/>
          <w:lang w:eastAsia="fr-FR"/>
        </w:rPr>
        <w:t xml:space="preserve">En cas d’ex aequo, si l’enveloppe disponible ne permet pas de retenir les projets ayant obtenu la même note, les projets ayant la meilleure note au critère « caractère ascendant du projet » seront sélectionnés. </w:t>
      </w: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11456" w:rsidRDefault="00711456">
      <w:pPr>
        <w:rPr>
          <w:b/>
          <w:sz w:val="24"/>
        </w:rPr>
      </w:pPr>
    </w:p>
    <w:p w:rsidR="007E4CEF" w:rsidRDefault="007E4CEF">
      <w:pPr>
        <w:rPr>
          <w:b/>
          <w:sz w:val="24"/>
        </w:rPr>
      </w:pPr>
      <w:r>
        <w:rPr>
          <w:b/>
          <w:sz w:val="24"/>
        </w:rPr>
        <w:t xml:space="preserve">II - Grille de sélection pour les groupes opérationnels en fonctionnement </w:t>
      </w:r>
    </w:p>
    <w:p w:rsidR="00711456" w:rsidRDefault="00711456" w:rsidP="00711456">
      <w:pPr>
        <w:spacing w:after="0" w:line="240" w:lineRule="auto"/>
        <w:rPr>
          <w:rFonts w:ascii="Arial" w:hAnsi="Arial" w:cs="Arial"/>
          <w:b/>
          <w:sz w:val="20"/>
          <w:szCs w:val="20"/>
        </w:rPr>
      </w:pPr>
    </w:p>
    <w:tbl>
      <w:tblPr>
        <w:tblW w:w="9952" w:type="dxa"/>
        <w:tblInd w:w="137" w:type="dxa"/>
        <w:tblCellMar>
          <w:left w:w="70" w:type="dxa"/>
          <w:right w:w="70" w:type="dxa"/>
        </w:tblCellMar>
        <w:tblLook w:val="04A0" w:firstRow="1" w:lastRow="0" w:firstColumn="1" w:lastColumn="0" w:noHBand="0" w:noVBand="1"/>
      </w:tblPr>
      <w:tblGrid>
        <w:gridCol w:w="2754"/>
        <w:gridCol w:w="2237"/>
        <w:gridCol w:w="2626"/>
        <w:gridCol w:w="972"/>
        <w:gridCol w:w="1363"/>
      </w:tblGrid>
      <w:tr w:rsidR="00711456" w:rsidRPr="00297B82" w:rsidTr="008346E5">
        <w:trPr>
          <w:trHeight w:val="603"/>
        </w:trPr>
        <w:tc>
          <w:tcPr>
            <w:tcW w:w="2754"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711456" w:rsidRPr="0009726D" w:rsidRDefault="00711456" w:rsidP="008346E5">
            <w:pPr>
              <w:spacing w:after="0" w:line="240" w:lineRule="auto"/>
              <w:jc w:val="center"/>
              <w:rPr>
                <w:rFonts w:ascii="Arial" w:hAnsi="Arial" w:cs="Arial"/>
                <w:b/>
                <w:sz w:val="20"/>
                <w:szCs w:val="20"/>
              </w:rPr>
            </w:pPr>
            <w:r w:rsidRPr="0009726D">
              <w:rPr>
                <w:rFonts w:ascii="Arial" w:hAnsi="Arial" w:cs="Arial"/>
                <w:b/>
                <w:color w:val="FFFFFF" w:themeColor="background1"/>
                <w:sz w:val="20"/>
                <w:szCs w:val="20"/>
              </w:rPr>
              <w:t>Principes de sélection</w:t>
            </w:r>
          </w:p>
        </w:tc>
        <w:tc>
          <w:tcPr>
            <w:tcW w:w="4863" w:type="dxa"/>
            <w:gridSpan w:val="2"/>
            <w:tcBorders>
              <w:top w:val="single" w:sz="4" w:space="0" w:color="auto"/>
              <w:left w:val="nil"/>
              <w:bottom w:val="single" w:sz="4" w:space="0" w:color="auto"/>
              <w:right w:val="single" w:sz="4" w:space="0" w:color="000000"/>
            </w:tcBorders>
            <w:shd w:val="clear" w:color="auto" w:fill="1F4E79"/>
            <w:vAlign w:val="center"/>
            <w:hideMark/>
          </w:tcPr>
          <w:p w:rsidR="00711456" w:rsidRPr="0009726D" w:rsidRDefault="00711456" w:rsidP="008346E5">
            <w:pPr>
              <w:jc w:val="center"/>
              <w:rPr>
                <w:rFonts w:ascii="Arial" w:hAnsi="Arial" w:cs="Arial"/>
                <w:b/>
                <w:color w:val="FFFFFF"/>
                <w:sz w:val="20"/>
                <w:szCs w:val="20"/>
              </w:rPr>
            </w:pPr>
            <w:r w:rsidRPr="0009726D">
              <w:rPr>
                <w:rFonts w:ascii="Arial" w:hAnsi="Arial" w:cs="Arial"/>
                <w:b/>
                <w:color w:val="FFFFFF"/>
                <w:sz w:val="20"/>
                <w:szCs w:val="20"/>
              </w:rPr>
              <w:t>Critères de sélection</w:t>
            </w:r>
          </w:p>
        </w:tc>
        <w:tc>
          <w:tcPr>
            <w:tcW w:w="972" w:type="dxa"/>
            <w:tcBorders>
              <w:top w:val="single" w:sz="4" w:space="0" w:color="auto"/>
              <w:left w:val="nil"/>
              <w:bottom w:val="single" w:sz="4" w:space="0" w:color="auto"/>
              <w:right w:val="single" w:sz="4" w:space="0" w:color="auto"/>
            </w:tcBorders>
            <w:shd w:val="clear" w:color="auto" w:fill="1F4E79"/>
            <w:vAlign w:val="center"/>
            <w:hideMark/>
          </w:tcPr>
          <w:p w:rsidR="00711456" w:rsidRPr="0009726D" w:rsidRDefault="00711456" w:rsidP="008346E5">
            <w:pPr>
              <w:jc w:val="center"/>
              <w:rPr>
                <w:rFonts w:ascii="Arial" w:hAnsi="Arial" w:cs="Arial"/>
                <w:b/>
                <w:color w:val="FFFFFF"/>
                <w:sz w:val="20"/>
                <w:szCs w:val="20"/>
              </w:rPr>
            </w:pPr>
            <w:r w:rsidRPr="0009726D">
              <w:rPr>
                <w:rFonts w:ascii="Arial" w:hAnsi="Arial" w:cs="Arial"/>
                <w:b/>
                <w:color w:val="FFFFFF"/>
                <w:sz w:val="20"/>
                <w:szCs w:val="20"/>
              </w:rPr>
              <w:t>Nombre de points possible</w:t>
            </w:r>
          </w:p>
        </w:tc>
        <w:tc>
          <w:tcPr>
            <w:tcW w:w="1363" w:type="dxa"/>
            <w:tcBorders>
              <w:top w:val="single" w:sz="4" w:space="0" w:color="auto"/>
              <w:left w:val="nil"/>
              <w:bottom w:val="single" w:sz="4" w:space="0" w:color="auto"/>
              <w:right w:val="nil"/>
            </w:tcBorders>
            <w:shd w:val="clear" w:color="auto" w:fill="1F4E79"/>
            <w:vAlign w:val="center"/>
            <w:hideMark/>
          </w:tcPr>
          <w:p w:rsidR="00711456" w:rsidRPr="0009726D" w:rsidRDefault="00711456" w:rsidP="008346E5">
            <w:pPr>
              <w:jc w:val="center"/>
              <w:rPr>
                <w:rFonts w:ascii="Arial" w:hAnsi="Arial" w:cs="Arial"/>
                <w:b/>
                <w:color w:val="FFFFFF"/>
                <w:sz w:val="20"/>
                <w:szCs w:val="20"/>
              </w:rPr>
            </w:pPr>
            <w:r w:rsidRPr="0009726D">
              <w:rPr>
                <w:rFonts w:ascii="Arial" w:hAnsi="Arial" w:cs="Arial"/>
                <w:b/>
                <w:color w:val="FFFFFF"/>
                <w:sz w:val="20"/>
                <w:szCs w:val="20"/>
              </w:rPr>
              <w:t>Nombre maximal de points</w:t>
            </w:r>
          </w:p>
        </w:tc>
      </w:tr>
      <w:tr w:rsidR="00711456" w:rsidRPr="00297B82" w:rsidTr="008346E5">
        <w:trPr>
          <w:trHeight w:val="680"/>
        </w:trPr>
        <w:tc>
          <w:tcPr>
            <w:tcW w:w="2754" w:type="dxa"/>
            <w:vMerge w:val="restart"/>
            <w:tcBorders>
              <w:top w:val="nil"/>
              <w:left w:val="single" w:sz="4" w:space="0" w:color="auto"/>
              <w:bottom w:val="single" w:sz="4" w:space="0" w:color="auto"/>
              <w:right w:val="single" w:sz="4" w:space="0" w:color="auto"/>
            </w:tcBorders>
            <w:shd w:val="clear" w:color="auto" w:fill="auto"/>
            <w:vAlign w:val="center"/>
            <w:hideMark/>
          </w:tcPr>
          <w:p w:rsidR="00711456" w:rsidRPr="00C47AD5" w:rsidRDefault="00711456" w:rsidP="008346E5">
            <w:pPr>
              <w:spacing w:after="0" w:line="240" w:lineRule="auto"/>
              <w:rPr>
                <w:rFonts w:ascii="Arial" w:hAnsi="Arial" w:cs="Arial"/>
                <w:b/>
                <w:sz w:val="20"/>
                <w:szCs w:val="20"/>
              </w:rPr>
            </w:pPr>
            <w:r w:rsidRPr="00C47AD5">
              <w:rPr>
                <w:rFonts w:ascii="Arial" w:hAnsi="Arial" w:cs="Arial"/>
                <w:b/>
                <w:sz w:val="20"/>
                <w:szCs w:val="20"/>
              </w:rPr>
              <w:t>Pluralité des acteurs impliqués dans la coopération (partenariat public-privé) et complémentarité des acteurs associés en lien avec les objectifs du projet</w:t>
            </w:r>
          </w:p>
        </w:tc>
        <w:tc>
          <w:tcPr>
            <w:tcW w:w="2237" w:type="dxa"/>
            <w:vMerge w:val="restart"/>
            <w:tcBorders>
              <w:top w:val="nil"/>
              <w:left w:val="single" w:sz="4" w:space="0" w:color="auto"/>
              <w:bottom w:val="nil"/>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Diversité des acteurs impliqués dans la coopération, au regard des objectifs du projet</w:t>
            </w: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 xml:space="preserve">Partenariat réunissant 3 types d’acteurs différents dont un institut technique (ou équivalent) ou d'une structure de recherche </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val="restart"/>
            <w:tcBorders>
              <w:top w:val="nil"/>
              <w:left w:val="single" w:sz="4" w:space="0" w:color="auto"/>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8</w:t>
            </w:r>
          </w:p>
        </w:tc>
      </w:tr>
      <w:tr w:rsidR="00711456" w:rsidRPr="00297B82" w:rsidTr="008346E5">
        <w:trPr>
          <w:trHeight w:val="598"/>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Partenariat réunissant 4 types ou plus d’acteurs différents dont un institut technique (ou équivalent) ou d'une structure de recherche</w:t>
            </w:r>
          </w:p>
        </w:tc>
        <w:tc>
          <w:tcPr>
            <w:tcW w:w="972" w:type="dxa"/>
            <w:tcBorders>
              <w:top w:val="nil"/>
              <w:left w:val="nil"/>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6</w:t>
            </w:r>
          </w:p>
        </w:tc>
        <w:tc>
          <w:tcPr>
            <w:tcW w:w="1363" w:type="dxa"/>
            <w:vMerge/>
            <w:tcBorders>
              <w:top w:val="nil"/>
              <w:left w:val="single" w:sz="4" w:space="0" w:color="auto"/>
              <w:bottom w:val="nil"/>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741"/>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Complémentarité des acteurs impliqués dans la coopération, au regard des objectifs du projet</w:t>
            </w:r>
          </w:p>
        </w:tc>
        <w:tc>
          <w:tcPr>
            <w:tcW w:w="2626" w:type="dxa"/>
            <w:tcBorders>
              <w:top w:val="single" w:sz="8" w:space="0" w:color="auto"/>
              <w:left w:val="nil"/>
              <w:bottom w:val="nil"/>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Les compétences sont bien définies mais la complémentarité n'est pas établie OU les compétences et leur complémentarité sont insuffisantes</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nil"/>
              <w:left w:val="single" w:sz="4" w:space="0" w:color="auto"/>
              <w:bottom w:val="nil"/>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75"/>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both"/>
              <w:rPr>
                <w:rFonts w:ascii="Arial" w:eastAsia="Calibri" w:hAnsi="Arial" w:cs="Arial"/>
                <w:color w:val="000000"/>
                <w:sz w:val="16"/>
                <w:szCs w:val="16"/>
              </w:rPr>
            </w:pPr>
          </w:p>
        </w:tc>
        <w:tc>
          <w:tcPr>
            <w:tcW w:w="2626" w:type="dxa"/>
            <w:tcBorders>
              <w:top w:val="single" w:sz="4"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Les activités et les compétences sont bien définies mais la complémentarité est partielle.</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nil"/>
              <w:left w:val="single" w:sz="4" w:space="0" w:color="auto"/>
              <w:bottom w:val="nil"/>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653"/>
        </w:trPr>
        <w:tc>
          <w:tcPr>
            <w:tcW w:w="2754" w:type="dxa"/>
            <w:vMerge/>
            <w:tcBorders>
              <w:top w:val="nil"/>
              <w:left w:val="single" w:sz="4" w:space="0" w:color="auto"/>
              <w:bottom w:val="single" w:sz="12"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12" w:space="0" w:color="auto"/>
              <w:right w:val="single" w:sz="4" w:space="0" w:color="auto"/>
            </w:tcBorders>
            <w:vAlign w:val="center"/>
            <w:hideMark/>
          </w:tcPr>
          <w:p w:rsidR="00711456" w:rsidRPr="00297B82" w:rsidRDefault="00711456" w:rsidP="008346E5">
            <w:pPr>
              <w:jc w:val="both"/>
              <w:rPr>
                <w:rFonts w:ascii="Arial" w:eastAsia="Calibri" w:hAnsi="Arial" w:cs="Arial"/>
                <w:color w:val="000000"/>
                <w:sz w:val="16"/>
                <w:szCs w:val="16"/>
              </w:rPr>
            </w:pPr>
          </w:p>
        </w:tc>
        <w:tc>
          <w:tcPr>
            <w:tcW w:w="2626" w:type="dxa"/>
            <w:tcBorders>
              <w:top w:val="nil"/>
              <w:left w:val="nil"/>
              <w:bottom w:val="single" w:sz="12"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 xml:space="preserve">Les activités et les compétences des partenaires sont bien définies et assurent une bonne complémentarité entre les partenaires. </w:t>
            </w:r>
          </w:p>
        </w:tc>
        <w:tc>
          <w:tcPr>
            <w:tcW w:w="972" w:type="dxa"/>
            <w:tcBorders>
              <w:top w:val="nil"/>
              <w:left w:val="nil"/>
              <w:bottom w:val="single" w:sz="12"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nil"/>
              <w:left w:val="single" w:sz="4" w:space="0" w:color="auto"/>
              <w:bottom w:val="single" w:sz="12"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1045"/>
        </w:trPr>
        <w:tc>
          <w:tcPr>
            <w:tcW w:w="275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11456" w:rsidRPr="00C47AD5" w:rsidRDefault="00711456" w:rsidP="008346E5">
            <w:pPr>
              <w:spacing w:after="0" w:line="240" w:lineRule="auto"/>
              <w:rPr>
                <w:rFonts w:ascii="Arial" w:hAnsi="Arial" w:cs="Arial"/>
                <w:b/>
                <w:sz w:val="20"/>
                <w:szCs w:val="20"/>
              </w:rPr>
            </w:pPr>
            <w:r w:rsidRPr="00C47AD5">
              <w:rPr>
                <w:rFonts w:ascii="Arial" w:hAnsi="Arial" w:cs="Arial"/>
                <w:b/>
                <w:sz w:val="20"/>
                <w:szCs w:val="20"/>
              </w:rPr>
              <w:t xml:space="preserve">Capacité d’ingénierie du GO (capacités administratives et financières) </w:t>
            </w:r>
          </w:p>
        </w:tc>
        <w:tc>
          <w:tcPr>
            <w:tcW w:w="2237" w:type="dxa"/>
            <w:vMerge w:val="restart"/>
            <w:tcBorders>
              <w:top w:val="single" w:sz="12" w:space="0" w:color="auto"/>
              <w:left w:val="single" w:sz="4" w:space="0" w:color="auto"/>
              <w:bottom w:val="nil"/>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Définition claire et précise des fonctions et des responsabilités des membres du GO en termes de pilotage, animation et gestion de projet</w:t>
            </w:r>
          </w:p>
        </w:tc>
        <w:tc>
          <w:tcPr>
            <w:tcW w:w="2626" w:type="dxa"/>
            <w:tcBorders>
              <w:top w:val="single" w:sz="12"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Pas de chef(s) de projet, clairement désigné(s), ou sans compétence appropriée. Il n'y a pas de définition claire et précise des fonctions et des responsabilités des autres membres du GO dans la conduite du projet.</w:t>
            </w:r>
          </w:p>
        </w:tc>
        <w:tc>
          <w:tcPr>
            <w:tcW w:w="972" w:type="dxa"/>
            <w:tcBorders>
              <w:top w:val="single" w:sz="12"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6</w:t>
            </w:r>
          </w:p>
        </w:tc>
      </w:tr>
      <w:tr w:rsidR="00711456" w:rsidRPr="00297B82" w:rsidTr="008346E5">
        <w:trPr>
          <w:trHeight w:val="936"/>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Chef(s) de projet, clairement désigné(s) et avec compétence appropriée. Toutefois, il n'y a pas de définition claire et précise des fonctions et des responsabilités des membres du GO dans la conduite du projet.</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1059"/>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Chef(s) de projet, clairement désigné(s) et avec une compétence appropriée. Il y a une définition claire et précise des fonctions et des responsabilités des autres membres du GO dans la conduite du projet.</w:t>
            </w:r>
          </w:p>
        </w:tc>
        <w:tc>
          <w:tcPr>
            <w:tcW w:w="972" w:type="dxa"/>
            <w:tcBorders>
              <w:top w:val="nil"/>
              <w:left w:val="nil"/>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96"/>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nil"/>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Définition claire et précise de la composition des instances de gouvernance du projet et de leur fonctionnement</w:t>
            </w:r>
          </w:p>
        </w:tc>
        <w:tc>
          <w:tcPr>
            <w:tcW w:w="2626"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Non</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252"/>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Oui</w:t>
            </w:r>
          </w:p>
        </w:tc>
        <w:tc>
          <w:tcPr>
            <w:tcW w:w="972" w:type="dxa"/>
            <w:tcBorders>
              <w:top w:val="nil"/>
              <w:left w:val="nil"/>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287"/>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nil"/>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Un mode de pilotage et de gestion de projet est institué, avec liste des indicateurs de suivi et de pilotage du projet</w:t>
            </w:r>
          </w:p>
        </w:tc>
        <w:tc>
          <w:tcPr>
            <w:tcW w:w="2626"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Non</w:t>
            </w:r>
          </w:p>
        </w:tc>
        <w:tc>
          <w:tcPr>
            <w:tcW w:w="972" w:type="dxa"/>
            <w:tcBorders>
              <w:top w:val="single" w:sz="8" w:space="0" w:color="auto"/>
              <w:left w:val="nil"/>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72"/>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auto" w:fill="auto"/>
            <w:vAlign w:val="center"/>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Oui</w:t>
            </w:r>
          </w:p>
        </w:tc>
        <w:tc>
          <w:tcPr>
            <w:tcW w:w="972" w:type="dxa"/>
            <w:tcBorders>
              <w:top w:val="single" w:sz="4" w:space="0" w:color="auto"/>
              <w:left w:val="nil"/>
              <w:bottom w:val="nil"/>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93"/>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Implication financière des partenaires</w:t>
            </w:r>
          </w:p>
        </w:tc>
        <w:tc>
          <w:tcPr>
            <w:tcW w:w="2626" w:type="dxa"/>
            <w:tcBorders>
              <w:top w:val="single" w:sz="8" w:space="0" w:color="auto"/>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 xml:space="preserve">Présence de partenaires très fortement ou faiblement impliqués financièrement. </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852"/>
        </w:trPr>
        <w:tc>
          <w:tcPr>
            <w:tcW w:w="2754" w:type="dxa"/>
            <w:vMerge/>
            <w:tcBorders>
              <w:top w:val="nil"/>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12" w:space="0" w:color="auto"/>
              <w:right w:val="single" w:sz="4" w:space="0" w:color="auto"/>
            </w:tcBorders>
            <w:vAlign w:val="center"/>
            <w:hideMark/>
          </w:tcPr>
          <w:p w:rsidR="00711456" w:rsidRPr="00297B82" w:rsidRDefault="00711456" w:rsidP="008346E5">
            <w:pPr>
              <w:jc w:val="both"/>
              <w:rPr>
                <w:rFonts w:ascii="Arial" w:eastAsia="Calibri" w:hAnsi="Arial" w:cs="Arial"/>
                <w:color w:val="000000"/>
                <w:sz w:val="16"/>
                <w:szCs w:val="16"/>
              </w:rPr>
            </w:pPr>
          </w:p>
        </w:tc>
        <w:tc>
          <w:tcPr>
            <w:tcW w:w="2626" w:type="dxa"/>
            <w:tcBorders>
              <w:top w:val="nil"/>
              <w:left w:val="nil"/>
              <w:bottom w:val="single" w:sz="12"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Implication équilibrée des partenaires au regard des objectifs du projet. La part de chaque partenaire dans le cadre du budget ne dépasse pas 60% et ne se situe pas en-dessous de 10%.</w:t>
            </w:r>
          </w:p>
        </w:tc>
        <w:tc>
          <w:tcPr>
            <w:tcW w:w="972" w:type="dxa"/>
            <w:tcBorders>
              <w:top w:val="nil"/>
              <w:left w:val="nil"/>
              <w:bottom w:val="single" w:sz="12"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single" w:sz="12" w:space="0" w:color="auto"/>
              <w:left w:val="single" w:sz="4" w:space="0" w:color="auto"/>
              <w:bottom w:val="single" w:sz="12"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621"/>
        </w:trPr>
        <w:tc>
          <w:tcPr>
            <w:tcW w:w="27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1456" w:rsidRPr="00C47AD5" w:rsidRDefault="00711456" w:rsidP="008346E5">
            <w:pPr>
              <w:spacing w:after="0" w:line="240" w:lineRule="auto"/>
              <w:jc w:val="both"/>
              <w:rPr>
                <w:rFonts w:ascii="Arial" w:hAnsi="Arial" w:cs="Arial"/>
                <w:b/>
                <w:sz w:val="20"/>
                <w:szCs w:val="20"/>
              </w:rPr>
            </w:pPr>
            <w:r w:rsidRPr="00C47AD5">
              <w:rPr>
                <w:rFonts w:ascii="Arial" w:hAnsi="Arial" w:cs="Arial"/>
                <w:b/>
                <w:sz w:val="20"/>
                <w:szCs w:val="20"/>
              </w:rPr>
              <w:t>Caractère ascendant du projet (à l’initiative des agriculteurs ou propriétaires forestiers)</w:t>
            </w:r>
          </w:p>
        </w:tc>
        <w:tc>
          <w:tcPr>
            <w:tcW w:w="2237"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Démarche ascendante</w:t>
            </w:r>
          </w:p>
        </w:tc>
        <w:tc>
          <w:tcPr>
            <w:tcW w:w="2626" w:type="dxa"/>
            <w:tcBorders>
              <w:top w:val="single" w:sz="12" w:space="0" w:color="auto"/>
              <w:left w:val="nil"/>
              <w:bottom w:val="single" w:sz="12"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Les bénéficiaires finaux ne font pas partie du partenariat et ne sont pas impliqués dans les instances de gouvernance du projet</w:t>
            </w:r>
          </w:p>
        </w:tc>
        <w:tc>
          <w:tcPr>
            <w:tcW w:w="972" w:type="dxa"/>
            <w:tcBorders>
              <w:top w:val="single" w:sz="12" w:space="0" w:color="auto"/>
              <w:left w:val="nil"/>
              <w:bottom w:val="single" w:sz="12"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-5</w:t>
            </w:r>
          </w:p>
        </w:tc>
        <w:tc>
          <w:tcPr>
            <w:tcW w:w="1363"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5</w:t>
            </w:r>
          </w:p>
        </w:tc>
      </w:tr>
      <w:tr w:rsidR="00711456" w:rsidRPr="00297B82" w:rsidTr="008346E5">
        <w:trPr>
          <w:trHeight w:val="50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12" w:space="0" w:color="auto"/>
              <w:left w:val="single" w:sz="4" w:space="0" w:color="auto"/>
              <w:bottom w:val="single" w:sz="12" w:space="0" w:color="000000"/>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single" w:sz="12" w:space="0" w:color="auto"/>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Les bénéficiaires finaux font partie du partenariat mais ne sont pas impliqués dans les instances de gouvernance du projet</w:t>
            </w:r>
          </w:p>
        </w:tc>
        <w:tc>
          <w:tcPr>
            <w:tcW w:w="972" w:type="dxa"/>
            <w:tcBorders>
              <w:top w:val="single" w:sz="12"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tcBorders>
              <w:top w:val="single" w:sz="12" w:space="0" w:color="auto"/>
              <w:left w:val="single" w:sz="4" w:space="0" w:color="auto"/>
              <w:bottom w:val="single" w:sz="12" w:space="0" w:color="000000"/>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45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4" w:space="0" w:color="auto"/>
              <w:left w:val="single" w:sz="4" w:space="0" w:color="auto"/>
              <w:bottom w:val="single" w:sz="12" w:space="0" w:color="auto"/>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nil"/>
              <w:left w:val="nil"/>
              <w:bottom w:val="single" w:sz="12"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Les bénéficiaires finaux font partie du partenariat et sont impliqués dans les instances de gouvernance du projet</w:t>
            </w:r>
          </w:p>
        </w:tc>
        <w:tc>
          <w:tcPr>
            <w:tcW w:w="972" w:type="dxa"/>
            <w:tcBorders>
              <w:top w:val="nil"/>
              <w:left w:val="nil"/>
              <w:bottom w:val="single" w:sz="12"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5</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74"/>
        </w:trPr>
        <w:tc>
          <w:tcPr>
            <w:tcW w:w="2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C47AD5" w:rsidRDefault="00711456" w:rsidP="008346E5">
            <w:pPr>
              <w:spacing w:after="0" w:line="240" w:lineRule="auto"/>
              <w:jc w:val="both"/>
              <w:rPr>
                <w:rFonts w:ascii="Arial" w:hAnsi="Arial" w:cs="Arial"/>
                <w:b/>
                <w:sz w:val="20"/>
                <w:szCs w:val="20"/>
              </w:rPr>
            </w:pPr>
            <w:r w:rsidRPr="00C47AD5">
              <w:rPr>
                <w:rFonts w:ascii="Arial" w:hAnsi="Arial" w:cs="Arial"/>
                <w:b/>
                <w:sz w:val="20"/>
                <w:szCs w:val="20"/>
              </w:rPr>
              <w:t>Prise en compte de la qualité scientifique et technique du projet. L’avis d’un comité d’experts</w:t>
            </w:r>
            <w:r w:rsidRPr="00C47AD5">
              <w:rPr>
                <w:rFonts w:ascii="Arial" w:hAnsi="Arial" w:cs="Arial"/>
                <w:b/>
                <w:sz w:val="20"/>
                <w:szCs w:val="20"/>
              </w:rPr>
              <w:br/>
              <w:t>associant toute personne ou organisme qualifié sur la thématique pourra être requis à l’initiative de l’autorité de gestion.</w:t>
            </w:r>
          </w:p>
        </w:tc>
        <w:tc>
          <w:tcPr>
            <w:tcW w:w="2237" w:type="dxa"/>
            <w:vMerge w:val="restart"/>
            <w:tcBorders>
              <w:top w:val="single" w:sz="12" w:space="0" w:color="auto"/>
              <w:left w:val="single" w:sz="4" w:space="0" w:color="auto"/>
              <w:bottom w:val="nil"/>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Réponse aux thématiques scientifiques cibles de l'appel à projets</w:t>
            </w:r>
          </w:p>
        </w:tc>
        <w:tc>
          <w:tcPr>
            <w:tcW w:w="2626" w:type="dxa"/>
            <w:tcBorders>
              <w:top w:val="single" w:sz="12" w:space="0" w:color="auto"/>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 projet ne répond à aucune thématique de l'appel à projets</w:t>
            </w:r>
          </w:p>
        </w:tc>
        <w:tc>
          <w:tcPr>
            <w:tcW w:w="972" w:type="dxa"/>
            <w:tcBorders>
              <w:top w:val="single" w:sz="12"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10</w:t>
            </w:r>
          </w:p>
        </w:tc>
      </w:tr>
      <w:tr w:rsidR="00711456" w:rsidRPr="00297B82" w:rsidTr="008346E5">
        <w:trPr>
          <w:trHeight w:val="417"/>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 projet répond à une thématique de l'appel à projets</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43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single" w:sz="4" w:space="0" w:color="auto"/>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Le projet répond à au moins deux thématiques de l'appel à projets</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86"/>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Capacité à répondre à un besoin exprimé par les</w:t>
            </w:r>
            <w:r w:rsidRPr="00420420">
              <w:rPr>
                <w:rFonts w:ascii="Arial" w:eastAsia="Calibri" w:hAnsi="Arial" w:cs="Arial"/>
                <w:color w:val="000000"/>
                <w:sz w:val="18"/>
                <w:szCs w:val="16"/>
              </w:rPr>
              <w:br/>
              <w:t>utilisateurs finaux</w:t>
            </w:r>
          </w:p>
        </w:tc>
        <w:tc>
          <w:tcPr>
            <w:tcW w:w="2626" w:type="dxa"/>
            <w:tcBorders>
              <w:top w:val="single" w:sz="4" w:space="0" w:color="auto"/>
              <w:left w:val="nil"/>
              <w:bottom w:val="nil"/>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Bénéficiaires finaux de l'innovation non ciblés</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Arial" w:eastAsia="Calibri" w:hAnsi="Arial" w:cs="Arial"/>
                <w:color w:val="000000"/>
                <w:sz w:val="16"/>
                <w:szCs w:val="16"/>
              </w:rPr>
            </w:pPr>
          </w:p>
        </w:tc>
      </w:tr>
      <w:tr w:rsidR="00711456" w:rsidRPr="00297B82" w:rsidTr="008346E5">
        <w:trPr>
          <w:trHeight w:val="39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8" w:space="0" w:color="000000"/>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single" w:sz="4" w:space="0" w:color="auto"/>
              <w:left w:val="nil"/>
              <w:bottom w:val="single" w:sz="4" w:space="0" w:color="auto"/>
              <w:right w:val="single" w:sz="4" w:space="0" w:color="auto"/>
            </w:tcBorders>
            <w:shd w:val="clear" w:color="auto" w:fill="auto"/>
            <w:hideMark/>
          </w:tcPr>
          <w:p w:rsidR="00711456" w:rsidRPr="00297B82" w:rsidRDefault="00711456" w:rsidP="008346E5">
            <w:pPr>
              <w:jc w:val="both"/>
              <w:rPr>
                <w:rFonts w:ascii="Arial" w:eastAsia="Calibri" w:hAnsi="Arial" w:cs="Arial"/>
                <w:color w:val="000000"/>
                <w:sz w:val="16"/>
                <w:szCs w:val="16"/>
              </w:rPr>
            </w:pPr>
            <w:r w:rsidRPr="00297B82">
              <w:rPr>
                <w:rFonts w:ascii="Arial" w:eastAsia="Calibri" w:hAnsi="Arial" w:cs="Arial"/>
                <w:color w:val="000000"/>
                <w:sz w:val="16"/>
                <w:szCs w:val="16"/>
              </w:rPr>
              <w:t>Bénéficiaires finaux ciblés mais besoin non démontré</w:t>
            </w:r>
          </w:p>
        </w:tc>
        <w:tc>
          <w:tcPr>
            <w:tcW w:w="972" w:type="dxa"/>
            <w:tcBorders>
              <w:top w:val="nil"/>
              <w:left w:val="nil"/>
              <w:bottom w:val="nil"/>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383"/>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8" w:space="0" w:color="000000"/>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nil"/>
              <w:left w:val="nil"/>
              <w:bottom w:val="single" w:sz="8"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Bénéficiaires finaux ciblés et besoin démontré</w:t>
            </w:r>
          </w:p>
        </w:tc>
        <w:tc>
          <w:tcPr>
            <w:tcW w:w="972" w:type="dxa"/>
            <w:tcBorders>
              <w:top w:val="single" w:sz="4" w:space="0" w:color="auto"/>
              <w:left w:val="nil"/>
              <w:bottom w:val="single" w:sz="8" w:space="0" w:color="auto"/>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31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nil"/>
              <w:left w:val="single" w:sz="4" w:space="0" w:color="auto"/>
              <w:bottom w:val="single" w:sz="8" w:space="0" w:color="000000"/>
              <w:right w:val="single" w:sz="4" w:space="0" w:color="auto"/>
            </w:tcBorders>
            <w:shd w:val="clear" w:color="auto" w:fill="auto"/>
            <w:vAlign w:val="center"/>
            <w:hideMark/>
          </w:tcPr>
          <w:p w:rsidR="00711456" w:rsidRPr="00420420" w:rsidRDefault="00711456" w:rsidP="008346E5">
            <w:pPr>
              <w:rPr>
                <w:rFonts w:ascii="Calibri" w:hAnsi="Calibri"/>
                <w:color w:val="000000"/>
                <w:sz w:val="18"/>
              </w:rPr>
            </w:pPr>
            <w:r w:rsidRPr="00420420">
              <w:rPr>
                <w:rFonts w:ascii="Arial" w:eastAsia="Calibri" w:hAnsi="Arial" w:cs="Arial"/>
                <w:color w:val="000000"/>
                <w:sz w:val="18"/>
                <w:szCs w:val="16"/>
              </w:rPr>
              <w:t>Caractère innovant du projet pour les utilisateurs finaux</w:t>
            </w: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Nul</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72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single" w:sz="8" w:space="0" w:color="000000"/>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Amélioration faible de l'efficience par modification (de pratiques, procédés, procédures...) ou substitution (de pratiques, procédés, procédures, produits, services…)</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662"/>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single" w:sz="8" w:space="0" w:color="000000"/>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Amélioration moyenne de l'efficience par modification (de pratiques, procédés, procédures...) ou substitution (de pratiques, procédés, procédures, produits, services…)</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2</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564"/>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single" w:sz="8" w:space="0" w:color="000000"/>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nil"/>
              <w:left w:val="nil"/>
              <w:bottom w:val="single" w:sz="8"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 xml:space="preserve">Amélioration forte de l'efficience par </w:t>
            </w:r>
            <w:proofErr w:type="spellStart"/>
            <w:r w:rsidRPr="00297B82">
              <w:rPr>
                <w:rFonts w:ascii="Arial" w:eastAsia="Calibri" w:hAnsi="Arial" w:cs="Arial"/>
                <w:color w:val="000000"/>
                <w:sz w:val="16"/>
                <w:szCs w:val="16"/>
              </w:rPr>
              <w:t>reconception</w:t>
            </w:r>
            <w:proofErr w:type="spellEnd"/>
            <w:r w:rsidRPr="00297B82">
              <w:rPr>
                <w:rFonts w:ascii="Arial" w:eastAsia="Calibri" w:hAnsi="Arial" w:cs="Arial"/>
                <w:color w:val="000000"/>
                <w:sz w:val="16"/>
                <w:szCs w:val="16"/>
              </w:rPr>
              <w:t xml:space="preserve"> du système</w:t>
            </w:r>
          </w:p>
        </w:tc>
        <w:tc>
          <w:tcPr>
            <w:tcW w:w="972" w:type="dxa"/>
            <w:tcBorders>
              <w:top w:val="nil"/>
              <w:left w:val="nil"/>
              <w:bottom w:val="single" w:sz="8"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247"/>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nil"/>
              <w:left w:val="single" w:sz="4" w:space="0" w:color="auto"/>
              <w:bottom w:val="nil"/>
              <w:right w:val="single" w:sz="4" w:space="0" w:color="auto"/>
            </w:tcBorders>
            <w:shd w:val="clear" w:color="000000" w:fill="FFFFFF"/>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Pertinence des techniques envisagées au regard de la thématique et des objectifs du projet</w:t>
            </w: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Non</w:t>
            </w:r>
          </w:p>
        </w:tc>
        <w:tc>
          <w:tcPr>
            <w:tcW w:w="972" w:type="dxa"/>
            <w:tcBorders>
              <w:top w:val="nil"/>
              <w:left w:val="nil"/>
              <w:bottom w:val="nil"/>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40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nil"/>
              <w:left w:val="single" w:sz="4" w:space="0" w:color="auto"/>
              <w:bottom w:val="nil"/>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000000" w:fill="FFFFFF"/>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Oui</w:t>
            </w:r>
          </w:p>
        </w:tc>
        <w:tc>
          <w:tcPr>
            <w:tcW w:w="972" w:type="dxa"/>
            <w:tcBorders>
              <w:top w:val="single" w:sz="4" w:space="0" w:color="auto"/>
              <w:left w:val="nil"/>
              <w:bottom w:val="nil"/>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18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Rigueur de définition des résultats intermédiaires et finaux (livrables) ;</w:t>
            </w:r>
          </w:p>
        </w:tc>
        <w:tc>
          <w:tcPr>
            <w:tcW w:w="2626" w:type="dxa"/>
            <w:tcBorders>
              <w:top w:val="single" w:sz="8" w:space="0" w:color="auto"/>
              <w:left w:val="nil"/>
              <w:bottom w:val="single" w:sz="4" w:space="0" w:color="auto"/>
              <w:right w:val="single" w:sz="4" w:space="0" w:color="auto"/>
            </w:tcBorders>
            <w:shd w:val="clear" w:color="000000" w:fill="FFFFFF"/>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Non</w:t>
            </w:r>
          </w:p>
        </w:tc>
        <w:tc>
          <w:tcPr>
            <w:tcW w:w="972" w:type="dxa"/>
            <w:tcBorders>
              <w:top w:val="single" w:sz="8" w:space="0" w:color="auto"/>
              <w:left w:val="nil"/>
              <w:bottom w:val="nil"/>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260"/>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4" w:space="0" w:color="auto"/>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single" w:sz="8" w:space="0" w:color="auto"/>
              <w:right w:val="single" w:sz="4" w:space="0" w:color="auto"/>
            </w:tcBorders>
            <w:shd w:val="clear" w:color="000000" w:fill="FFFFFF"/>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Oui</w:t>
            </w:r>
          </w:p>
        </w:tc>
        <w:tc>
          <w:tcPr>
            <w:tcW w:w="972" w:type="dxa"/>
            <w:tcBorders>
              <w:top w:val="single" w:sz="4" w:space="0" w:color="auto"/>
              <w:left w:val="nil"/>
              <w:bottom w:val="single" w:sz="8" w:space="0" w:color="auto"/>
              <w:right w:val="single" w:sz="4" w:space="0" w:color="auto"/>
            </w:tcBorders>
            <w:shd w:val="clear" w:color="000000" w:fill="FFFFFF"/>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414"/>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Qualité du dimensionnement du projet (entre objectifs / moyens humains et budgétaires mobilisés / durée du projet)</w:t>
            </w:r>
          </w:p>
        </w:tc>
        <w:tc>
          <w:tcPr>
            <w:tcW w:w="2626"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Le dimensionnement du projet est insuffisant</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348"/>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711456" w:rsidRPr="00420420" w:rsidRDefault="00711456" w:rsidP="008346E5">
            <w:pPr>
              <w:rPr>
                <w:rFonts w:ascii="Calibri" w:hAnsi="Calibri"/>
                <w:color w:val="000000"/>
                <w:sz w:val="18"/>
              </w:rPr>
            </w:pPr>
          </w:p>
        </w:tc>
        <w:tc>
          <w:tcPr>
            <w:tcW w:w="2626" w:type="dxa"/>
            <w:tcBorders>
              <w:top w:val="single" w:sz="4" w:space="0" w:color="auto"/>
              <w:left w:val="nil"/>
              <w:bottom w:val="single" w:sz="4" w:space="0" w:color="auto"/>
              <w:right w:val="single" w:sz="4" w:space="0" w:color="auto"/>
            </w:tcBorders>
            <w:shd w:val="clear" w:color="auto" w:fill="auto"/>
            <w:vAlign w:val="center"/>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Le dimensionnement du projet est suffisant</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11456" w:rsidRPr="00297B82" w:rsidRDefault="00711456" w:rsidP="008346E5">
            <w:pPr>
              <w:jc w:val="center"/>
              <w:rPr>
                <w:rFonts w:ascii="Calibri" w:hAnsi="Calibri"/>
                <w:color w:val="000000"/>
              </w:rPr>
            </w:pPr>
          </w:p>
        </w:tc>
      </w:tr>
      <w:tr w:rsidR="00711456" w:rsidRPr="00297B82" w:rsidTr="008346E5">
        <w:trPr>
          <w:trHeight w:val="774"/>
        </w:trPr>
        <w:tc>
          <w:tcPr>
            <w:tcW w:w="2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C47AD5" w:rsidRDefault="00711456" w:rsidP="008346E5">
            <w:pPr>
              <w:spacing w:after="0" w:line="240" w:lineRule="auto"/>
              <w:rPr>
                <w:rFonts w:ascii="Arial" w:hAnsi="Arial" w:cs="Arial"/>
                <w:b/>
                <w:sz w:val="20"/>
                <w:szCs w:val="20"/>
              </w:rPr>
            </w:pPr>
            <w:r w:rsidRPr="00C47AD5">
              <w:rPr>
                <w:rFonts w:ascii="Arial" w:hAnsi="Arial" w:cs="Arial"/>
                <w:b/>
                <w:sz w:val="20"/>
                <w:szCs w:val="20"/>
              </w:rPr>
              <w:t>Stratégie de valorisation et de diffusion des résultats</w:t>
            </w:r>
            <w:r w:rsidRPr="00C47AD5">
              <w:rPr>
                <w:rFonts w:ascii="Arial" w:hAnsi="Arial" w:cs="Arial"/>
                <w:b/>
                <w:sz w:val="20"/>
                <w:szCs w:val="20"/>
              </w:rPr>
              <w:br/>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Pertinence de la stratégie de valorisation et de diffusion des résultats, au-delà des membres du groupe opérationnel</w:t>
            </w:r>
          </w:p>
        </w:tc>
        <w:tc>
          <w:tcPr>
            <w:tcW w:w="2626" w:type="dxa"/>
            <w:tcBorders>
              <w:top w:val="single" w:sz="4" w:space="0" w:color="auto"/>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Les actions de valorisation et de diffusion /moyens/livra</w:t>
            </w:r>
            <w:r>
              <w:rPr>
                <w:rFonts w:ascii="Arial" w:eastAsia="Calibri" w:hAnsi="Arial" w:cs="Arial"/>
                <w:color w:val="000000"/>
                <w:sz w:val="16"/>
                <w:szCs w:val="16"/>
              </w:rPr>
              <w:t xml:space="preserve">bles définies dans la stratégie </w:t>
            </w:r>
            <w:r w:rsidRPr="00297B82">
              <w:rPr>
                <w:rFonts w:ascii="Arial" w:eastAsia="Calibri" w:hAnsi="Arial" w:cs="Arial"/>
                <w:color w:val="000000"/>
                <w:sz w:val="16"/>
                <w:szCs w:val="16"/>
              </w:rPr>
              <w:t>sont peu détaillé</w:t>
            </w:r>
            <w:r>
              <w:rPr>
                <w:rFonts w:ascii="Arial" w:eastAsia="Calibri" w:hAnsi="Arial" w:cs="Arial"/>
                <w:color w:val="000000"/>
                <w:sz w:val="16"/>
                <w:szCs w:val="16"/>
              </w:rPr>
              <w:t>e</w:t>
            </w:r>
            <w:r w:rsidRPr="00297B82">
              <w:rPr>
                <w:rFonts w:ascii="Arial" w:eastAsia="Calibri" w:hAnsi="Arial" w:cs="Arial"/>
                <w:color w:val="000000"/>
                <w:sz w:val="16"/>
                <w:szCs w:val="16"/>
              </w:rPr>
              <w:t>s. Les moyens sont faibles pour déployer la stratégie.</w:t>
            </w:r>
          </w:p>
        </w:tc>
        <w:tc>
          <w:tcPr>
            <w:tcW w:w="972" w:type="dxa"/>
            <w:tcBorders>
              <w:top w:val="single" w:sz="4" w:space="0" w:color="auto"/>
              <w:left w:val="nil"/>
              <w:bottom w:val="single" w:sz="4" w:space="0" w:color="auto"/>
              <w:right w:val="single" w:sz="4" w:space="0" w:color="auto"/>
            </w:tcBorders>
            <w:shd w:val="clear" w:color="auto" w:fill="auto"/>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6</w:t>
            </w:r>
          </w:p>
        </w:tc>
      </w:tr>
      <w:tr w:rsidR="00711456" w:rsidRPr="00297B82" w:rsidTr="008346E5">
        <w:trPr>
          <w:trHeight w:val="785"/>
        </w:trPr>
        <w:tc>
          <w:tcPr>
            <w:tcW w:w="2754" w:type="dxa"/>
            <w:vMerge/>
            <w:tcBorders>
              <w:top w:val="single" w:sz="12"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12" w:space="0" w:color="auto"/>
              <w:left w:val="single" w:sz="4" w:space="0" w:color="auto"/>
              <w:bottom w:val="single" w:sz="4" w:space="0" w:color="auto"/>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Les actions de valorisation et de diffusion /moyens/livrables défini</w:t>
            </w:r>
            <w:r>
              <w:rPr>
                <w:rFonts w:ascii="Arial" w:eastAsia="Calibri" w:hAnsi="Arial" w:cs="Arial"/>
                <w:color w:val="000000"/>
                <w:sz w:val="16"/>
                <w:szCs w:val="16"/>
              </w:rPr>
              <w:t>e</w:t>
            </w:r>
            <w:r w:rsidRPr="00297B82">
              <w:rPr>
                <w:rFonts w:ascii="Arial" w:eastAsia="Calibri" w:hAnsi="Arial" w:cs="Arial"/>
                <w:color w:val="000000"/>
                <w:sz w:val="16"/>
                <w:szCs w:val="16"/>
              </w:rPr>
              <w:t>s dans la stratégie sont peu détaillé</w:t>
            </w:r>
            <w:r>
              <w:rPr>
                <w:rFonts w:ascii="Arial" w:eastAsia="Calibri" w:hAnsi="Arial" w:cs="Arial"/>
                <w:color w:val="000000"/>
                <w:sz w:val="16"/>
                <w:szCs w:val="16"/>
              </w:rPr>
              <w:t>e</w:t>
            </w:r>
            <w:r w:rsidRPr="00297B82">
              <w:rPr>
                <w:rFonts w:ascii="Arial" w:eastAsia="Calibri" w:hAnsi="Arial" w:cs="Arial"/>
                <w:color w:val="000000"/>
                <w:sz w:val="16"/>
                <w:szCs w:val="16"/>
              </w:rPr>
              <w:t>s mais les moyens prévus sont suffisants pour déployer la stratégie.</w:t>
            </w:r>
          </w:p>
        </w:tc>
        <w:tc>
          <w:tcPr>
            <w:tcW w:w="972" w:type="dxa"/>
            <w:tcBorders>
              <w:top w:val="nil"/>
              <w:left w:val="nil"/>
              <w:bottom w:val="single" w:sz="4" w:space="0" w:color="auto"/>
              <w:right w:val="single" w:sz="4" w:space="0" w:color="auto"/>
            </w:tcBorders>
            <w:shd w:val="clear" w:color="auto" w:fill="auto"/>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12"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Arial" w:eastAsia="Calibri" w:hAnsi="Arial" w:cs="Arial"/>
                <w:color w:val="000000"/>
                <w:sz w:val="16"/>
                <w:szCs w:val="16"/>
              </w:rPr>
            </w:pPr>
          </w:p>
        </w:tc>
      </w:tr>
      <w:tr w:rsidR="00711456" w:rsidRPr="00297B82" w:rsidTr="008346E5">
        <w:trPr>
          <w:trHeight w:val="524"/>
        </w:trPr>
        <w:tc>
          <w:tcPr>
            <w:tcW w:w="2754" w:type="dxa"/>
            <w:vMerge/>
            <w:tcBorders>
              <w:top w:val="single" w:sz="12"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12" w:space="0" w:color="auto"/>
              <w:left w:val="single" w:sz="4" w:space="0" w:color="auto"/>
              <w:bottom w:val="single" w:sz="4" w:space="0" w:color="auto"/>
              <w:right w:val="single" w:sz="4" w:space="0" w:color="auto"/>
            </w:tcBorders>
            <w:vAlign w:val="center"/>
            <w:hideMark/>
          </w:tcPr>
          <w:p w:rsidR="00711456" w:rsidRPr="00420420" w:rsidRDefault="00711456" w:rsidP="008346E5">
            <w:pPr>
              <w:rPr>
                <w:rFonts w:ascii="Arial" w:eastAsia="Calibri" w:hAnsi="Arial" w:cs="Arial"/>
                <w:color w:val="000000"/>
                <w:sz w:val="18"/>
                <w:szCs w:val="16"/>
              </w:rPr>
            </w:pPr>
          </w:p>
        </w:tc>
        <w:tc>
          <w:tcPr>
            <w:tcW w:w="2626" w:type="dxa"/>
            <w:tcBorders>
              <w:top w:val="nil"/>
              <w:left w:val="nil"/>
              <w:bottom w:val="nil"/>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Les actions de valorisation et de diffusion /moyens/livrables définis dans la stratégie sont détaillées. Les moyens sont suffisants.</w:t>
            </w:r>
          </w:p>
        </w:tc>
        <w:tc>
          <w:tcPr>
            <w:tcW w:w="972" w:type="dxa"/>
            <w:tcBorders>
              <w:top w:val="nil"/>
              <w:left w:val="nil"/>
              <w:bottom w:val="nil"/>
              <w:right w:val="single" w:sz="4" w:space="0" w:color="auto"/>
            </w:tcBorders>
            <w:shd w:val="clear" w:color="auto" w:fill="auto"/>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tcBorders>
              <w:top w:val="single" w:sz="12"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Arial" w:eastAsia="Calibri" w:hAnsi="Arial" w:cs="Arial"/>
                <w:color w:val="000000"/>
                <w:sz w:val="16"/>
                <w:szCs w:val="16"/>
              </w:rPr>
            </w:pPr>
          </w:p>
        </w:tc>
      </w:tr>
      <w:tr w:rsidR="00711456" w:rsidRPr="00297B82" w:rsidTr="008346E5">
        <w:trPr>
          <w:trHeight w:val="509"/>
        </w:trPr>
        <w:tc>
          <w:tcPr>
            <w:tcW w:w="2754" w:type="dxa"/>
            <w:vMerge/>
            <w:tcBorders>
              <w:top w:val="single" w:sz="12"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11456" w:rsidRPr="00420420" w:rsidRDefault="00711456" w:rsidP="008346E5">
            <w:pPr>
              <w:rPr>
                <w:rFonts w:ascii="Arial" w:eastAsia="Calibri" w:hAnsi="Arial" w:cs="Arial"/>
                <w:color w:val="000000"/>
                <w:sz w:val="18"/>
                <w:szCs w:val="16"/>
              </w:rPr>
            </w:pPr>
            <w:r w:rsidRPr="00420420">
              <w:rPr>
                <w:rFonts w:ascii="Arial" w:eastAsia="Calibri" w:hAnsi="Arial" w:cs="Arial"/>
                <w:color w:val="000000"/>
                <w:sz w:val="18"/>
                <w:szCs w:val="16"/>
              </w:rPr>
              <w:t>Adéquation de la stratégie au regard des publics cibles.</w:t>
            </w:r>
          </w:p>
        </w:tc>
        <w:tc>
          <w:tcPr>
            <w:tcW w:w="2626" w:type="dxa"/>
            <w:tcBorders>
              <w:top w:val="single" w:sz="8" w:space="0" w:color="auto"/>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La stratégie n'est pas adaptée aux  publics cibles du projet.</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0</w:t>
            </w:r>
          </w:p>
        </w:tc>
        <w:tc>
          <w:tcPr>
            <w:tcW w:w="1363" w:type="dxa"/>
            <w:vMerge/>
            <w:tcBorders>
              <w:top w:val="single" w:sz="12"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Arial" w:eastAsia="Calibri" w:hAnsi="Arial" w:cs="Arial"/>
                <w:color w:val="000000"/>
                <w:sz w:val="16"/>
                <w:szCs w:val="16"/>
              </w:rPr>
            </w:pPr>
          </w:p>
        </w:tc>
      </w:tr>
      <w:tr w:rsidR="00711456" w:rsidRPr="00297B82" w:rsidTr="008346E5">
        <w:trPr>
          <w:trHeight w:val="393"/>
        </w:trPr>
        <w:tc>
          <w:tcPr>
            <w:tcW w:w="2754" w:type="dxa"/>
            <w:vMerge/>
            <w:tcBorders>
              <w:top w:val="single" w:sz="12"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Calibri" w:hAnsi="Calibri"/>
                <w:color w:val="000000"/>
              </w:rPr>
            </w:pP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La stratégie est adaptée aux utilisateurs ciblés par le projet.</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1</w:t>
            </w:r>
          </w:p>
        </w:tc>
        <w:tc>
          <w:tcPr>
            <w:tcW w:w="1363" w:type="dxa"/>
            <w:vMerge/>
            <w:tcBorders>
              <w:top w:val="single" w:sz="12"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Calibri" w:hAnsi="Calibri"/>
                <w:color w:val="000000"/>
              </w:rPr>
            </w:pPr>
          </w:p>
        </w:tc>
      </w:tr>
      <w:tr w:rsidR="00711456" w:rsidRPr="00297B82" w:rsidTr="008346E5">
        <w:trPr>
          <w:trHeight w:val="764"/>
        </w:trPr>
        <w:tc>
          <w:tcPr>
            <w:tcW w:w="2754" w:type="dxa"/>
            <w:vMerge/>
            <w:tcBorders>
              <w:top w:val="single" w:sz="12" w:space="0" w:color="auto"/>
              <w:left w:val="single" w:sz="4" w:space="0" w:color="auto"/>
              <w:bottom w:val="single" w:sz="4" w:space="0" w:color="auto"/>
              <w:right w:val="single" w:sz="4" w:space="0" w:color="auto"/>
            </w:tcBorders>
            <w:vAlign w:val="center"/>
            <w:hideMark/>
          </w:tcPr>
          <w:p w:rsidR="00711456" w:rsidRPr="00C47AD5" w:rsidRDefault="00711456" w:rsidP="008346E5">
            <w:pPr>
              <w:spacing w:after="0" w:line="240" w:lineRule="auto"/>
              <w:jc w:val="both"/>
              <w:rPr>
                <w:rFonts w:ascii="Arial" w:hAnsi="Arial" w:cs="Arial"/>
                <w:b/>
                <w:sz w:val="20"/>
                <w:szCs w:val="20"/>
              </w:rPr>
            </w:pPr>
          </w:p>
        </w:tc>
        <w:tc>
          <w:tcPr>
            <w:tcW w:w="2237" w:type="dxa"/>
            <w:vMerge/>
            <w:tcBorders>
              <w:top w:val="single" w:sz="8"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Calibri" w:hAnsi="Calibri"/>
                <w:color w:val="000000"/>
              </w:rPr>
            </w:pPr>
          </w:p>
        </w:tc>
        <w:tc>
          <w:tcPr>
            <w:tcW w:w="2626" w:type="dxa"/>
            <w:tcBorders>
              <w:top w:val="nil"/>
              <w:left w:val="nil"/>
              <w:bottom w:val="single" w:sz="4" w:space="0" w:color="auto"/>
              <w:right w:val="single" w:sz="4" w:space="0" w:color="auto"/>
            </w:tcBorders>
            <w:shd w:val="clear" w:color="auto" w:fill="auto"/>
            <w:hideMark/>
          </w:tcPr>
          <w:p w:rsidR="00711456" w:rsidRPr="00297B82" w:rsidRDefault="00711456" w:rsidP="008346E5">
            <w:pPr>
              <w:rPr>
                <w:rFonts w:ascii="Arial" w:eastAsia="Calibri" w:hAnsi="Arial" w:cs="Arial"/>
                <w:color w:val="000000"/>
                <w:sz w:val="16"/>
                <w:szCs w:val="16"/>
              </w:rPr>
            </w:pPr>
            <w:r w:rsidRPr="00297B82">
              <w:rPr>
                <w:rFonts w:ascii="Arial" w:eastAsia="Calibri" w:hAnsi="Arial" w:cs="Arial"/>
                <w:color w:val="000000"/>
                <w:sz w:val="16"/>
                <w:szCs w:val="16"/>
              </w:rPr>
              <w:t>La stratégie est adaptée aux utilisateurs ciblés par le projet, avec une bonne anticipation de l’appropriation au-delà du projet (utilisation autonome par le public cible)</w:t>
            </w:r>
          </w:p>
        </w:tc>
        <w:tc>
          <w:tcPr>
            <w:tcW w:w="972" w:type="dxa"/>
            <w:tcBorders>
              <w:top w:val="nil"/>
              <w:left w:val="nil"/>
              <w:bottom w:val="single" w:sz="4" w:space="0" w:color="auto"/>
              <w:right w:val="single" w:sz="4" w:space="0" w:color="auto"/>
            </w:tcBorders>
            <w:shd w:val="clear" w:color="auto" w:fill="auto"/>
            <w:vAlign w:val="center"/>
            <w:hideMark/>
          </w:tcPr>
          <w:p w:rsidR="00711456" w:rsidRPr="00297B82" w:rsidRDefault="00711456" w:rsidP="008346E5">
            <w:pPr>
              <w:jc w:val="center"/>
              <w:rPr>
                <w:rFonts w:ascii="Arial" w:eastAsia="Calibri" w:hAnsi="Arial" w:cs="Arial"/>
                <w:color w:val="000000"/>
                <w:sz w:val="16"/>
                <w:szCs w:val="16"/>
              </w:rPr>
            </w:pPr>
            <w:r w:rsidRPr="00297B82">
              <w:rPr>
                <w:rFonts w:ascii="Arial" w:eastAsia="Calibri" w:hAnsi="Arial" w:cs="Arial"/>
                <w:color w:val="000000"/>
                <w:sz w:val="16"/>
                <w:szCs w:val="16"/>
              </w:rPr>
              <w:t>3</w:t>
            </w:r>
          </w:p>
        </w:tc>
        <w:tc>
          <w:tcPr>
            <w:tcW w:w="1363" w:type="dxa"/>
            <w:vMerge/>
            <w:tcBorders>
              <w:top w:val="single" w:sz="12" w:space="0" w:color="auto"/>
              <w:left w:val="single" w:sz="4" w:space="0" w:color="auto"/>
              <w:bottom w:val="single" w:sz="4" w:space="0" w:color="auto"/>
              <w:right w:val="single" w:sz="4" w:space="0" w:color="auto"/>
            </w:tcBorders>
            <w:vAlign w:val="center"/>
            <w:hideMark/>
          </w:tcPr>
          <w:p w:rsidR="00711456" w:rsidRPr="00297B82" w:rsidRDefault="00711456" w:rsidP="008346E5">
            <w:pPr>
              <w:rPr>
                <w:rFonts w:ascii="Calibri" w:hAnsi="Calibri"/>
                <w:color w:val="000000"/>
              </w:rPr>
            </w:pPr>
          </w:p>
        </w:tc>
      </w:tr>
    </w:tbl>
    <w:p w:rsidR="00711456" w:rsidRPr="008E74B8" w:rsidRDefault="00711456" w:rsidP="00711456">
      <w:pPr>
        <w:spacing w:after="0" w:line="240" w:lineRule="auto"/>
        <w:rPr>
          <w:rFonts w:ascii="Arial" w:hAnsi="Arial" w:cs="Arial"/>
          <w:b/>
          <w:sz w:val="20"/>
          <w:szCs w:val="20"/>
        </w:rPr>
      </w:pPr>
    </w:p>
    <w:p w:rsidR="00711456" w:rsidRPr="008E74B8" w:rsidRDefault="00711456" w:rsidP="00711456">
      <w:pPr>
        <w:shd w:val="clear" w:color="auto" w:fill="002060"/>
        <w:spacing w:after="0" w:line="240" w:lineRule="auto"/>
        <w:jc w:val="center"/>
        <w:rPr>
          <w:rFonts w:ascii="Arial" w:hAnsi="Arial" w:cs="Arial"/>
          <w:b/>
          <w:color w:val="FFFFFF" w:themeColor="background1"/>
          <w:sz w:val="20"/>
          <w:szCs w:val="20"/>
        </w:rPr>
      </w:pPr>
      <w:r w:rsidRPr="008E74B8">
        <w:rPr>
          <w:rFonts w:ascii="Arial" w:hAnsi="Arial" w:cs="Arial"/>
          <w:b/>
          <w:color w:val="FFFFFF" w:themeColor="background1"/>
          <w:sz w:val="20"/>
          <w:szCs w:val="20"/>
        </w:rPr>
        <w:t xml:space="preserve">Le seuil de sélection au titre </w:t>
      </w:r>
      <w:r>
        <w:rPr>
          <w:rFonts w:ascii="Arial" w:hAnsi="Arial" w:cs="Arial"/>
          <w:b/>
          <w:color w:val="FFFFFF" w:themeColor="background1"/>
          <w:sz w:val="20"/>
          <w:szCs w:val="20"/>
        </w:rPr>
        <w:t xml:space="preserve">de l’appel à projet </w:t>
      </w:r>
      <w:r w:rsidRPr="008E74B8">
        <w:rPr>
          <w:rFonts w:ascii="Arial" w:hAnsi="Arial" w:cs="Arial"/>
          <w:b/>
          <w:color w:val="FFFFFF" w:themeColor="background1"/>
          <w:sz w:val="20"/>
          <w:szCs w:val="20"/>
        </w:rPr>
        <w:t>est fixé à :</w:t>
      </w:r>
    </w:p>
    <w:p w:rsidR="00711456" w:rsidRPr="007A6F53" w:rsidRDefault="00711456" w:rsidP="00711456">
      <w:pPr>
        <w:shd w:val="clear" w:color="auto" w:fill="002060"/>
        <w:spacing w:after="0" w:line="240" w:lineRule="auto"/>
        <w:jc w:val="center"/>
        <w:rPr>
          <w:rFonts w:ascii="Arial" w:hAnsi="Arial" w:cs="Arial"/>
          <w:b/>
          <w:color w:val="FFFFFF" w:themeColor="background1"/>
          <w:sz w:val="24"/>
          <w:szCs w:val="24"/>
        </w:rPr>
      </w:pPr>
      <w:r w:rsidRPr="007A6F53">
        <w:rPr>
          <w:rFonts w:ascii="Arial" w:hAnsi="Arial" w:cs="Arial"/>
          <w:b/>
          <w:color w:val="FFFFFF" w:themeColor="background1"/>
          <w:sz w:val="24"/>
          <w:szCs w:val="24"/>
        </w:rPr>
        <w:t xml:space="preserve"> </w:t>
      </w:r>
      <w:r>
        <w:rPr>
          <w:rFonts w:ascii="Arial" w:hAnsi="Arial" w:cs="Arial"/>
          <w:b/>
          <w:color w:val="FFFFFF" w:themeColor="background1"/>
          <w:sz w:val="24"/>
          <w:szCs w:val="24"/>
        </w:rPr>
        <w:t>19</w:t>
      </w:r>
      <w:r w:rsidRPr="007A6F53">
        <w:rPr>
          <w:rFonts w:ascii="Arial" w:hAnsi="Arial" w:cs="Arial"/>
          <w:b/>
          <w:color w:val="FFFFFF" w:themeColor="background1"/>
          <w:sz w:val="24"/>
          <w:szCs w:val="24"/>
        </w:rPr>
        <w:t xml:space="preserve"> points sur un total de </w:t>
      </w:r>
      <w:r>
        <w:rPr>
          <w:rFonts w:ascii="Arial" w:hAnsi="Arial" w:cs="Arial"/>
          <w:b/>
          <w:color w:val="FFFFFF" w:themeColor="background1"/>
          <w:sz w:val="24"/>
          <w:szCs w:val="24"/>
        </w:rPr>
        <w:t>35</w:t>
      </w:r>
      <w:r w:rsidRPr="007A6F53">
        <w:rPr>
          <w:rFonts w:ascii="Arial" w:hAnsi="Arial" w:cs="Arial"/>
          <w:b/>
          <w:color w:val="FFFFFF" w:themeColor="background1"/>
          <w:sz w:val="24"/>
          <w:szCs w:val="24"/>
        </w:rPr>
        <w:t xml:space="preserve"> points maximum </w:t>
      </w:r>
    </w:p>
    <w:p w:rsidR="00711456" w:rsidRPr="008E74B8" w:rsidRDefault="00711456" w:rsidP="00711456">
      <w:pPr>
        <w:spacing w:after="0" w:line="240" w:lineRule="auto"/>
        <w:jc w:val="center"/>
        <w:rPr>
          <w:rFonts w:ascii="Arial" w:hAnsi="Arial" w:cs="Arial"/>
          <w:b/>
          <w:sz w:val="20"/>
          <w:szCs w:val="20"/>
        </w:rPr>
      </w:pPr>
    </w:p>
    <w:p w:rsidR="00711456" w:rsidRPr="008E74B8" w:rsidRDefault="00711456" w:rsidP="00711456">
      <w:pPr>
        <w:spacing w:after="0" w:line="276" w:lineRule="auto"/>
        <w:jc w:val="both"/>
        <w:rPr>
          <w:rFonts w:ascii="Arial" w:eastAsia="Times New Roman" w:hAnsi="Arial" w:cs="Arial"/>
          <w:sz w:val="20"/>
          <w:szCs w:val="20"/>
          <w:lang w:eastAsia="fr-FR"/>
        </w:rPr>
      </w:pPr>
      <w:r w:rsidRPr="00F8371A">
        <w:rPr>
          <w:rFonts w:ascii="Arial" w:eastAsia="Times New Roman" w:hAnsi="Arial" w:cs="Arial"/>
          <w:sz w:val="20"/>
          <w:szCs w:val="20"/>
          <w:lang w:eastAsia="fr-FR"/>
        </w:rPr>
        <w:t xml:space="preserve">Les dossiers recevables seront notés selon l’une des grilles ci-dessus, et devront atteindre la note minimale </w:t>
      </w:r>
      <w:r w:rsidRPr="00C47AD5">
        <w:rPr>
          <w:rFonts w:ascii="Arial" w:eastAsia="Times New Roman" w:hAnsi="Arial" w:cs="Arial"/>
          <w:sz w:val="20"/>
          <w:szCs w:val="20"/>
          <w:lang w:eastAsia="fr-FR"/>
        </w:rPr>
        <w:t>de 19</w:t>
      </w:r>
      <w:r w:rsidRPr="00F8371A">
        <w:rPr>
          <w:rFonts w:ascii="Arial" w:eastAsia="Times New Roman" w:hAnsi="Arial" w:cs="Arial"/>
          <w:i/>
          <w:sz w:val="20"/>
          <w:szCs w:val="20"/>
          <w:lang w:eastAsia="fr-FR"/>
        </w:rPr>
        <w:t xml:space="preserve"> </w:t>
      </w:r>
      <w:r w:rsidRPr="00F8371A">
        <w:rPr>
          <w:rFonts w:ascii="Arial" w:eastAsia="Times New Roman" w:hAnsi="Arial" w:cs="Arial"/>
          <w:sz w:val="20"/>
          <w:szCs w:val="20"/>
          <w:lang w:eastAsia="fr-FR"/>
        </w:rPr>
        <w:t>points pour pouvoir être sélectionnés pour les GO en fonctionnement.</w:t>
      </w:r>
      <w:r>
        <w:rPr>
          <w:rFonts w:ascii="Arial" w:eastAsia="Times New Roman" w:hAnsi="Arial" w:cs="Arial"/>
          <w:sz w:val="20"/>
          <w:szCs w:val="20"/>
          <w:lang w:eastAsia="fr-FR"/>
        </w:rPr>
        <w:t xml:space="preserve"> </w:t>
      </w:r>
    </w:p>
    <w:p w:rsidR="00711456" w:rsidRPr="008E74B8" w:rsidRDefault="00711456" w:rsidP="00711456">
      <w:pPr>
        <w:spacing w:after="0" w:line="276" w:lineRule="auto"/>
        <w:jc w:val="both"/>
        <w:rPr>
          <w:rFonts w:ascii="Arial" w:eastAsia="Times New Roman" w:hAnsi="Arial" w:cs="Arial"/>
          <w:b/>
          <w:sz w:val="20"/>
          <w:szCs w:val="20"/>
          <w:lang w:eastAsia="fr-FR"/>
        </w:rPr>
      </w:pPr>
    </w:p>
    <w:p w:rsidR="00711456" w:rsidRDefault="00711456" w:rsidP="00711456">
      <w:pPr>
        <w:spacing w:after="0" w:line="276" w:lineRule="auto"/>
        <w:jc w:val="both"/>
        <w:rPr>
          <w:rFonts w:ascii="Arial" w:eastAsia="Times New Roman" w:hAnsi="Arial" w:cs="Arial"/>
          <w:sz w:val="20"/>
          <w:szCs w:val="20"/>
          <w:lang w:eastAsia="fr-FR"/>
        </w:rPr>
      </w:pPr>
      <w:r w:rsidRPr="008E74B8">
        <w:rPr>
          <w:rFonts w:ascii="Arial" w:eastAsia="Times New Roman" w:hAnsi="Arial" w:cs="Arial"/>
          <w:sz w:val="20"/>
          <w:szCs w:val="20"/>
          <w:lang w:eastAsia="fr-FR"/>
        </w:rPr>
        <w:t>Les dossiers sélectionnés seront priorisés en fonction de leur note et traités jusqu’à épuisement de l’enveloppe. Des dossiers sélectionnés pourront donc se voir rejeter si leur note est trop peu élevée, dès que l’enveloppe sera épuisée.</w:t>
      </w:r>
    </w:p>
    <w:p w:rsidR="00711456" w:rsidRPr="008E74B8" w:rsidRDefault="00711456" w:rsidP="00711456">
      <w:pPr>
        <w:spacing w:after="0" w:line="276" w:lineRule="auto"/>
        <w:jc w:val="both"/>
        <w:rPr>
          <w:rFonts w:ascii="Arial" w:eastAsia="Times New Roman" w:hAnsi="Arial" w:cs="Arial"/>
          <w:sz w:val="20"/>
          <w:szCs w:val="20"/>
          <w:lang w:eastAsia="fr-FR"/>
        </w:rPr>
      </w:pPr>
    </w:p>
    <w:p w:rsidR="00711456" w:rsidRPr="00711456" w:rsidRDefault="00711456" w:rsidP="00711456">
      <w:p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En cas d’ex aequo, si l’enveloppe disponible ne permet pas de retenir les projets ayant obtenu la même note, les projets ayant la meilleure note au sous critère « démarche ascendante » seront sélectionnés. </w:t>
      </w:r>
      <w:r w:rsidRPr="00F8371A">
        <w:rPr>
          <w:rFonts w:ascii="Arial" w:eastAsia="Times New Roman" w:hAnsi="Arial" w:cs="Arial"/>
          <w:sz w:val="20"/>
          <w:szCs w:val="20"/>
          <w:lang w:eastAsia="fr-FR"/>
        </w:rPr>
        <w:t>Et le cas échéant, en cas d’ex-aequo, les projets ayant la meilleur notre au sous-critère « caractère innovant du projet pour les utilisateurs finaux » seront sélectionnés. Le cas échéant, en cas d’ex aequo, les projets ayant la meilleure note au critère « stratégie de valorisation et de diffusion des résultats » seront sélectionnés.</w:t>
      </w:r>
      <w:r>
        <w:rPr>
          <w:rFonts w:ascii="Arial" w:eastAsia="Times New Roman" w:hAnsi="Arial" w:cs="Arial"/>
          <w:sz w:val="20"/>
          <w:szCs w:val="20"/>
          <w:lang w:eastAsia="fr-FR"/>
        </w:rPr>
        <w:t xml:space="preserve"> </w:t>
      </w:r>
      <w:bookmarkStart w:id="0" w:name="_GoBack"/>
      <w:bookmarkEnd w:id="0"/>
    </w:p>
    <w:sectPr w:rsidR="00711456" w:rsidRPr="007114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EF" w:rsidRDefault="007E4CEF" w:rsidP="007E4CEF">
      <w:pPr>
        <w:spacing w:after="0" w:line="240" w:lineRule="auto"/>
      </w:pPr>
      <w:r>
        <w:separator/>
      </w:r>
    </w:p>
  </w:endnote>
  <w:endnote w:type="continuationSeparator" w:id="0">
    <w:p w:rsidR="007E4CEF" w:rsidRDefault="007E4CEF" w:rsidP="007E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EF" w:rsidRDefault="007E4CEF" w:rsidP="007E4CEF">
      <w:pPr>
        <w:spacing w:after="0" w:line="240" w:lineRule="auto"/>
      </w:pPr>
      <w:r>
        <w:separator/>
      </w:r>
    </w:p>
  </w:footnote>
  <w:footnote w:type="continuationSeparator" w:id="0">
    <w:p w:rsidR="007E4CEF" w:rsidRDefault="007E4CEF" w:rsidP="007E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EF" w:rsidRDefault="007E4CEF" w:rsidP="007E4CEF">
    <w:pPr>
      <w:spacing w:after="0" w:line="240" w:lineRule="auto"/>
      <w:jc w:val="center"/>
    </w:pPr>
    <w:r w:rsidRPr="007E4CEF">
      <w:rPr>
        <w:rFonts w:cstheme="minorHAnsi"/>
        <w:b/>
        <w:sz w:val="28"/>
        <w:szCs w:val="28"/>
      </w:rPr>
      <w:t>Grille de sélection : « </w:t>
    </w:r>
    <w:r w:rsidRPr="007E4CEF">
      <w:rPr>
        <w:rFonts w:cstheme="minorHAnsi"/>
        <w:b/>
        <w:i/>
        <w:sz w:val="28"/>
        <w:szCs w:val="28"/>
      </w:rPr>
      <w:t>Aide à la mise en place et au fonctionnement des groupes opérationnels du</w:t>
    </w:r>
    <w:r w:rsidRPr="007E4CEF">
      <w:rPr>
        <w:rFonts w:cstheme="minorHAnsi"/>
        <w:b/>
        <w:i/>
        <w:sz w:val="28"/>
        <w:szCs w:val="28"/>
      </w:rPr>
      <w:t xml:space="preserve"> PEI pour la productivité</w:t>
    </w:r>
    <w:r>
      <w:rPr>
        <w:rFonts w:cstheme="minorHAnsi"/>
        <w:b/>
        <w:i/>
        <w:sz w:val="28"/>
        <w:szCs w:val="28"/>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EF"/>
    <w:rsid w:val="000939A4"/>
    <w:rsid w:val="00711456"/>
    <w:rsid w:val="007E4CEF"/>
    <w:rsid w:val="0094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6DED"/>
  <w15:chartTrackingRefBased/>
  <w15:docId w15:val="{1611D74B-37AC-4AD8-A1B9-FE94D09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CEF"/>
    <w:pPr>
      <w:tabs>
        <w:tab w:val="center" w:pos="4536"/>
        <w:tab w:val="right" w:pos="9072"/>
      </w:tabs>
      <w:spacing w:after="0" w:line="240" w:lineRule="auto"/>
    </w:pPr>
  </w:style>
  <w:style w:type="character" w:customStyle="1" w:styleId="En-tteCar">
    <w:name w:val="En-tête Car"/>
    <w:basedOn w:val="Policepardfaut"/>
    <w:link w:val="En-tte"/>
    <w:uiPriority w:val="99"/>
    <w:rsid w:val="007E4CEF"/>
  </w:style>
  <w:style w:type="paragraph" w:styleId="Pieddepage">
    <w:name w:val="footer"/>
    <w:basedOn w:val="Normal"/>
    <w:link w:val="PieddepageCar"/>
    <w:uiPriority w:val="99"/>
    <w:unhideWhenUsed/>
    <w:rsid w:val="007E4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1330</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TALLEUX Claire</cp:lastModifiedBy>
  <cp:revision>1</cp:revision>
  <dcterms:created xsi:type="dcterms:W3CDTF">2023-04-12T14:59:00Z</dcterms:created>
  <dcterms:modified xsi:type="dcterms:W3CDTF">2023-04-12T15:15:00Z</dcterms:modified>
</cp:coreProperties>
</file>