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468"/>
        <w:tblW w:w="535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33"/>
        <w:gridCol w:w="4239"/>
        <w:gridCol w:w="3325"/>
        <w:gridCol w:w="1207"/>
      </w:tblGrid>
      <w:tr w:rsidR="00716B3F" w:rsidRPr="0034366D" w:rsidTr="00716B3F">
        <w:trPr>
          <w:trHeight w:val="308"/>
        </w:trPr>
        <w:tc>
          <w:tcPr>
            <w:tcW w:w="481" w:type="pct"/>
            <w:tcBorders>
              <w:bottom w:val="single" w:sz="12" w:space="0" w:color="C2D69B"/>
            </w:tcBorders>
            <w:shd w:val="clear" w:color="auto" w:fill="auto"/>
            <w:hideMark/>
          </w:tcPr>
          <w:p w:rsidR="00716B3F" w:rsidRPr="0034366D" w:rsidRDefault="00716B3F" w:rsidP="00716B3F">
            <w:pPr>
              <w:jc w:val="center"/>
              <w:rPr>
                <w:rFonts w:ascii="Arial" w:eastAsia="Calibri" w:hAnsi="Arial" w:cs="Arial"/>
                <w:b/>
                <w:color w:val="000000"/>
                <w:sz w:val="20"/>
                <w:szCs w:val="20"/>
              </w:rPr>
            </w:pPr>
            <w:r w:rsidRPr="0034366D">
              <w:rPr>
                <w:rFonts w:ascii="Arial" w:eastAsia="Calibri" w:hAnsi="Arial" w:cs="Arial"/>
                <w:b/>
                <w:color w:val="000000"/>
                <w:sz w:val="20"/>
                <w:szCs w:val="20"/>
              </w:rPr>
              <w:t>Enjeux</w:t>
            </w:r>
          </w:p>
        </w:tc>
        <w:tc>
          <w:tcPr>
            <w:tcW w:w="2184" w:type="pct"/>
            <w:tcBorders>
              <w:bottom w:val="single" w:sz="12" w:space="0" w:color="C2D69B"/>
            </w:tcBorders>
            <w:shd w:val="clear" w:color="auto" w:fill="auto"/>
            <w:hideMark/>
          </w:tcPr>
          <w:p w:rsidR="00716B3F" w:rsidRPr="0034366D" w:rsidRDefault="00716B3F" w:rsidP="00716B3F">
            <w:pPr>
              <w:jc w:val="center"/>
              <w:rPr>
                <w:rFonts w:ascii="Arial" w:eastAsia="Calibri" w:hAnsi="Arial" w:cs="Arial"/>
                <w:b/>
                <w:color w:val="000000"/>
                <w:sz w:val="20"/>
                <w:szCs w:val="20"/>
              </w:rPr>
            </w:pPr>
            <w:r w:rsidRPr="0034366D">
              <w:rPr>
                <w:rFonts w:ascii="Arial" w:eastAsia="Calibri" w:hAnsi="Arial" w:cs="Arial"/>
                <w:b/>
                <w:color w:val="000000"/>
                <w:sz w:val="20"/>
                <w:szCs w:val="20"/>
              </w:rPr>
              <w:t>Critère</w:t>
            </w:r>
          </w:p>
        </w:tc>
        <w:tc>
          <w:tcPr>
            <w:tcW w:w="1713" w:type="pct"/>
            <w:tcBorders>
              <w:bottom w:val="single" w:sz="12" w:space="0" w:color="C2D69B"/>
            </w:tcBorders>
          </w:tcPr>
          <w:p w:rsidR="00716B3F" w:rsidRPr="0034366D" w:rsidRDefault="00716B3F" w:rsidP="00716B3F">
            <w:pPr>
              <w:spacing w:after="0" w:line="240" w:lineRule="auto"/>
              <w:jc w:val="center"/>
              <w:rPr>
                <w:rFonts w:ascii="Arial" w:eastAsia="Calibri" w:hAnsi="Arial" w:cs="Arial"/>
                <w:b/>
                <w:color w:val="000000"/>
                <w:sz w:val="20"/>
                <w:szCs w:val="20"/>
              </w:rPr>
            </w:pPr>
            <w:r w:rsidRPr="0034366D">
              <w:rPr>
                <w:rFonts w:ascii="Arial" w:eastAsia="Calibri" w:hAnsi="Arial" w:cs="Arial"/>
                <w:b/>
                <w:color w:val="000000"/>
                <w:sz w:val="20"/>
                <w:szCs w:val="20"/>
              </w:rPr>
              <w:t>Seuils de notation</w:t>
            </w:r>
          </w:p>
          <w:p w:rsidR="00716B3F" w:rsidRPr="0034366D" w:rsidRDefault="00716B3F" w:rsidP="00716B3F">
            <w:pPr>
              <w:spacing w:after="0" w:line="240" w:lineRule="auto"/>
              <w:jc w:val="center"/>
              <w:rPr>
                <w:rFonts w:ascii="Arial" w:eastAsia="Calibri" w:hAnsi="Arial" w:cs="Arial"/>
                <w:i/>
                <w:color w:val="000000"/>
                <w:sz w:val="20"/>
                <w:szCs w:val="20"/>
              </w:rPr>
            </w:pPr>
            <w:r w:rsidRPr="0034366D">
              <w:rPr>
                <w:rFonts w:ascii="Arial" w:eastAsia="Calibri" w:hAnsi="Arial" w:cs="Arial"/>
                <w:i/>
                <w:color w:val="000000"/>
                <w:sz w:val="20"/>
                <w:szCs w:val="20"/>
              </w:rPr>
              <w:t>(nb de points à définir)</w:t>
            </w:r>
          </w:p>
        </w:tc>
        <w:tc>
          <w:tcPr>
            <w:tcW w:w="622" w:type="pct"/>
            <w:tcBorders>
              <w:bottom w:val="single" w:sz="12" w:space="0" w:color="C2D69B"/>
            </w:tcBorders>
          </w:tcPr>
          <w:p w:rsidR="00716B3F" w:rsidRPr="0034366D" w:rsidRDefault="00716B3F" w:rsidP="00716B3F">
            <w:pPr>
              <w:jc w:val="center"/>
              <w:rPr>
                <w:rFonts w:ascii="Arial" w:eastAsia="Calibri" w:hAnsi="Arial" w:cs="Arial"/>
                <w:b/>
                <w:color w:val="000000"/>
                <w:sz w:val="20"/>
                <w:szCs w:val="20"/>
              </w:rPr>
            </w:pPr>
            <w:r w:rsidRPr="0034366D">
              <w:rPr>
                <w:rFonts w:ascii="Arial" w:eastAsia="Calibri" w:hAnsi="Arial" w:cs="Arial"/>
                <w:b/>
                <w:color w:val="000000"/>
                <w:sz w:val="20"/>
                <w:szCs w:val="20"/>
              </w:rPr>
              <w:t>Note maximale</w:t>
            </w:r>
          </w:p>
        </w:tc>
      </w:tr>
      <w:tr w:rsidR="00716B3F" w:rsidRPr="0034366D" w:rsidTr="00716B3F">
        <w:trPr>
          <w:cantSplit/>
          <w:trHeight w:val="445"/>
        </w:trPr>
        <w:tc>
          <w:tcPr>
            <w:tcW w:w="481" w:type="pct"/>
            <w:vMerge w:val="restart"/>
            <w:shd w:val="clear" w:color="auto" w:fill="EAF1DD"/>
            <w:textDirection w:val="btLr"/>
            <w:hideMark/>
          </w:tcPr>
          <w:p w:rsidR="00716B3F" w:rsidRPr="0034366D" w:rsidRDefault="00716B3F" w:rsidP="00716B3F">
            <w:pPr>
              <w:jc w:val="center"/>
              <w:rPr>
                <w:rFonts w:ascii="Arial" w:eastAsia="Calibri" w:hAnsi="Arial" w:cs="Arial"/>
                <w:b/>
                <w:color w:val="000000"/>
                <w:sz w:val="20"/>
                <w:szCs w:val="20"/>
              </w:rPr>
            </w:pPr>
            <w:r w:rsidRPr="0034366D">
              <w:rPr>
                <w:rFonts w:ascii="Arial" w:eastAsia="Calibri" w:hAnsi="Arial" w:cs="Arial"/>
                <w:b/>
                <w:color w:val="000000"/>
                <w:sz w:val="20"/>
                <w:szCs w:val="20"/>
              </w:rPr>
              <w:t>Performance socio-économique</w:t>
            </w:r>
          </w:p>
        </w:tc>
        <w:tc>
          <w:tcPr>
            <w:tcW w:w="2184" w:type="pct"/>
            <w:shd w:val="clear" w:color="auto" w:fill="EAF1DD"/>
            <w:hideMark/>
          </w:tcPr>
          <w:p w:rsidR="00716B3F" w:rsidRPr="0034366D" w:rsidRDefault="00716B3F" w:rsidP="00716B3F">
            <w:pPr>
              <w:rPr>
                <w:rFonts w:ascii="Arial" w:eastAsia="Calibri" w:hAnsi="Arial" w:cs="Arial"/>
                <w:color w:val="000000"/>
                <w:sz w:val="20"/>
                <w:szCs w:val="20"/>
              </w:rPr>
            </w:pPr>
            <w:r w:rsidRPr="0034366D">
              <w:rPr>
                <w:rFonts w:ascii="Arial" w:eastAsia="Calibri" w:hAnsi="Arial" w:cs="Arial"/>
                <w:color w:val="000000"/>
                <w:sz w:val="20"/>
                <w:szCs w:val="20"/>
              </w:rPr>
              <w:t>L’importance de la surface boisée nouvellement desservie</w:t>
            </w:r>
          </w:p>
        </w:tc>
        <w:tc>
          <w:tcPr>
            <w:tcW w:w="1713" w:type="pct"/>
            <w:shd w:val="clear" w:color="auto" w:fill="EAF1DD"/>
          </w:tcPr>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Au-dessus de 100 ha : 25 points</w:t>
            </w:r>
          </w:p>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 xml:space="preserve">En-dessous de 25 ha : 5 points </w:t>
            </w:r>
          </w:p>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Entre les deux : interpolation linéaire</w:t>
            </w:r>
          </w:p>
        </w:tc>
        <w:tc>
          <w:tcPr>
            <w:tcW w:w="622" w:type="pct"/>
            <w:shd w:val="clear" w:color="auto" w:fill="EAF1DD"/>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25</w:t>
            </w:r>
          </w:p>
        </w:tc>
      </w:tr>
      <w:tr w:rsidR="00716B3F" w:rsidRPr="0034366D" w:rsidTr="00716B3F">
        <w:trPr>
          <w:trHeight w:val="616"/>
        </w:trPr>
        <w:tc>
          <w:tcPr>
            <w:tcW w:w="481" w:type="pct"/>
            <w:vMerge/>
            <w:shd w:val="clear" w:color="auto" w:fill="EAF1DD"/>
            <w:hideMark/>
          </w:tcPr>
          <w:p w:rsidR="00716B3F" w:rsidRPr="0034366D" w:rsidRDefault="00716B3F" w:rsidP="00716B3F">
            <w:pPr>
              <w:rPr>
                <w:rFonts w:ascii="Arial" w:eastAsia="Calibri" w:hAnsi="Arial" w:cs="Arial"/>
                <w:b/>
                <w:color w:val="000000"/>
                <w:sz w:val="20"/>
                <w:szCs w:val="20"/>
              </w:rPr>
            </w:pPr>
          </w:p>
        </w:tc>
        <w:tc>
          <w:tcPr>
            <w:tcW w:w="2184" w:type="pct"/>
            <w:shd w:val="clear" w:color="auto" w:fill="auto"/>
            <w:hideMark/>
          </w:tcPr>
          <w:p w:rsidR="00716B3F" w:rsidRPr="0034366D" w:rsidRDefault="00716B3F" w:rsidP="00716B3F">
            <w:pPr>
              <w:rPr>
                <w:rFonts w:ascii="Arial" w:eastAsia="Calibri" w:hAnsi="Arial" w:cs="Arial"/>
                <w:color w:val="000000"/>
                <w:sz w:val="20"/>
                <w:szCs w:val="20"/>
              </w:rPr>
            </w:pPr>
            <w:r w:rsidRPr="0034366D">
              <w:rPr>
                <w:rFonts w:ascii="Arial" w:eastAsia="Calibri" w:hAnsi="Arial" w:cs="Arial"/>
                <w:color w:val="000000"/>
                <w:sz w:val="20"/>
                <w:szCs w:val="20"/>
              </w:rPr>
              <w:t>Le volume supplémentaire global que les travaux permettront de récolter dans les cinq années qui les suivront (à dire d’experts)</w:t>
            </w:r>
          </w:p>
        </w:tc>
        <w:tc>
          <w:tcPr>
            <w:tcW w:w="1713" w:type="pct"/>
          </w:tcPr>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Au-dessus de 5000 m3 : 15 points</w:t>
            </w:r>
          </w:p>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En-dessous de 500 m3 : 5 points</w:t>
            </w:r>
          </w:p>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Entre les deux : interpolation linéaire</w:t>
            </w:r>
          </w:p>
        </w:tc>
        <w:tc>
          <w:tcPr>
            <w:tcW w:w="622" w:type="pct"/>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15</w:t>
            </w:r>
          </w:p>
        </w:tc>
      </w:tr>
      <w:tr w:rsidR="00716B3F" w:rsidRPr="0034366D" w:rsidTr="00716B3F">
        <w:trPr>
          <w:trHeight w:val="407"/>
        </w:trPr>
        <w:tc>
          <w:tcPr>
            <w:tcW w:w="481" w:type="pct"/>
            <w:vMerge/>
            <w:shd w:val="clear" w:color="auto" w:fill="EAF1DD"/>
            <w:hideMark/>
          </w:tcPr>
          <w:p w:rsidR="00716B3F" w:rsidRPr="0034366D" w:rsidRDefault="00716B3F" w:rsidP="00716B3F">
            <w:pPr>
              <w:rPr>
                <w:rFonts w:ascii="Arial" w:eastAsia="Calibri" w:hAnsi="Arial" w:cs="Arial"/>
                <w:b/>
                <w:color w:val="000000"/>
                <w:sz w:val="20"/>
                <w:szCs w:val="20"/>
              </w:rPr>
            </w:pPr>
          </w:p>
        </w:tc>
        <w:tc>
          <w:tcPr>
            <w:tcW w:w="2184" w:type="pct"/>
            <w:shd w:val="clear" w:color="auto" w:fill="E2EFD9" w:themeFill="accent6" w:themeFillTint="33"/>
            <w:hideMark/>
          </w:tcPr>
          <w:p w:rsidR="00716B3F" w:rsidRPr="0034366D" w:rsidRDefault="00716B3F" w:rsidP="00716B3F">
            <w:pPr>
              <w:rPr>
                <w:rFonts w:ascii="Arial" w:eastAsia="Calibri" w:hAnsi="Arial" w:cs="Arial"/>
                <w:color w:val="000000"/>
                <w:sz w:val="20"/>
                <w:szCs w:val="20"/>
              </w:rPr>
            </w:pPr>
            <w:r w:rsidRPr="0034366D">
              <w:rPr>
                <w:rFonts w:ascii="Arial" w:eastAsia="Calibri" w:hAnsi="Arial" w:cs="Arial"/>
                <w:color w:val="000000"/>
                <w:sz w:val="20"/>
                <w:szCs w:val="20"/>
              </w:rPr>
              <w:t>Le caractère collectif du projet</w:t>
            </w:r>
          </w:p>
        </w:tc>
        <w:tc>
          <w:tcPr>
            <w:tcW w:w="1713" w:type="pct"/>
            <w:shd w:val="clear" w:color="auto" w:fill="E2EFD9" w:themeFill="accent6" w:themeFillTint="33"/>
          </w:tcPr>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Oui / Non</w:t>
            </w:r>
          </w:p>
        </w:tc>
        <w:tc>
          <w:tcPr>
            <w:tcW w:w="622" w:type="pct"/>
            <w:shd w:val="clear" w:color="auto" w:fill="E2EFD9" w:themeFill="accent6" w:themeFillTint="33"/>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10</w:t>
            </w:r>
          </w:p>
        </w:tc>
      </w:tr>
      <w:tr w:rsidR="00716B3F" w:rsidRPr="0034366D" w:rsidTr="00716B3F">
        <w:trPr>
          <w:trHeight w:val="394"/>
        </w:trPr>
        <w:tc>
          <w:tcPr>
            <w:tcW w:w="481" w:type="pct"/>
            <w:vMerge/>
            <w:shd w:val="clear" w:color="auto" w:fill="EAF1DD"/>
          </w:tcPr>
          <w:p w:rsidR="00716B3F" w:rsidRPr="0034366D" w:rsidRDefault="00716B3F" w:rsidP="00716B3F">
            <w:pPr>
              <w:rPr>
                <w:rFonts w:ascii="Arial" w:eastAsia="Calibri" w:hAnsi="Arial" w:cs="Arial"/>
                <w:b/>
                <w:color w:val="000000"/>
                <w:sz w:val="20"/>
                <w:szCs w:val="20"/>
              </w:rPr>
            </w:pPr>
          </w:p>
        </w:tc>
        <w:tc>
          <w:tcPr>
            <w:tcW w:w="2184" w:type="pct"/>
            <w:shd w:val="clear" w:color="auto" w:fill="auto"/>
          </w:tcPr>
          <w:p w:rsidR="00716B3F" w:rsidRPr="0034366D" w:rsidRDefault="00716B3F" w:rsidP="00716B3F">
            <w:pPr>
              <w:jc w:val="both"/>
              <w:rPr>
                <w:rFonts w:ascii="Arial" w:hAnsi="Arial" w:cs="Arial"/>
                <w:sz w:val="20"/>
                <w:szCs w:val="20"/>
              </w:rPr>
            </w:pPr>
            <w:r w:rsidRPr="0034366D">
              <w:rPr>
                <w:rFonts w:ascii="Arial" w:hAnsi="Arial" w:cs="Arial"/>
                <w:sz w:val="20"/>
                <w:szCs w:val="20"/>
              </w:rPr>
              <w:t>Projets participant à la résorption de points noirs</w:t>
            </w:r>
            <w:r>
              <w:rPr>
                <w:rStyle w:val="Appelnotedebasdep"/>
                <w:rFonts w:ascii="Arial" w:hAnsi="Arial" w:cs="Arial"/>
                <w:sz w:val="20"/>
                <w:szCs w:val="20"/>
              </w:rPr>
              <w:footnoteReference w:id="1"/>
            </w:r>
          </w:p>
        </w:tc>
        <w:tc>
          <w:tcPr>
            <w:tcW w:w="1713" w:type="pct"/>
          </w:tcPr>
          <w:p w:rsidR="00716B3F" w:rsidRPr="0034366D" w:rsidRDefault="00716B3F" w:rsidP="00716B3F">
            <w:pPr>
              <w:spacing w:after="0" w:line="240" w:lineRule="auto"/>
              <w:jc w:val="both"/>
              <w:rPr>
                <w:rFonts w:ascii="Arial" w:hAnsi="Arial" w:cs="Arial"/>
                <w:sz w:val="20"/>
                <w:szCs w:val="20"/>
              </w:rPr>
            </w:pPr>
            <w:r w:rsidRPr="0034366D">
              <w:rPr>
                <w:rFonts w:ascii="Arial" w:eastAsia="Calibri" w:hAnsi="Arial" w:cs="Arial"/>
                <w:color w:val="000000"/>
                <w:sz w:val="20"/>
                <w:szCs w:val="20"/>
              </w:rPr>
              <w:t>Oui</w:t>
            </w:r>
            <w:r>
              <w:rPr>
                <w:rFonts w:ascii="Arial" w:eastAsia="Calibri" w:hAnsi="Arial" w:cs="Arial"/>
                <w:color w:val="000000"/>
                <w:sz w:val="20"/>
                <w:szCs w:val="20"/>
              </w:rPr>
              <w:t xml:space="preserve"> </w:t>
            </w:r>
            <w:r w:rsidRPr="0034366D">
              <w:rPr>
                <w:rFonts w:ascii="Arial" w:eastAsia="Calibri" w:hAnsi="Arial" w:cs="Arial"/>
                <w:color w:val="000000"/>
                <w:sz w:val="20"/>
                <w:szCs w:val="20"/>
              </w:rPr>
              <w:t>/</w:t>
            </w:r>
            <w:r>
              <w:rPr>
                <w:rFonts w:ascii="Arial" w:eastAsia="Calibri" w:hAnsi="Arial" w:cs="Arial"/>
                <w:color w:val="000000"/>
                <w:sz w:val="20"/>
                <w:szCs w:val="20"/>
              </w:rPr>
              <w:t xml:space="preserve"> </w:t>
            </w:r>
            <w:r w:rsidRPr="0034366D">
              <w:rPr>
                <w:rFonts w:ascii="Arial" w:eastAsia="Calibri" w:hAnsi="Arial" w:cs="Arial"/>
                <w:color w:val="000000"/>
                <w:sz w:val="20"/>
                <w:szCs w:val="20"/>
              </w:rPr>
              <w:t>Non</w:t>
            </w:r>
          </w:p>
        </w:tc>
        <w:tc>
          <w:tcPr>
            <w:tcW w:w="622" w:type="pct"/>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5</w:t>
            </w:r>
          </w:p>
        </w:tc>
      </w:tr>
      <w:tr w:rsidR="00716B3F" w:rsidRPr="0034366D" w:rsidTr="00716B3F">
        <w:trPr>
          <w:trHeight w:val="552"/>
        </w:trPr>
        <w:tc>
          <w:tcPr>
            <w:tcW w:w="481" w:type="pct"/>
            <w:vMerge/>
            <w:shd w:val="clear" w:color="auto" w:fill="EAF1DD"/>
          </w:tcPr>
          <w:p w:rsidR="00716B3F" w:rsidRPr="0034366D" w:rsidRDefault="00716B3F" w:rsidP="00716B3F">
            <w:pPr>
              <w:rPr>
                <w:rFonts w:ascii="Arial" w:eastAsia="Calibri" w:hAnsi="Arial" w:cs="Arial"/>
                <w:b/>
                <w:color w:val="000000"/>
                <w:sz w:val="20"/>
                <w:szCs w:val="20"/>
              </w:rPr>
            </w:pPr>
          </w:p>
        </w:tc>
        <w:tc>
          <w:tcPr>
            <w:tcW w:w="2184" w:type="pct"/>
            <w:shd w:val="clear" w:color="auto" w:fill="E2EFD9" w:themeFill="accent6" w:themeFillTint="33"/>
          </w:tcPr>
          <w:p w:rsidR="00716B3F" w:rsidRPr="0034366D" w:rsidRDefault="00716B3F" w:rsidP="00716B3F">
            <w:pPr>
              <w:jc w:val="both"/>
              <w:rPr>
                <w:rFonts w:ascii="Arial" w:hAnsi="Arial" w:cs="Arial"/>
                <w:sz w:val="20"/>
                <w:szCs w:val="20"/>
              </w:rPr>
            </w:pPr>
            <w:r w:rsidRPr="0034366D">
              <w:rPr>
                <w:rFonts w:ascii="Arial" w:hAnsi="Arial" w:cs="Arial"/>
                <w:sz w:val="20"/>
                <w:szCs w:val="20"/>
              </w:rPr>
              <w:t>Sécurité : le projet permet d’éviter le transfert de grumes en bord d’une route relevant du code de la voirie routière</w:t>
            </w:r>
          </w:p>
        </w:tc>
        <w:tc>
          <w:tcPr>
            <w:tcW w:w="1713" w:type="pct"/>
            <w:shd w:val="clear" w:color="auto" w:fill="E2EFD9" w:themeFill="accent6" w:themeFillTint="33"/>
          </w:tcPr>
          <w:p w:rsidR="00716B3F" w:rsidRPr="0034366D" w:rsidRDefault="00716B3F" w:rsidP="00716B3F">
            <w:pPr>
              <w:spacing w:after="0" w:line="240" w:lineRule="auto"/>
              <w:jc w:val="both"/>
              <w:rPr>
                <w:rFonts w:ascii="Arial" w:hAnsi="Arial" w:cs="Arial"/>
                <w:sz w:val="20"/>
                <w:szCs w:val="20"/>
              </w:rPr>
            </w:pPr>
            <w:r w:rsidRPr="0034366D">
              <w:rPr>
                <w:rFonts w:ascii="Arial" w:eastAsia="Calibri" w:hAnsi="Arial" w:cs="Arial"/>
                <w:color w:val="000000"/>
                <w:sz w:val="20"/>
                <w:szCs w:val="20"/>
              </w:rPr>
              <w:t>Oui</w:t>
            </w:r>
            <w:r>
              <w:rPr>
                <w:rFonts w:ascii="Arial" w:eastAsia="Calibri" w:hAnsi="Arial" w:cs="Arial"/>
                <w:color w:val="000000"/>
                <w:sz w:val="20"/>
                <w:szCs w:val="20"/>
              </w:rPr>
              <w:t xml:space="preserve"> </w:t>
            </w:r>
            <w:r w:rsidRPr="0034366D">
              <w:rPr>
                <w:rFonts w:ascii="Arial" w:eastAsia="Calibri" w:hAnsi="Arial" w:cs="Arial"/>
                <w:color w:val="000000"/>
                <w:sz w:val="20"/>
                <w:szCs w:val="20"/>
              </w:rPr>
              <w:t>/</w:t>
            </w:r>
            <w:r>
              <w:rPr>
                <w:rFonts w:ascii="Arial" w:eastAsia="Calibri" w:hAnsi="Arial" w:cs="Arial"/>
                <w:color w:val="000000"/>
                <w:sz w:val="20"/>
                <w:szCs w:val="20"/>
              </w:rPr>
              <w:t xml:space="preserve"> </w:t>
            </w:r>
            <w:r w:rsidRPr="0034366D">
              <w:rPr>
                <w:rFonts w:ascii="Arial" w:eastAsia="Calibri" w:hAnsi="Arial" w:cs="Arial"/>
                <w:color w:val="000000"/>
                <w:sz w:val="20"/>
                <w:szCs w:val="20"/>
              </w:rPr>
              <w:t>Non</w:t>
            </w:r>
          </w:p>
        </w:tc>
        <w:tc>
          <w:tcPr>
            <w:tcW w:w="622" w:type="pct"/>
            <w:shd w:val="clear" w:color="auto" w:fill="E2EFD9" w:themeFill="accent6" w:themeFillTint="33"/>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5</w:t>
            </w:r>
          </w:p>
        </w:tc>
      </w:tr>
      <w:tr w:rsidR="00716B3F" w:rsidRPr="0034366D" w:rsidTr="00716B3F">
        <w:trPr>
          <w:trHeight w:val="268"/>
        </w:trPr>
        <w:tc>
          <w:tcPr>
            <w:tcW w:w="481" w:type="pct"/>
            <w:vMerge w:val="restart"/>
            <w:shd w:val="clear" w:color="auto" w:fill="EAF1DD"/>
            <w:textDirection w:val="btLr"/>
            <w:hideMark/>
          </w:tcPr>
          <w:p w:rsidR="00716B3F" w:rsidRPr="0034366D" w:rsidRDefault="00716B3F" w:rsidP="00716B3F">
            <w:pPr>
              <w:jc w:val="center"/>
              <w:rPr>
                <w:rFonts w:ascii="Arial" w:eastAsia="Calibri" w:hAnsi="Arial" w:cs="Arial"/>
                <w:b/>
                <w:color w:val="000000"/>
                <w:sz w:val="20"/>
                <w:szCs w:val="20"/>
              </w:rPr>
            </w:pPr>
            <w:r w:rsidRPr="0034366D">
              <w:rPr>
                <w:rFonts w:ascii="Arial" w:eastAsia="Calibri" w:hAnsi="Arial" w:cs="Arial"/>
                <w:b/>
                <w:color w:val="000000"/>
                <w:sz w:val="20"/>
                <w:szCs w:val="20"/>
              </w:rPr>
              <w:t>Performance environnementale</w:t>
            </w:r>
          </w:p>
        </w:tc>
        <w:tc>
          <w:tcPr>
            <w:tcW w:w="2184" w:type="pct"/>
            <w:shd w:val="clear" w:color="auto" w:fill="FFFFFF" w:themeFill="background1"/>
            <w:hideMark/>
          </w:tcPr>
          <w:p w:rsidR="00716B3F" w:rsidRPr="0034366D" w:rsidRDefault="00716B3F" w:rsidP="00716B3F">
            <w:pPr>
              <w:rPr>
                <w:rFonts w:ascii="Arial" w:eastAsia="Calibri" w:hAnsi="Arial" w:cs="Arial"/>
                <w:color w:val="000000"/>
                <w:sz w:val="20"/>
                <w:szCs w:val="20"/>
              </w:rPr>
            </w:pPr>
            <w:r w:rsidRPr="0034366D">
              <w:rPr>
                <w:rFonts w:ascii="Arial" w:eastAsia="Calibri" w:hAnsi="Arial" w:cs="Arial"/>
                <w:color w:val="000000"/>
                <w:sz w:val="20"/>
                <w:szCs w:val="20"/>
              </w:rPr>
              <w:t>L'existence d’une éco-certification ou d’engagement d’une éco-certification pour les parcelles devant bénéficier de la desserte (de type PEFC, FSC ou équivalent)</w:t>
            </w:r>
          </w:p>
        </w:tc>
        <w:tc>
          <w:tcPr>
            <w:tcW w:w="1713" w:type="pct"/>
            <w:shd w:val="clear" w:color="auto" w:fill="FFFFFF" w:themeFill="background1"/>
          </w:tcPr>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Au prorata de la surface certifiée</w:t>
            </w:r>
          </w:p>
        </w:tc>
        <w:tc>
          <w:tcPr>
            <w:tcW w:w="622" w:type="pct"/>
            <w:shd w:val="clear" w:color="auto" w:fill="FFFFFF" w:themeFill="background1"/>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15</w:t>
            </w:r>
          </w:p>
        </w:tc>
      </w:tr>
      <w:tr w:rsidR="00716B3F" w:rsidRPr="0034366D" w:rsidTr="00716B3F">
        <w:trPr>
          <w:trHeight w:val="537"/>
        </w:trPr>
        <w:tc>
          <w:tcPr>
            <w:tcW w:w="481" w:type="pct"/>
            <w:vMerge/>
            <w:shd w:val="clear" w:color="auto" w:fill="EAF1DD"/>
            <w:hideMark/>
          </w:tcPr>
          <w:p w:rsidR="00716B3F" w:rsidRPr="0034366D" w:rsidRDefault="00716B3F" w:rsidP="00716B3F">
            <w:pPr>
              <w:rPr>
                <w:rFonts w:ascii="Arial" w:eastAsia="Calibri" w:hAnsi="Arial" w:cs="Arial"/>
                <w:b/>
                <w:color w:val="000000"/>
                <w:sz w:val="20"/>
                <w:szCs w:val="20"/>
              </w:rPr>
            </w:pPr>
          </w:p>
        </w:tc>
        <w:tc>
          <w:tcPr>
            <w:tcW w:w="2184" w:type="pct"/>
            <w:shd w:val="clear" w:color="auto" w:fill="E2EFD9" w:themeFill="accent6" w:themeFillTint="33"/>
            <w:hideMark/>
          </w:tcPr>
          <w:p w:rsidR="00716B3F" w:rsidRPr="0034366D" w:rsidRDefault="00716B3F" w:rsidP="00716B3F">
            <w:pPr>
              <w:rPr>
                <w:rFonts w:ascii="Arial" w:eastAsia="Calibri" w:hAnsi="Arial" w:cs="Arial"/>
                <w:color w:val="000000"/>
                <w:sz w:val="20"/>
                <w:szCs w:val="20"/>
              </w:rPr>
            </w:pPr>
            <w:r w:rsidRPr="0034366D">
              <w:rPr>
                <w:rFonts w:ascii="Arial" w:eastAsia="Calibri" w:hAnsi="Arial" w:cs="Arial"/>
                <w:color w:val="000000"/>
                <w:sz w:val="20"/>
                <w:szCs w:val="20"/>
              </w:rPr>
              <w:t>La consultation des organismes environnementaux sur la biodiversité (Picardie Nature, Conservatoire de Bailleul…)</w:t>
            </w:r>
          </w:p>
        </w:tc>
        <w:tc>
          <w:tcPr>
            <w:tcW w:w="1713" w:type="pct"/>
            <w:shd w:val="clear" w:color="auto" w:fill="E2EFD9" w:themeFill="accent6" w:themeFillTint="33"/>
          </w:tcPr>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Oui / Non</w:t>
            </w:r>
          </w:p>
        </w:tc>
        <w:tc>
          <w:tcPr>
            <w:tcW w:w="622" w:type="pct"/>
            <w:shd w:val="clear" w:color="auto" w:fill="E2EFD9" w:themeFill="accent6" w:themeFillTint="33"/>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10</w:t>
            </w:r>
          </w:p>
        </w:tc>
      </w:tr>
      <w:tr w:rsidR="00716B3F" w:rsidRPr="0034366D" w:rsidTr="00716B3F">
        <w:trPr>
          <w:trHeight w:val="559"/>
        </w:trPr>
        <w:tc>
          <w:tcPr>
            <w:tcW w:w="481" w:type="pct"/>
            <w:vMerge/>
            <w:shd w:val="clear" w:color="auto" w:fill="EAF1DD"/>
            <w:hideMark/>
          </w:tcPr>
          <w:p w:rsidR="00716B3F" w:rsidRPr="0034366D" w:rsidRDefault="00716B3F" w:rsidP="00716B3F">
            <w:pPr>
              <w:rPr>
                <w:rFonts w:ascii="Arial" w:eastAsia="Calibri" w:hAnsi="Arial" w:cs="Arial"/>
                <w:b/>
                <w:color w:val="000000"/>
                <w:sz w:val="20"/>
                <w:szCs w:val="20"/>
              </w:rPr>
            </w:pPr>
          </w:p>
        </w:tc>
        <w:tc>
          <w:tcPr>
            <w:tcW w:w="2184" w:type="pct"/>
            <w:shd w:val="clear" w:color="auto" w:fill="FFFFFF" w:themeFill="background1"/>
            <w:hideMark/>
          </w:tcPr>
          <w:p w:rsidR="00716B3F" w:rsidRPr="0034366D" w:rsidRDefault="00716B3F" w:rsidP="00716B3F">
            <w:pPr>
              <w:rPr>
                <w:rFonts w:ascii="Arial" w:eastAsia="Calibri" w:hAnsi="Arial" w:cs="Arial"/>
                <w:color w:val="000000"/>
                <w:sz w:val="20"/>
                <w:szCs w:val="20"/>
              </w:rPr>
            </w:pPr>
            <w:r w:rsidRPr="0034366D">
              <w:rPr>
                <w:rFonts w:ascii="Arial" w:eastAsia="Calibri" w:hAnsi="Arial" w:cs="Arial"/>
                <w:color w:val="000000"/>
                <w:sz w:val="20"/>
                <w:szCs w:val="20"/>
              </w:rPr>
              <w:t>La prise en compte des problématiques environnementales, et notamment de la biodiversité, dans le projet</w:t>
            </w:r>
          </w:p>
        </w:tc>
        <w:tc>
          <w:tcPr>
            <w:tcW w:w="1713" w:type="pct"/>
            <w:shd w:val="clear" w:color="auto" w:fill="FFFFFF" w:themeFill="background1"/>
          </w:tcPr>
          <w:p w:rsidR="00716B3F" w:rsidRPr="0034366D" w:rsidRDefault="00716B3F" w:rsidP="00716B3F">
            <w:pPr>
              <w:spacing w:after="0" w:line="240" w:lineRule="auto"/>
              <w:rPr>
                <w:rFonts w:ascii="Arial" w:eastAsia="Calibri" w:hAnsi="Arial" w:cs="Arial"/>
                <w:sz w:val="20"/>
                <w:szCs w:val="20"/>
              </w:rPr>
            </w:pPr>
            <w:r w:rsidRPr="0034366D">
              <w:rPr>
                <w:rFonts w:ascii="Arial" w:eastAsia="Calibri" w:hAnsi="Arial" w:cs="Arial"/>
                <w:sz w:val="20"/>
                <w:szCs w:val="20"/>
              </w:rPr>
              <w:t>Notation progressive tenant compte de l’état initial du site :</w:t>
            </w:r>
          </w:p>
          <w:p w:rsidR="00716B3F" w:rsidRPr="0034366D" w:rsidRDefault="00716B3F" w:rsidP="00716B3F">
            <w:pPr>
              <w:spacing w:after="0" w:line="240" w:lineRule="auto"/>
              <w:rPr>
                <w:rFonts w:ascii="Arial" w:eastAsia="Calibri" w:hAnsi="Arial" w:cs="Arial"/>
                <w:sz w:val="20"/>
                <w:szCs w:val="20"/>
              </w:rPr>
            </w:pPr>
            <w:r w:rsidRPr="0034366D">
              <w:rPr>
                <w:rFonts w:ascii="Arial" w:eastAsia="Calibri" w:hAnsi="Arial" w:cs="Arial"/>
                <w:sz w:val="20"/>
                <w:szCs w:val="20"/>
              </w:rPr>
              <w:t>Problématique faible </w:t>
            </w:r>
          </w:p>
          <w:p w:rsidR="00716B3F" w:rsidRPr="0034366D" w:rsidRDefault="00716B3F" w:rsidP="00716B3F">
            <w:pPr>
              <w:spacing w:after="0" w:line="240" w:lineRule="auto"/>
              <w:rPr>
                <w:rFonts w:ascii="Arial" w:eastAsia="Calibri" w:hAnsi="Arial" w:cs="Arial"/>
                <w:sz w:val="20"/>
                <w:szCs w:val="20"/>
              </w:rPr>
            </w:pPr>
            <w:r w:rsidRPr="0034366D">
              <w:rPr>
                <w:rFonts w:ascii="Arial" w:eastAsia="Calibri" w:hAnsi="Arial" w:cs="Arial"/>
                <w:sz w:val="20"/>
                <w:szCs w:val="20"/>
              </w:rPr>
              <w:t xml:space="preserve">* non prise en compte : 5 points </w:t>
            </w:r>
          </w:p>
          <w:p w:rsidR="00716B3F" w:rsidRPr="00716B3F" w:rsidRDefault="00716B3F" w:rsidP="00716B3F">
            <w:pPr>
              <w:spacing w:after="0" w:line="240" w:lineRule="auto"/>
              <w:rPr>
                <w:rFonts w:ascii="Arial" w:eastAsia="Calibri" w:hAnsi="Arial" w:cs="Arial"/>
                <w:sz w:val="20"/>
                <w:szCs w:val="20"/>
              </w:rPr>
            </w:pPr>
            <w:r w:rsidRPr="0034366D">
              <w:rPr>
                <w:rFonts w:ascii="Arial" w:eastAsia="Calibri" w:hAnsi="Arial" w:cs="Arial"/>
                <w:sz w:val="20"/>
                <w:szCs w:val="20"/>
              </w:rPr>
              <w:t xml:space="preserve">* </w:t>
            </w:r>
            <w:r w:rsidRPr="00716B3F">
              <w:rPr>
                <w:rFonts w:ascii="Arial" w:eastAsia="Calibri" w:hAnsi="Arial" w:cs="Arial"/>
                <w:sz w:val="20"/>
                <w:szCs w:val="20"/>
              </w:rPr>
              <w:t>partiellement prise en compte : 15 points</w:t>
            </w:r>
          </w:p>
          <w:p w:rsidR="00716B3F" w:rsidRPr="00716B3F" w:rsidRDefault="00716B3F" w:rsidP="00716B3F">
            <w:pPr>
              <w:spacing w:after="0" w:line="240" w:lineRule="auto"/>
              <w:rPr>
                <w:rFonts w:ascii="Arial" w:eastAsia="Calibri" w:hAnsi="Arial" w:cs="Arial"/>
                <w:sz w:val="20"/>
                <w:szCs w:val="20"/>
              </w:rPr>
            </w:pPr>
          </w:p>
          <w:p w:rsidR="00716B3F" w:rsidRPr="00716B3F" w:rsidRDefault="00716B3F" w:rsidP="00716B3F">
            <w:pPr>
              <w:spacing w:after="0" w:line="240" w:lineRule="auto"/>
              <w:rPr>
                <w:rFonts w:ascii="Arial" w:eastAsia="Calibri" w:hAnsi="Arial" w:cs="Arial"/>
                <w:sz w:val="20"/>
                <w:szCs w:val="20"/>
              </w:rPr>
            </w:pPr>
            <w:r w:rsidRPr="00716B3F">
              <w:rPr>
                <w:rFonts w:ascii="Arial" w:eastAsia="Calibri" w:hAnsi="Arial" w:cs="Arial"/>
                <w:sz w:val="20"/>
                <w:szCs w:val="20"/>
              </w:rPr>
              <w:t xml:space="preserve">Problématique forte : </w:t>
            </w:r>
          </w:p>
          <w:p w:rsidR="00716B3F" w:rsidRPr="00716B3F" w:rsidRDefault="00716B3F" w:rsidP="00716B3F">
            <w:pPr>
              <w:spacing w:after="0" w:line="240" w:lineRule="auto"/>
              <w:rPr>
                <w:rFonts w:ascii="Arial" w:eastAsia="Calibri" w:hAnsi="Arial" w:cs="Arial"/>
                <w:sz w:val="20"/>
                <w:szCs w:val="20"/>
              </w:rPr>
            </w:pPr>
            <w:r w:rsidRPr="00716B3F">
              <w:rPr>
                <w:rFonts w:ascii="Arial" w:eastAsia="Calibri" w:hAnsi="Arial" w:cs="Arial"/>
                <w:sz w:val="20"/>
                <w:szCs w:val="20"/>
              </w:rPr>
              <w:t>* non prise en compte : 0 points</w:t>
            </w:r>
          </w:p>
          <w:p w:rsidR="00716B3F" w:rsidRPr="00716B3F" w:rsidRDefault="00716B3F" w:rsidP="00716B3F">
            <w:pPr>
              <w:spacing w:after="0" w:line="240" w:lineRule="auto"/>
              <w:rPr>
                <w:rFonts w:ascii="Arial" w:eastAsia="Calibri" w:hAnsi="Arial" w:cs="Arial"/>
                <w:sz w:val="20"/>
                <w:szCs w:val="20"/>
              </w:rPr>
            </w:pPr>
            <w:r w:rsidRPr="00716B3F">
              <w:rPr>
                <w:rFonts w:ascii="Arial" w:eastAsia="Calibri" w:hAnsi="Arial" w:cs="Arial"/>
                <w:sz w:val="20"/>
                <w:szCs w:val="20"/>
              </w:rPr>
              <w:t>* bien prise en compte :</w:t>
            </w:r>
          </w:p>
          <w:p w:rsidR="00716B3F" w:rsidRPr="0034366D" w:rsidRDefault="00716B3F" w:rsidP="00716B3F">
            <w:pPr>
              <w:spacing w:after="0" w:line="240" w:lineRule="auto"/>
              <w:rPr>
                <w:rFonts w:ascii="Arial" w:eastAsia="Calibri" w:hAnsi="Arial" w:cs="Arial"/>
                <w:color w:val="000000"/>
                <w:sz w:val="20"/>
                <w:szCs w:val="20"/>
              </w:rPr>
            </w:pPr>
            <w:r w:rsidRPr="00716B3F">
              <w:rPr>
                <w:rFonts w:ascii="Arial" w:eastAsia="Calibri" w:hAnsi="Arial" w:cs="Arial"/>
                <w:sz w:val="20"/>
                <w:szCs w:val="20"/>
              </w:rPr>
              <w:t>15 points</w:t>
            </w:r>
          </w:p>
        </w:tc>
        <w:tc>
          <w:tcPr>
            <w:tcW w:w="622" w:type="pct"/>
            <w:shd w:val="clear" w:color="auto" w:fill="FFFFFF" w:themeFill="background1"/>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15</w:t>
            </w:r>
          </w:p>
        </w:tc>
      </w:tr>
      <w:tr w:rsidR="00716B3F" w:rsidRPr="0034366D" w:rsidTr="00716B3F">
        <w:trPr>
          <w:trHeight w:val="308"/>
        </w:trPr>
        <w:tc>
          <w:tcPr>
            <w:tcW w:w="481" w:type="pct"/>
            <w:vMerge/>
            <w:shd w:val="clear" w:color="auto" w:fill="EAF1DD"/>
          </w:tcPr>
          <w:p w:rsidR="00716B3F" w:rsidRPr="0034366D" w:rsidRDefault="00716B3F" w:rsidP="00716B3F">
            <w:pPr>
              <w:jc w:val="center"/>
              <w:rPr>
                <w:rFonts w:ascii="Arial" w:eastAsia="Calibri" w:hAnsi="Arial" w:cs="Arial"/>
                <w:b/>
                <w:color w:val="000000"/>
                <w:sz w:val="20"/>
                <w:szCs w:val="20"/>
              </w:rPr>
            </w:pPr>
          </w:p>
        </w:tc>
        <w:tc>
          <w:tcPr>
            <w:tcW w:w="2184" w:type="pct"/>
            <w:shd w:val="clear" w:color="auto" w:fill="E2EFD9" w:themeFill="accent6" w:themeFillTint="33"/>
          </w:tcPr>
          <w:p w:rsidR="00716B3F" w:rsidRPr="0034366D" w:rsidRDefault="00716B3F" w:rsidP="00716B3F">
            <w:pPr>
              <w:rPr>
                <w:rFonts w:ascii="Arial" w:eastAsia="Calibri" w:hAnsi="Arial" w:cs="Arial"/>
                <w:color w:val="000000"/>
                <w:sz w:val="20"/>
                <w:szCs w:val="20"/>
              </w:rPr>
            </w:pPr>
            <w:r w:rsidRPr="0034366D">
              <w:rPr>
                <w:rFonts w:ascii="Arial" w:eastAsia="Calibri" w:hAnsi="Arial" w:cs="Arial"/>
                <w:color w:val="000000"/>
                <w:sz w:val="20"/>
                <w:szCs w:val="20"/>
              </w:rPr>
              <w:t>Le marquage des cloisonnements (préservation des sols + performance socio-économique)</w:t>
            </w:r>
          </w:p>
        </w:tc>
        <w:tc>
          <w:tcPr>
            <w:tcW w:w="1713" w:type="pct"/>
            <w:shd w:val="clear" w:color="auto" w:fill="E2EFD9" w:themeFill="accent6" w:themeFillTint="33"/>
          </w:tcPr>
          <w:p w:rsidR="00716B3F" w:rsidRPr="0034366D" w:rsidRDefault="00716B3F" w:rsidP="00716B3F">
            <w:pPr>
              <w:spacing w:after="0" w:line="240" w:lineRule="auto"/>
              <w:rPr>
                <w:rFonts w:ascii="Arial" w:eastAsia="Calibri" w:hAnsi="Arial" w:cs="Arial"/>
                <w:color w:val="000000"/>
                <w:sz w:val="20"/>
                <w:szCs w:val="20"/>
              </w:rPr>
            </w:pPr>
            <w:r w:rsidRPr="0034366D">
              <w:rPr>
                <w:rFonts w:ascii="Arial" w:eastAsia="Calibri" w:hAnsi="Arial" w:cs="Arial"/>
                <w:color w:val="000000"/>
                <w:sz w:val="20"/>
                <w:szCs w:val="20"/>
              </w:rPr>
              <w:t>Oui</w:t>
            </w:r>
            <w:r>
              <w:rPr>
                <w:rFonts w:ascii="Arial" w:eastAsia="Calibri" w:hAnsi="Arial" w:cs="Arial"/>
                <w:color w:val="000000"/>
                <w:sz w:val="20"/>
                <w:szCs w:val="20"/>
              </w:rPr>
              <w:t xml:space="preserve"> </w:t>
            </w:r>
            <w:r w:rsidRPr="0034366D">
              <w:rPr>
                <w:rFonts w:ascii="Arial" w:eastAsia="Calibri" w:hAnsi="Arial" w:cs="Arial"/>
                <w:color w:val="000000"/>
                <w:sz w:val="20"/>
                <w:szCs w:val="20"/>
              </w:rPr>
              <w:t>/</w:t>
            </w:r>
            <w:r>
              <w:rPr>
                <w:rFonts w:ascii="Arial" w:eastAsia="Calibri" w:hAnsi="Arial" w:cs="Arial"/>
                <w:color w:val="000000"/>
                <w:sz w:val="20"/>
                <w:szCs w:val="20"/>
              </w:rPr>
              <w:t xml:space="preserve"> </w:t>
            </w:r>
            <w:r w:rsidRPr="0034366D">
              <w:rPr>
                <w:rFonts w:ascii="Arial" w:eastAsia="Calibri" w:hAnsi="Arial" w:cs="Arial"/>
                <w:color w:val="000000"/>
                <w:sz w:val="20"/>
                <w:szCs w:val="20"/>
              </w:rPr>
              <w:t>Non</w:t>
            </w:r>
          </w:p>
        </w:tc>
        <w:tc>
          <w:tcPr>
            <w:tcW w:w="622" w:type="pct"/>
            <w:shd w:val="clear" w:color="auto" w:fill="E2EFD9" w:themeFill="accent6" w:themeFillTint="33"/>
          </w:tcPr>
          <w:p w:rsidR="00716B3F" w:rsidRPr="0034366D" w:rsidRDefault="00716B3F" w:rsidP="00716B3F">
            <w:pPr>
              <w:jc w:val="center"/>
              <w:rPr>
                <w:rFonts w:ascii="Arial" w:eastAsia="Calibri" w:hAnsi="Arial" w:cs="Arial"/>
                <w:color w:val="000000"/>
                <w:sz w:val="20"/>
                <w:szCs w:val="20"/>
              </w:rPr>
            </w:pPr>
            <w:r w:rsidRPr="0034366D">
              <w:rPr>
                <w:rFonts w:ascii="Arial" w:eastAsia="Calibri" w:hAnsi="Arial" w:cs="Arial"/>
                <w:color w:val="000000"/>
                <w:sz w:val="20"/>
                <w:szCs w:val="20"/>
              </w:rPr>
              <w:t>10</w:t>
            </w:r>
          </w:p>
        </w:tc>
      </w:tr>
      <w:tr w:rsidR="00716B3F" w:rsidRPr="0034366D" w:rsidTr="00716B3F">
        <w:trPr>
          <w:trHeight w:val="308"/>
        </w:trPr>
        <w:tc>
          <w:tcPr>
            <w:tcW w:w="481" w:type="pct"/>
            <w:shd w:val="clear" w:color="auto" w:fill="FFFFFF" w:themeFill="background1"/>
          </w:tcPr>
          <w:p w:rsidR="00716B3F" w:rsidRPr="0034366D" w:rsidRDefault="00716B3F" w:rsidP="00716B3F">
            <w:pPr>
              <w:spacing w:after="0" w:line="240" w:lineRule="auto"/>
              <w:jc w:val="center"/>
              <w:rPr>
                <w:rFonts w:ascii="Arial" w:eastAsia="Calibri" w:hAnsi="Arial" w:cs="Arial"/>
                <w:b/>
                <w:color w:val="000000"/>
                <w:sz w:val="20"/>
                <w:szCs w:val="20"/>
              </w:rPr>
            </w:pPr>
          </w:p>
        </w:tc>
        <w:tc>
          <w:tcPr>
            <w:tcW w:w="2184" w:type="pct"/>
            <w:shd w:val="clear" w:color="auto" w:fill="auto"/>
          </w:tcPr>
          <w:p w:rsidR="00716B3F" w:rsidRPr="0034366D" w:rsidRDefault="00716B3F" w:rsidP="00716B3F">
            <w:pPr>
              <w:spacing w:after="0" w:line="240" w:lineRule="auto"/>
              <w:rPr>
                <w:rFonts w:ascii="Arial" w:eastAsia="Calibri" w:hAnsi="Arial" w:cs="Arial"/>
                <w:color w:val="000000"/>
                <w:sz w:val="20"/>
                <w:szCs w:val="20"/>
              </w:rPr>
            </w:pPr>
          </w:p>
        </w:tc>
        <w:tc>
          <w:tcPr>
            <w:tcW w:w="1713" w:type="pct"/>
          </w:tcPr>
          <w:p w:rsidR="00716B3F" w:rsidRPr="0034366D" w:rsidRDefault="00716B3F" w:rsidP="00716B3F">
            <w:pPr>
              <w:spacing w:after="0" w:line="240" w:lineRule="auto"/>
              <w:rPr>
                <w:rFonts w:ascii="Arial" w:eastAsia="Calibri" w:hAnsi="Arial" w:cs="Arial"/>
                <w:color w:val="000000"/>
                <w:sz w:val="20"/>
                <w:szCs w:val="20"/>
              </w:rPr>
            </w:pPr>
          </w:p>
        </w:tc>
        <w:tc>
          <w:tcPr>
            <w:tcW w:w="622" w:type="pct"/>
          </w:tcPr>
          <w:p w:rsidR="00716B3F" w:rsidRPr="0034366D" w:rsidRDefault="00716B3F" w:rsidP="00716B3F">
            <w:pPr>
              <w:spacing w:after="0" w:line="240" w:lineRule="auto"/>
              <w:jc w:val="center"/>
              <w:rPr>
                <w:rFonts w:ascii="Arial" w:eastAsia="Calibri" w:hAnsi="Arial" w:cs="Arial"/>
                <w:color w:val="000000"/>
                <w:sz w:val="20"/>
                <w:szCs w:val="20"/>
              </w:rPr>
            </w:pPr>
            <w:r w:rsidRPr="0034366D">
              <w:rPr>
                <w:rFonts w:ascii="Arial" w:eastAsia="Calibri" w:hAnsi="Arial" w:cs="Arial"/>
                <w:color w:val="000000"/>
                <w:sz w:val="20"/>
                <w:szCs w:val="20"/>
              </w:rPr>
              <w:t xml:space="preserve">Total : </w:t>
            </w:r>
          </w:p>
          <w:p w:rsidR="00716B3F" w:rsidRPr="0034366D" w:rsidRDefault="00716B3F" w:rsidP="00716B3F">
            <w:pPr>
              <w:spacing w:after="0" w:line="240" w:lineRule="auto"/>
              <w:jc w:val="center"/>
              <w:rPr>
                <w:rFonts w:ascii="Arial" w:eastAsia="Calibri" w:hAnsi="Arial" w:cs="Arial"/>
                <w:color w:val="000000"/>
                <w:sz w:val="20"/>
                <w:szCs w:val="20"/>
              </w:rPr>
            </w:pPr>
            <w:r w:rsidRPr="0034366D">
              <w:rPr>
                <w:rFonts w:ascii="Arial" w:eastAsia="Calibri" w:hAnsi="Arial" w:cs="Arial"/>
                <w:color w:val="000000"/>
                <w:sz w:val="20"/>
                <w:szCs w:val="20"/>
              </w:rPr>
              <w:t>110 points</w:t>
            </w:r>
          </w:p>
        </w:tc>
      </w:tr>
    </w:tbl>
    <w:p w:rsidR="00716B3F" w:rsidRDefault="00716B3F" w:rsidP="00716B3F">
      <w:pPr>
        <w:spacing w:after="0" w:line="240" w:lineRule="auto"/>
        <w:jc w:val="both"/>
        <w:rPr>
          <w:rFonts w:ascii="Arial" w:hAnsi="Arial" w:cs="Arial"/>
          <w:sz w:val="20"/>
          <w:szCs w:val="20"/>
        </w:rPr>
      </w:pPr>
    </w:p>
    <w:p w:rsidR="00716B3F" w:rsidRDefault="00716B3F" w:rsidP="00716B3F">
      <w:pPr>
        <w:spacing w:after="0" w:line="240" w:lineRule="auto"/>
        <w:jc w:val="both"/>
        <w:rPr>
          <w:rFonts w:ascii="Arial" w:hAnsi="Arial" w:cs="Arial"/>
          <w:sz w:val="20"/>
          <w:szCs w:val="20"/>
        </w:rPr>
      </w:pPr>
    </w:p>
    <w:p w:rsidR="00716B3F" w:rsidRPr="008346E5" w:rsidRDefault="00716B3F" w:rsidP="00716B3F">
      <w:pPr>
        <w:spacing w:after="0" w:line="240" w:lineRule="auto"/>
        <w:jc w:val="both"/>
        <w:rPr>
          <w:rFonts w:ascii="Arial" w:hAnsi="Arial" w:cs="Arial"/>
          <w:sz w:val="20"/>
          <w:szCs w:val="20"/>
        </w:rPr>
      </w:pPr>
    </w:p>
    <w:p w:rsidR="00716B3F" w:rsidRDefault="00716B3F" w:rsidP="00716B3F">
      <w:pPr>
        <w:spacing w:after="0" w:line="240" w:lineRule="auto"/>
        <w:jc w:val="center"/>
        <w:rPr>
          <w:rFonts w:ascii="Arial" w:hAnsi="Arial" w:cs="Arial"/>
          <w:b/>
          <w:sz w:val="20"/>
          <w:szCs w:val="20"/>
        </w:rPr>
      </w:pPr>
    </w:p>
    <w:p w:rsidR="00716B3F" w:rsidRPr="00B35106" w:rsidRDefault="00716B3F" w:rsidP="00716B3F">
      <w:pPr>
        <w:shd w:val="clear" w:color="auto" w:fill="385623" w:themeFill="accent6" w:themeFillShade="80"/>
        <w:spacing w:after="0" w:line="240" w:lineRule="auto"/>
        <w:jc w:val="center"/>
        <w:rPr>
          <w:rFonts w:ascii="Arial" w:eastAsia="Times New Roman" w:hAnsi="Arial" w:cs="Arial"/>
          <w:b/>
          <w:color w:val="FFFFFF"/>
          <w:sz w:val="20"/>
          <w:szCs w:val="20"/>
          <w:lang w:eastAsia="fr-FR"/>
        </w:rPr>
      </w:pPr>
      <w:r w:rsidRPr="00B35106">
        <w:rPr>
          <w:rFonts w:ascii="Arial" w:eastAsia="Times New Roman" w:hAnsi="Arial" w:cs="Arial"/>
          <w:b/>
          <w:color w:val="FFFFFF"/>
          <w:sz w:val="20"/>
          <w:szCs w:val="20"/>
          <w:lang w:eastAsia="fr-FR"/>
        </w:rPr>
        <w:t>Le seuil de sélection au titre de l’appel à projet</w:t>
      </w:r>
      <w:r>
        <w:rPr>
          <w:rFonts w:ascii="Arial" w:eastAsia="Times New Roman" w:hAnsi="Arial" w:cs="Arial"/>
          <w:b/>
          <w:color w:val="FFFFFF"/>
          <w:sz w:val="20"/>
          <w:szCs w:val="20"/>
          <w:lang w:eastAsia="fr-FR"/>
        </w:rPr>
        <w:t>s</w:t>
      </w:r>
      <w:r w:rsidRPr="00B35106">
        <w:rPr>
          <w:rFonts w:ascii="Arial" w:eastAsia="Times New Roman" w:hAnsi="Arial" w:cs="Arial"/>
          <w:b/>
          <w:color w:val="FFFFFF"/>
          <w:sz w:val="20"/>
          <w:szCs w:val="20"/>
          <w:lang w:eastAsia="fr-FR"/>
        </w:rPr>
        <w:t xml:space="preserve"> est fixé à :</w:t>
      </w:r>
    </w:p>
    <w:p w:rsidR="00716B3F" w:rsidRPr="00B35106" w:rsidRDefault="00716B3F" w:rsidP="00716B3F">
      <w:pPr>
        <w:shd w:val="clear" w:color="auto" w:fill="385623" w:themeFill="accent6" w:themeFillShade="80"/>
        <w:spacing w:after="0" w:line="240" w:lineRule="auto"/>
        <w:jc w:val="center"/>
        <w:rPr>
          <w:rFonts w:ascii="Arial" w:eastAsia="Times New Roman" w:hAnsi="Arial" w:cs="Arial"/>
          <w:b/>
          <w:color w:val="FFFFFF"/>
          <w:sz w:val="24"/>
          <w:szCs w:val="24"/>
          <w:lang w:eastAsia="fr-FR"/>
        </w:rPr>
      </w:pPr>
      <w:r w:rsidRPr="00B35106">
        <w:rPr>
          <w:rFonts w:ascii="Arial" w:eastAsia="Times New Roman" w:hAnsi="Arial" w:cs="Arial"/>
          <w:b/>
          <w:i/>
          <w:color w:val="FFFFFF"/>
          <w:sz w:val="24"/>
          <w:szCs w:val="24"/>
          <w:lang w:eastAsia="fr-FR"/>
        </w:rPr>
        <w:t xml:space="preserve"> </w:t>
      </w:r>
      <w:r>
        <w:rPr>
          <w:rFonts w:ascii="Arial" w:eastAsia="Times New Roman" w:hAnsi="Arial" w:cs="Arial"/>
          <w:b/>
          <w:color w:val="FFFFFF"/>
          <w:sz w:val="24"/>
          <w:szCs w:val="24"/>
          <w:lang w:eastAsia="fr-FR"/>
        </w:rPr>
        <w:t>40</w:t>
      </w:r>
      <w:r w:rsidRPr="00B35106">
        <w:rPr>
          <w:rFonts w:ascii="Arial" w:eastAsia="Times New Roman" w:hAnsi="Arial" w:cs="Arial"/>
          <w:b/>
          <w:color w:val="FFFFFF"/>
          <w:sz w:val="24"/>
          <w:szCs w:val="24"/>
          <w:lang w:eastAsia="fr-FR"/>
        </w:rPr>
        <w:t xml:space="preserve"> points sur un total de 11</w:t>
      </w:r>
      <w:r>
        <w:rPr>
          <w:rFonts w:ascii="Arial" w:eastAsia="Times New Roman" w:hAnsi="Arial" w:cs="Arial"/>
          <w:b/>
          <w:color w:val="FFFFFF"/>
          <w:sz w:val="24"/>
          <w:szCs w:val="24"/>
          <w:lang w:eastAsia="fr-FR"/>
        </w:rPr>
        <w:t>0</w:t>
      </w:r>
      <w:r w:rsidRPr="00B35106">
        <w:rPr>
          <w:rFonts w:ascii="Arial" w:eastAsia="Times New Roman" w:hAnsi="Arial" w:cs="Arial"/>
          <w:b/>
          <w:i/>
          <w:color w:val="FFFFFF"/>
          <w:sz w:val="24"/>
          <w:szCs w:val="24"/>
          <w:lang w:eastAsia="fr-FR"/>
        </w:rPr>
        <w:t xml:space="preserve"> </w:t>
      </w:r>
      <w:r w:rsidRPr="00B35106">
        <w:rPr>
          <w:rFonts w:ascii="Arial" w:eastAsia="Times New Roman" w:hAnsi="Arial" w:cs="Arial"/>
          <w:b/>
          <w:color w:val="FFFFFF"/>
          <w:sz w:val="24"/>
          <w:szCs w:val="24"/>
          <w:lang w:eastAsia="fr-FR"/>
        </w:rPr>
        <w:t xml:space="preserve">points maximum </w:t>
      </w:r>
    </w:p>
    <w:p w:rsidR="00716B3F" w:rsidRDefault="00716B3F" w:rsidP="00716B3F">
      <w:pPr>
        <w:spacing w:after="0" w:line="240" w:lineRule="auto"/>
        <w:jc w:val="center"/>
        <w:rPr>
          <w:rFonts w:ascii="Arial" w:hAnsi="Arial" w:cs="Arial"/>
          <w:b/>
          <w:sz w:val="20"/>
          <w:szCs w:val="20"/>
        </w:rPr>
      </w:pPr>
    </w:p>
    <w:p w:rsidR="00716B3F" w:rsidRPr="0034366D" w:rsidRDefault="00716B3F" w:rsidP="00716B3F">
      <w:pPr>
        <w:spacing w:after="0" w:line="240" w:lineRule="auto"/>
        <w:jc w:val="center"/>
        <w:rPr>
          <w:rFonts w:ascii="Arial" w:hAnsi="Arial" w:cs="Arial"/>
          <w:b/>
          <w:sz w:val="20"/>
          <w:szCs w:val="20"/>
        </w:rPr>
      </w:pPr>
    </w:p>
    <w:p w:rsidR="00716B3F" w:rsidRPr="0034366D" w:rsidRDefault="00716B3F" w:rsidP="00716B3F">
      <w:pPr>
        <w:spacing w:after="0" w:line="276" w:lineRule="auto"/>
        <w:jc w:val="both"/>
        <w:rPr>
          <w:rFonts w:ascii="Arial" w:eastAsia="Times New Roman" w:hAnsi="Arial" w:cs="Arial"/>
          <w:sz w:val="20"/>
          <w:szCs w:val="20"/>
          <w:lang w:eastAsia="fr-FR"/>
        </w:rPr>
      </w:pPr>
      <w:r w:rsidRPr="0034366D">
        <w:rPr>
          <w:rFonts w:ascii="Arial" w:eastAsia="Times New Roman" w:hAnsi="Arial" w:cs="Arial"/>
          <w:sz w:val="20"/>
          <w:szCs w:val="20"/>
          <w:lang w:eastAsia="fr-FR"/>
        </w:rPr>
        <w:lastRenderedPageBreak/>
        <w:t xml:space="preserve">Les dossiers recevables seront notés selon la grille ci-dessus et devront atteindre la note minimale de 40 points pour pouvoir être sélectionnés. </w:t>
      </w:r>
    </w:p>
    <w:p w:rsidR="00716B3F" w:rsidRPr="0034366D" w:rsidRDefault="00716B3F" w:rsidP="00716B3F">
      <w:pPr>
        <w:spacing w:after="0" w:line="276" w:lineRule="auto"/>
        <w:jc w:val="both"/>
        <w:rPr>
          <w:rFonts w:ascii="Arial" w:eastAsia="Times New Roman" w:hAnsi="Arial" w:cs="Arial"/>
          <w:b/>
          <w:sz w:val="20"/>
          <w:szCs w:val="20"/>
          <w:lang w:eastAsia="fr-FR"/>
        </w:rPr>
      </w:pPr>
    </w:p>
    <w:p w:rsidR="00716B3F" w:rsidRPr="0034366D" w:rsidRDefault="00716B3F" w:rsidP="00716B3F">
      <w:pPr>
        <w:spacing w:after="0" w:line="276" w:lineRule="auto"/>
        <w:jc w:val="both"/>
        <w:rPr>
          <w:rFonts w:ascii="Arial" w:eastAsia="Times New Roman" w:hAnsi="Arial" w:cs="Arial"/>
          <w:sz w:val="20"/>
          <w:szCs w:val="20"/>
          <w:lang w:eastAsia="fr-FR"/>
        </w:rPr>
      </w:pPr>
      <w:r w:rsidRPr="0034366D">
        <w:rPr>
          <w:rFonts w:ascii="Arial" w:eastAsia="Times New Roman" w:hAnsi="Arial" w:cs="Arial"/>
          <w:sz w:val="20"/>
          <w:szCs w:val="20"/>
          <w:lang w:eastAsia="fr-FR"/>
        </w:rPr>
        <w:t>Les dossiers sélectionnés seront priorisés en fonction de leur note et traités jusqu’à épuisement de l’enveloppe. Des dossiers sélectionnés pourront donc se voir rejeter si leur note est trop peu élevée, dès que l’enveloppe sera épuisée.</w:t>
      </w:r>
    </w:p>
    <w:p w:rsidR="000939A4" w:rsidRDefault="000939A4"/>
    <w:sectPr w:rsidR="000939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3F" w:rsidRDefault="00716B3F" w:rsidP="00716B3F">
      <w:pPr>
        <w:spacing w:after="0" w:line="240" w:lineRule="auto"/>
      </w:pPr>
      <w:r>
        <w:separator/>
      </w:r>
    </w:p>
  </w:endnote>
  <w:endnote w:type="continuationSeparator" w:id="0">
    <w:p w:rsidR="00716B3F" w:rsidRDefault="00716B3F" w:rsidP="0071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3F" w:rsidRDefault="00716B3F" w:rsidP="00716B3F">
      <w:pPr>
        <w:spacing w:after="0" w:line="240" w:lineRule="auto"/>
      </w:pPr>
      <w:r>
        <w:separator/>
      </w:r>
    </w:p>
  </w:footnote>
  <w:footnote w:type="continuationSeparator" w:id="0">
    <w:p w:rsidR="00716B3F" w:rsidRDefault="00716B3F" w:rsidP="00716B3F">
      <w:pPr>
        <w:spacing w:after="0" w:line="240" w:lineRule="auto"/>
      </w:pPr>
      <w:r>
        <w:continuationSeparator/>
      </w:r>
    </w:p>
  </w:footnote>
  <w:footnote w:id="1">
    <w:p w:rsidR="00716B3F" w:rsidRPr="00716B3F" w:rsidRDefault="00716B3F" w:rsidP="00716B3F">
      <w:pPr>
        <w:spacing w:after="0" w:line="240" w:lineRule="auto"/>
        <w:jc w:val="both"/>
        <w:rPr>
          <w:rFonts w:ascii="Arial" w:hAnsi="Arial" w:cs="Arial"/>
          <w:sz w:val="18"/>
          <w:szCs w:val="20"/>
        </w:rPr>
      </w:pPr>
      <w:r>
        <w:rPr>
          <w:rStyle w:val="Appelnotedebasdep"/>
        </w:rPr>
        <w:footnoteRef/>
      </w:r>
      <w:r>
        <w:t xml:space="preserve"> </w:t>
      </w:r>
      <w:r w:rsidRPr="00716B3F">
        <w:rPr>
          <w:rFonts w:ascii="Arial" w:hAnsi="Arial" w:cs="Arial"/>
          <w:sz w:val="18"/>
          <w:szCs w:val="20"/>
        </w:rPr>
        <w:t>A noter que les « points noirs » sont des ouvrages d’art potentiellement contraignants (ponts, tunnels…), des tronçons de chaussées avec limitations de tonnage, des contraintes physiques du réseau (angles fermés de virages…) et tout obstacle ponctuel ne permettant pas l’accès à la forêt aux camions grumiers ;</w:t>
      </w:r>
      <w:bookmarkStart w:id="0" w:name="_GoBack"/>
      <w:bookmarkEnd w:id="0"/>
    </w:p>
    <w:p w:rsidR="00716B3F" w:rsidRDefault="00716B3F" w:rsidP="00716B3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3F" w:rsidRPr="00716B3F" w:rsidRDefault="00716B3F" w:rsidP="00716B3F">
    <w:pPr>
      <w:pStyle w:val="En-tte"/>
      <w:jc w:val="center"/>
      <w:rPr>
        <w:b/>
        <w:sz w:val="28"/>
      </w:rPr>
    </w:pPr>
    <w:r w:rsidRPr="00716B3F">
      <w:rPr>
        <w:b/>
        <w:sz w:val="28"/>
      </w:rPr>
      <w:t>Grille de sélection : « Soutien à la réalisation de travaux de desserte forestière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393"/>
    <w:multiLevelType w:val="hybridMultilevel"/>
    <w:tmpl w:val="8236DAAE"/>
    <w:lvl w:ilvl="0" w:tplc="720825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F"/>
    <w:rsid w:val="000939A4"/>
    <w:rsid w:val="00716B3F"/>
    <w:rsid w:val="00946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73F0"/>
  <w15:chartTrackingRefBased/>
  <w15:docId w15:val="{01A0F6F9-E56C-497A-975B-8547788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B3F"/>
    <w:pPr>
      <w:tabs>
        <w:tab w:val="center" w:pos="4536"/>
        <w:tab w:val="right" w:pos="9072"/>
      </w:tabs>
      <w:spacing w:after="0" w:line="240" w:lineRule="auto"/>
    </w:pPr>
  </w:style>
  <w:style w:type="character" w:customStyle="1" w:styleId="En-tteCar">
    <w:name w:val="En-tête Car"/>
    <w:basedOn w:val="Policepardfaut"/>
    <w:link w:val="En-tte"/>
    <w:uiPriority w:val="99"/>
    <w:rsid w:val="00716B3F"/>
  </w:style>
  <w:style w:type="paragraph" w:styleId="Pieddepage">
    <w:name w:val="footer"/>
    <w:basedOn w:val="Normal"/>
    <w:link w:val="PieddepageCar"/>
    <w:uiPriority w:val="99"/>
    <w:unhideWhenUsed/>
    <w:rsid w:val="00716B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6B3F"/>
  </w:style>
  <w:style w:type="character" w:styleId="Marquedecommentaire">
    <w:name w:val="annotation reference"/>
    <w:basedOn w:val="Policepardfaut"/>
    <w:uiPriority w:val="99"/>
    <w:semiHidden/>
    <w:unhideWhenUsed/>
    <w:qFormat/>
    <w:rsid w:val="00716B3F"/>
    <w:rPr>
      <w:sz w:val="16"/>
      <w:szCs w:val="16"/>
    </w:rPr>
  </w:style>
  <w:style w:type="paragraph" w:styleId="Commentaire">
    <w:name w:val="annotation text"/>
    <w:basedOn w:val="Normal"/>
    <w:link w:val="CommentaireCar"/>
    <w:uiPriority w:val="99"/>
    <w:unhideWhenUsed/>
    <w:qFormat/>
    <w:rsid w:val="00716B3F"/>
    <w:pPr>
      <w:spacing w:line="240" w:lineRule="auto"/>
    </w:pPr>
    <w:rPr>
      <w:sz w:val="20"/>
      <w:szCs w:val="20"/>
    </w:rPr>
  </w:style>
  <w:style w:type="character" w:customStyle="1" w:styleId="CommentaireCar">
    <w:name w:val="Commentaire Car"/>
    <w:basedOn w:val="Policepardfaut"/>
    <w:link w:val="Commentaire"/>
    <w:uiPriority w:val="99"/>
    <w:rsid w:val="00716B3F"/>
    <w:rPr>
      <w:sz w:val="20"/>
      <w:szCs w:val="20"/>
    </w:rPr>
  </w:style>
  <w:style w:type="paragraph" w:styleId="Notedebasdepage">
    <w:name w:val="footnote text"/>
    <w:basedOn w:val="Normal"/>
    <w:link w:val="NotedebasdepageCar"/>
    <w:unhideWhenUsed/>
    <w:rsid w:val="00716B3F"/>
    <w:pPr>
      <w:spacing w:after="0" w:line="240" w:lineRule="auto"/>
    </w:pPr>
    <w:rPr>
      <w:sz w:val="20"/>
      <w:szCs w:val="20"/>
    </w:rPr>
  </w:style>
  <w:style w:type="character" w:customStyle="1" w:styleId="NotedebasdepageCar">
    <w:name w:val="Note de bas de page Car"/>
    <w:basedOn w:val="Policepardfaut"/>
    <w:link w:val="Notedebasdepage"/>
    <w:qFormat/>
    <w:rsid w:val="00716B3F"/>
    <w:rPr>
      <w:sz w:val="20"/>
      <w:szCs w:val="20"/>
    </w:rPr>
  </w:style>
  <w:style w:type="character" w:styleId="Appelnotedebasdep">
    <w:name w:val="footnote reference"/>
    <w:basedOn w:val="Policepardfaut"/>
    <w:uiPriority w:val="99"/>
    <w:semiHidden/>
    <w:unhideWhenUsed/>
    <w:qFormat/>
    <w:rsid w:val="00716B3F"/>
    <w:rPr>
      <w:vertAlign w:val="superscript"/>
    </w:rPr>
  </w:style>
  <w:style w:type="paragraph" w:styleId="Textedebulles">
    <w:name w:val="Balloon Text"/>
    <w:basedOn w:val="Normal"/>
    <w:link w:val="TextedebullesCar"/>
    <w:uiPriority w:val="99"/>
    <w:semiHidden/>
    <w:unhideWhenUsed/>
    <w:rsid w:val="00716B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6B3F"/>
    <w:rPr>
      <w:rFonts w:ascii="Segoe UI" w:hAnsi="Segoe UI" w:cs="Segoe UI"/>
      <w:sz w:val="18"/>
      <w:szCs w:val="18"/>
    </w:rPr>
  </w:style>
  <w:style w:type="paragraph" w:styleId="Paragraphedeliste">
    <w:name w:val="List Paragraph"/>
    <w:basedOn w:val="Normal"/>
    <w:link w:val="ParagraphedelisteCar"/>
    <w:uiPriority w:val="34"/>
    <w:qFormat/>
    <w:rsid w:val="00716B3F"/>
    <w:pPr>
      <w:ind w:left="720"/>
      <w:contextualSpacing/>
    </w:pPr>
  </w:style>
  <w:style w:type="character" w:customStyle="1" w:styleId="ParagraphedelisteCar">
    <w:name w:val="Paragraphe de liste Car"/>
    <w:link w:val="Paragraphedeliste"/>
    <w:uiPriority w:val="34"/>
    <w:qFormat/>
    <w:rsid w:val="0071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1785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TALLEUX Claire</dc:creator>
  <cp:keywords/>
  <dc:description/>
  <cp:lastModifiedBy>TALLEUX Claire</cp:lastModifiedBy>
  <cp:revision>1</cp:revision>
  <dcterms:created xsi:type="dcterms:W3CDTF">2023-04-12T15:17:00Z</dcterms:created>
  <dcterms:modified xsi:type="dcterms:W3CDTF">2023-04-12T15:21:00Z</dcterms:modified>
</cp:coreProperties>
</file>