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5C4" w:rsidRDefault="00C735C4" w:rsidP="00C735C4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6"/>
        <w:gridCol w:w="2199"/>
        <w:gridCol w:w="4095"/>
        <w:gridCol w:w="752"/>
      </w:tblGrid>
      <w:tr w:rsidR="00C735C4" w:rsidRPr="00E9232F" w:rsidTr="00C735C4">
        <w:trPr>
          <w:trHeight w:val="61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vAlign w:val="center"/>
            <w:hideMark/>
          </w:tcPr>
          <w:p w:rsidR="00C735C4" w:rsidRPr="003501AF" w:rsidRDefault="00C735C4" w:rsidP="00723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3501A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Performance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472C4"/>
            <w:vAlign w:val="center"/>
            <w:hideMark/>
          </w:tcPr>
          <w:p w:rsidR="00C735C4" w:rsidRPr="003501AF" w:rsidRDefault="00C735C4" w:rsidP="00723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3501A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Critère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472C4"/>
            <w:vAlign w:val="center"/>
            <w:hideMark/>
          </w:tcPr>
          <w:p w:rsidR="00C735C4" w:rsidRPr="003501AF" w:rsidRDefault="00C735C4" w:rsidP="00723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3501A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Détail critère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472C4"/>
            <w:vAlign w:val="center"/>
            <w:hideMark/>
          </w:tcPr>
          <w:p w:rsidR="00C735C4" w:rsidRPr="003501AF" w:rsidRDefault="00C735C4" w:rsidP="00723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3501A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Valeur</w:t>
            </w:r>
          </w:p>
        </w:tc>
      </w:tr>
      <w:tr w:rsidR="00C735C4" w:rsidRPr="00E9232F" w:rsidTr="00C735C4">
        <w:trPr>
          <w:trHeight w:val="1142"/>
        </w:trPr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C735C4" w:rsidRPr="003501AF" w:rsidRDefault="00C735C4" w:rsidP="00723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501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Performance sociale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C735C4" w:rsidRPr="003501AF" w:rsidRDefault="00C735C4" w:rsidP="00723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50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Projet porté par un nouvel installé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/>
            <w:vAlign w:val="center"/>
            <w:hideMark/>
          </w:tcPr>
          <w:p w:rsidR="00C735C4" w:rsidRPr="00F62A99" w:rsidRDefault="00C735C4" w:rsidP="00723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Présence</w:t>
            </w:r>
            <w:r w:rsidRPr="00F62A9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d’</w:t>
            </w:r>
            <w:r w:rsidRPr="00F62A9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un JA ou un bénéficiaire de l’aide régionale (installé ou en cours d’installation</w:t>
            </w:r>
            <w:r w:rsidRPr="00584F9A">
              <w:rPr>
                <w:rFonts w:ascii="Arial" w:eastAsia="Times New Roman" w:hAnsi="Arial" w:cs="Arial"/>
                <w:color w:val="000000"/>
                <w:sz w:val="20"/>
                <w:szCs w:val="18"/>
                <w:lang w:eastAsia="fr-FR"/>
              </w:rPr>
              <w:t>, ayant suivi un parcours d’installation ou en cours de réalisation du parcours)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/>
            <w:vAlign w:val="center"/>
            <w:hideMark/>
          </w:tcPr>
          <w:p w:rsidR="00C735C4" w:rsidRPr="003501AF" w:rsidRDefault="00C735C4" w:rsidP="00723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  <w:r w:rsidRPr="00350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C735C4" w:rsidRPr="00E9232F" w:rsidTr="00C735C4">
        <w:trPr>
          <w:trHeight w:val="151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C735C4" w:rsidRPr="003501AF" w:rsidRDefault="00C735C4" w:rsidP="00723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735C4" w:rsidRPr="003501AF" w:rsidRDefault="00C735C4" w:rsidP="00723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C735C4" w:rsidRPr="003501AF" w:rsidRDefault="00C735C4" w:rsidP="00723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50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Présence d’un nouvel installé depuis moins de 5 ans hors parcours et ayant moins de 50 ans  au moment de la date  d’inscription à la MSA en tant que chef d’exploitation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C735C4" w:rsidRPr="003501AF" w:rsidRDefault="00C735C4" w:rsidP="00723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50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30</w:t>
            </w:r>
          </w:p>
        </w:tc>
      </w:tr>
      <w:tr w:rsidR="00C735C4" w:rsidRPr="00E9232F" w:rsidTr="00C735C4">
        <w:trPr>
          <w:trHeight w:val="1683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C735C4" w:rsidRPr="003501AF" w:rsidRDefault="00C735C4" w:rsidP="00723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C735C4" w:rsidRPr="003501AF" w:rsidRDefault="00C735C4" w:rsidP="00723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50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Primo-demandeur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C735C4" w:rsidRPr="003501AF" w:rsidRDefault="00C735C4" w:rsidP="00723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50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Demandeur n’ayant pas bénéficié d'une aide au titre d'un investissement couvert par l'appel à projets "Investissements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filières végétales</w:t>
            </w:r>
            <w:r w:rsidRPr="00350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" de </w:t>
            </w:r>
            <w:r w:rsidRPr="003501A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la mesure 73.1 du PSN (Plan Stratégique National) </w:t>
            </w:r>
            <w:r w:rsidRPr="00350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au cours de la programmation 2023-2027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C735C4" w:rsidRPr="003501AF" w:rsidRDefault="00C735C4" w:rsidP="00723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50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30</w:t>
            </w:r>
          </w:p>
        </w:tc>
      </w:tr>
      <w:tr w:rsidR="00C735C4" w:rsidRPr="00E9232F" w:rsidTr="00C735C4">
        <w:trPr>
          <w:trHeight w:val="151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C735C4" w:rsidRPr="003501AF" w:rsidRDefault="00C735C4" w:rsidP="00723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C735C4" w:rsidRPr="003501AF" w:rsidRDefault="00C735C4" w:rsidP="00723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50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Démarche collective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C735C4" w:rsidRPr="003501AF" w:rsidRDefault="00C735C4" w:rsidP="00723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50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Demandeur membre d’un collectif en transition agro-écologique (GIEE, groupe 30 000, réseau DEPHY FERME, Groupe Opérationnel au titre du Partenariat Européen pour l’Innovation)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C735C4" w:rsidRPr="003501AF" w:rsidRDefault="00C735C4" w:rsidP="00723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50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30</w:t>
            </w:r>
          </w:p>
        </w:tc>
      </w:tr>
      <w:tr w:rsidR="00C735C4" w:rsidRPr="00E9232F" w:rsidTr="00C735C4">
        <w:trPr>
          <w:trHeight w:val="1445"/>
        </w:trPr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C735C4" w:rsidRPr="003501AF" w:rsidRDefault="00C735C4" w:rsidP="00723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501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Performance économique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C735C4" w:rsidRPr="003501AF" w:rsidRDefault="00C735C4" w:rsidP="00723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501A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Filières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/>
            <w:vAlign w:val="center"/>
            <w:hideMark/>
          </w:tcPr>
          <w:p w:rsidR="00C735C4" w:rsidRPr="003501AF" w:rsidRDefault="00C735C4" w:rsidP="00723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501A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Projet porté par une exploitation pour laquelle au moins 2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  <w:r w:rsidRPr="003501A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% du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chiffre d’affaires</w:t>
            </w:r>
            <w:r w:rsidRPr="003501A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est dégagé par une ou des production(s) végétale(s) spécialisée(s) éligible à cet appel à projets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/>
            <w:vAlign w:val="center"/>
            <w:hideMark/>
          </w:tcPr>
          <w:p w:rsidR="00C735C4" w:rsidRPr="003501AF" w:rsidRDefault="00C735C4" w:rsidP="00723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501A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</w:t>
            </w:r>
          </w:p>
        </w:tc>
      </w:tr>
      <w:tr w:rsidR="00C735C4" w:rsidRPr="00E9232F" w:rsidTr="00C735C4">
        <w:trPr>
          <w:trHeight w:val="1395"/>
        </w:trPr>
        <w:tc>
          <w:tcPr>
            <w:tcW w:w="0" w:type="auto"/>
            <w:vMerge/>
            <w:tcBorders>
              <w:left w:val="single" w:sz="8" w:space="0" w:color="FFFFFF"/>
              <w:right w:val="single" w:sz="8" w:space="0" w:color="FFFFFF"/>
            </w:tcBorders>
            <w:vAlign w:val="center"/>
            <w:hideMark/>
          </w:tcPr>
          <w:p w:rsidR="00C735C4" w:rsidRPr="003501AF" w:rsidRDefault="00C735C4" w:rsidP="00723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C735C4" w:rsidRPr="003501AF" w:rsidRDefault="00C735C4" w:rsidP="00723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501A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Création d’atelier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sur une culture déficitaire en HDF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C735C4" w:rsidRPr="003501AF" w:rsidRDefault="00C735C4" w:rsidP="00723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501A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Projet porté par une exploitation introduisant une des production(s) végétale(s) spécialisée(s) à enjeux : arboriculture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y compris cidriculture et nuci</w:t>
            </w:r>
            <w:r w:rsidRPr="003501A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culture, maraîchage, fruits rouges, houblon, chanvre, SIQO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C735C4" w:rsidRPr="003501AF" w:rsidRDefault="00C735C4" w:rsidP="00723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501A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</w:t>
            </w:r>
          </w:p>
        </w:tc>
      </w:tr>
      <w:tr w:rsidR="00C735C4" w:rsidRPr="00E9232F" w:rsidTr="00C735C4">
        <w:trPr>
          <w:trHeight w:val="1515"/>
        </w:trPr>
        <w:tc>
          <w:tcPr>
            <w:tcW w:w="0" w:type="auto"/>
            <w:vMerge/>
            <w:tcBorders>
              <w:left w:val="single" w:sz="8" w:space="0" w:color="FFFFFF"/>
              <w:right w:val="single" w:sz="8" w:space="0" w:color="FFFFFF"/>
            </w:tcBorders>
            <w:vAlign w:val="center"/>
            <w:hideMark/>
          </w:tcPr>
          <w:p w:rsidR="00C735C4" w:rsidRPr="003501AF" w:rsidRDefault="00C735C4" w:rsidP="00723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C735C4" w:rsidRPr="003501AF" w:rsidRDefault="00C735C4" w:rsidP="00723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501A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Circuit court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C735C4" w:rsidRPr="003501AF" w:rsidRDefault="00C735C4" w:rsidP="00723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50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Projet porté par une exploitation pour laquelle au moins </w:t>
            </w:r>
            <w:r w:rsidRPr="003501A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30% </w:t>
            </w:r>
            <w:r w:rsidRPr="00350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du chiffre d'affaire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</w:t>
            </w:r>
            <w:r w:rsidRPr="00350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est généré par une démarche de circuit court (du dernier exercice de l'exploitation)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C735C4" w:rsidRPr="003501AF" w:rsidRDefault="00C735C4" w:rsidP="00723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50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30</w:t>
            </w:r>
          </w:p>
        </w:tc>
      </w:tr>
      <w:tr w:rsidR="00C735C4" w:rsidRPr="00E9232F" w:rsidTr="00C735C4">
        <w:trPr>
          <w:trHeight w:val="1267"/>
        </w:trPr>
        <w:tc>
          <w:tcPr>
            <w:tcW w:w="0" w:type="auto"/>
            <w:vMerge/>
            <w:tcBorders>
              <w:left w:val="single" w:sz="8" w:space="0" w:color="FFFFFF"/>
              <w:right w:val="single" w:sz="8" w:space="0" w:color="FFFFFF"/>
            </w:tcBorders>
            <w:vAlign w:val="center"/>
          </w:tcPr>
          <w:p w:rsidR="00C735C4" w:rsidRPr="003501AF" w:rsidRDefault="00C735C4" w:rsidP="00723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FFFFFF"/>
              <w:bottom w:val="outset" w:sz="6" w:space="0" w:color="FFFFFF"/>
              <w:right w:val="single" w:sz="8" w:space="0" w:color="FFFFFF"/>
            </w:tcBorders>
            <w:shd w:val="clear" w:color="000000" w:fill="B4C6E7"/>
            <w:vAlign w:val="center"/>
          </w:tcPr>
          <w:p w:rsidR="00C735C4" w:rsidRPr="003501AF" w:rsidRDefault="00C735C4" w:rsidP="00723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4C6E7"/>
            <w:vAlign w:val="center"/>
          </w:tcPr>
          <w:p w:rsidR="00C735C4" w:rsidRPr="003501AF" w:rsidRDefault="00C735C4" w:rsidP="00723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57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Projet porté par une exploitation pour laquelle au moins 10% du chiffre d'affaire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</w:t>
            </w:r>
            <w:r w:rsidRPr="004257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est généré par une démarche de circuit court (du dernier exercice de l'exploitation)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4C6E7"/>
            <w:vAlign w:val="center"/>
          </w:tcPr>
          <w:p w:rsidR="00C735C4" w:rsidRPr="003501AF" w:rsidRDefault="00C735C4" w:rsidP="00723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C735C4" w:rsidRPr="00E9232F" w:rsidTr="00C735C4">
        <w:trPr>
          <w:trHeight w:val="1215"/>
        </w:trPr>
        <w:tc>
          <w:tcPr>
            <w:tcW w:w="0" w:type="auto"/>
            <w:vMerge/>
            <w:tcBorders>
              <w:left w:val="single" w:sz="8" w:space="0" w:color="FFFFFF"/>
              <w:right w:val="outset" w:sz="6" w:space="0" w:color="FFFFFF"/>
            </w:tcBorders>
            <w:vAlign w:val="center"/>
            <w:hideMark/>
          </w:tcPr>
          <w:p w:rsidR="00C735C4" w:rsidRPr="003501AF" w:rsidRDefault="00C735C4" w:rsidP="00723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000000" w:fill="B4C6E7"/>
            <w:vAlign w:val="center"/>
            <w:hideMark/>
          </w:tcPr>
          <w:p w:rsidR="00C735C4" w:rsidRPr="003501AF" w:rsidRDefault="00C735C4" w:rsidP="00723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50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Système de qualité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6C1D4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(points cumulatifs dans la limite de 40 points)</w:t>
            </w:r>
          </w:p>
        </w:tc>
        <w:tc>
          <w:tcPr>
            <w:tcW w:w="0" w:type="auto"/>
            <w:tcBorders>
              <w:top w:val="nil"/>
              <w:left w:val="outset" w:sz="6" w:space="0" w:color="FFFFFF"/>
              <w:bottom w:val="outset" w:sz="6" w:space="0" w:color="FFFFFF"/>
              <w:right w:val="single" w:sz="8" w:space="0" w:color="FFFFFF"/>
            </w:tcBorders>
            <w:shd w:val="clear" w:color="auto" w:fill="D9E2F3"/>
            <w:vAlign w:val="center"/>
            <w:hideMark/>
          </w:tcPr>
          <w:p w:rsidR="00C735C4" w:rsidRPr="003501AF" w:rsidRDefault="00C735C4" w:rsidP="00723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50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Exploitation avec une production sous SIQO autre qu’Agriculture Biologique et STG lait de foin (Label rouge, IGP, STG, AOC ou AOP)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FFFF"/>
              <w:right w:val="single" w:sz="8" w:space="0" w:color="FFFFFF"/>
            </w:tcBorders>
            <w:shd w:val="clear" w:color="auto" w:fill="D9E2F3"/>
            <w:vAlign w:val="center"/>
            <w:hideMark/>
          </w:tcPr>
          <w:p w:rsidR="00C735C4" w:rsidRPr="003501AF" w:rsidRDefault="00C735C4" w:rsidP="00723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50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30</w:t>
            </w:r>
          </w:p>
        </w:tc>
      </w:tr>
      <w:tr w:rsidR="00C735C4" w:rsidRPr="00E9232F" w:rsidTr="00C735C4">
        <w:trPr>
          <w:trHeight w:val="720"/>
        </w:trPr>
        <w:tc>
          <w:tcPr>
            <w:tcW w:w="0" w:type="auto"/>
            <w:vMerge/>
            <w:tcBorders>
              <w:left w:val="single" w:sz="8" w:space="0" w:color="FFFFFF"/>
              <w:right w:val="outset" w:sz="6" w:space="0" w:color="FFFFFF"/>
            </w:tcBorders>
            <w:vAlign w:val="center"/>
            <w:hideMark/>
          </w:tcPr>
          <w:p w:rsidR="00C735C4" w:rsidRPr="003501AF" w:rsidRDefault="00C735C4" w:rsidP="00723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35C4" w:rsidRPr="003501AF" w:rsidRDefault="00C735C4" w:rsidP="00723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4C6E7"/>
            <w:vAlign w:val="bottom"/>
            <w:hideMark/>
          </w:tcPr>
          <w:p w:rsidR="00C735C4" w:rsidRPr="003501AF" w:rsidRDefault="00C735C4" w:rsidP="00723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50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Autres démarches de qualité (CCP élevages volailles, lapins, LPF, Terroirs Hauts-de-France, Saveurs en Or, autre démarche privée certifiée par tiers non listée)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4C6E7"/>
            <w:noWrap/>
            <w:vAlign w:val="center"/>
            <w:hideMark/>
          </w:tcPr>
          <w:p w:rsidR="00C735C4" w:rsidRPr="003501AF" w:rsidRDefault="00C735C4" w:rsidP="00723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50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C735C4" w:rsidRPr="00E9232F" w:rsidTr="00C735C4">
        <w:trPr>
          <w:trHeight w:val="615"/>
        </w:trPr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nil"/>
              <w:right w:val="outset" w:sz="6" w:space="0" w:color="FFFFFF"/>
            </w:tcBorders>
            <w:shd w:val="clear" w:color="000000" w:fill="B4C6E7"/>
            <w:vAlign w:val="center"/>
            <w:hideMark/>
          </w:tcPr>
          <w:p w:rsidR="00C735C4" w:rsidRPr="003501AF" w:rsidRDefault="00C735C4" w:rsidP="00723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501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Performance environnementale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000000" w:fill="B4C6E7"/>
            <w:vAlign w:val="center"/>
            <w:hideMark/>
          </w:tcPr>
          <w:p w:rsidR="00C735C4" w:rsidRPr="003501AF" w:rsidRDefault="00C735C4" w:rsidP="00723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501A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Entreprise engagée dans un référentiel agro-écologique </w:t>
            </w:r>
            <w:r w:rsidRPr="003501A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</w:r>
            <w:r w:rsidRPr="003501A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</w:r>
            <w:r w:rsidRPr="00420EB4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(points cumulatifs dans la limite de 100 points si engagement dans plusieurs référentiels)</w:t>
            </w:r>
            <w:r w:rsidRPr="003501A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9E2F3"/>
            <w:vAlign w:val="center"/>
            <w:hideMark/>
          </w:tcPr>
          <w:p w:rsidR="00C735C4" w:rsidRPr="003501AF" w:rsidRDefault="00C735C4" w:rsidP="00723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50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Agriculture Biologique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exploitation </w:t>
            </w:r>
            <w:r w:rsidRPr="00350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certifié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</w:t>
            </w:r>
            <w:r w:rsidRPr="00350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ou en conversion)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9E2F3"/>
            <w:vAlign w:val="center"/>
            <w:hideMark/>
          </w:tcPr>
          <w:p w:rsidR="00C735C4" w:rsidRPr="003501AF" w:rsidRDefault="00C735C4" w:rsidP="00723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50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40</w:t>
            </w:r>
          </w:p>
        </w:tc>
      </w:tr>
      <w:tr w:rsidR="00C735C4" w:rsidRPr="00E9232F" w:rsidTr="00C735C4">
        <w:trPr>
          <w:trHeight w:val="121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outset" w:sz="6" w:space="0" w:color="FFFFFF"/>
            </w:tcBorders>
            <w:vAlign w:val="center"/>
            <w:hideMark/>
          </w:tcPr>
          <w:p w:rsidR="00C735C4" w:rsidRPr="003501AF" w:rsidRDefault="00C735C4" w:rsidP="00723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35C4" w:rsidRPr="003501AF" w:rsidRDefault="00C735C4" w:rsidP="00723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vAlign w:val="center"/>
            <w:hideMark/>
          </w:tcPr>
          <w:p w:rsidR="00C735C4" w:rsidRPr="003501AF" w:rsidRDefault="00C735C4" w:rsidP="00723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50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STG Lait de foin, contrats MAEC systèmes ou forfaitaire, Au Cœur des Sols, Label bas-carbone, contrat de Paiement pour Services Environnementaux (PSE)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, HVE 3 obtenue à partir du 1</w:t>
            </w:r>
            <w:r w:rsidRPr="00A6794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fr-FR"/>
              </w:rPr>
              <w:t>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janvier 2023</w:t>
            </w:r>
          </w:p>
        </w:tc>
        <w:tc>
          <w:tcPr>
            <w:tcW w:w="0" w:type="auto"/>
            <w:tcBorders>
              <w:top w:val="outset" w:sz="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4C6E7"/>
            <w:vAlign w:val="center"/>
            <w:hideMark/>
          </w:tcPr>
          <w:p w:rsidR="00C735C4" w:rsidRPr="003501AF" w:rsidRDefault="00C735C4" w:rsidP="00723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50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30</w:t>
            </w:r>
          </w:p>
        </w:tc>
      </w:tr>
      <w:tr w:rsidR="00C735C4" w:rsidRPr="00E9232F" w:rsidTr="00C735C4">
        <w:trPr>
          <w:trHeight w:val="91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outset" w:sz="6" w:space="0" w:color="FFFFFF"/>
            </w:tcBorders>
            <w:vAlign w:val="center"/>
            <w:hideMark/>
          </w:tcPr>
          <w:p w:rsidR="00C735C4" w:rsidRPr="003501AF" w:rsidRDefault="00C735C4" w:rsidP="00723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35C4" w:rsidRPr="003501AF" w:rsidRDefault="00C735C4" w:rsidP="00723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vAlign w:val="center"/>
            <w:hideMark/>
          </w:tcPr>
          <w:p w:rsidR="00C735C4" w:rsidRPr="003501AF" w:rsidRDefault="00C735C4" w:rsidP="00723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50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Agri Confiance, HVE (=certification environnementale de niveau 3, voie A), LU’Harmony, autres MAEC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/>
            <w:vAlign w:val="center"/>
            <w:hideMark/>
          </w:tcPr>
          <w:p w:rsidR="00C735C4" w:rsidRPr="003501AF" w:rsidRDefault="00C735C4" w:rsidP="00723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50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C735C4" w:rsidRPr="00E9232F" w:rsidTr="00C735C4">
        <w:trPr>
          <w:trHeight w:val="870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outset" w:sz="6" w:space="0" w:color="FFFFFF"/>
            </w:tcBorders>
            <w:vAlign w:val="center"/>
            <w:hideMark/>
          </w:tcPr>
          <w:p w:rsidR="00C735C4" w:rsidRPr="003501AF" w:rsidRDefault="00C735C4" w:rsidP="00723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35C4" w:rsidRPr="003501AF" w:rsidRDefault="00C735C4" w:rsidP="00723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vAlign w:val="center"/>
            <w:hideMark/>
          </w:tcPr>
          <w:p w:rsidR="00C735C4" w:rsidRPr="003501AF" w:rsidRDefault="00C735C4" w:rsidP="00723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50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Certification environnementale de niveau 2 (ou label équivalent certifié CE 2), Global Gap, Filière CRC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4C6E7"/>
            <w:vAlign w:val="center"/>
            <w:hideMark/>
          </w:tcPr>
          <w:p w:rsidR="00C735C4" w:rsidRPr="003501AF" w:rsidRDefault="00C735C4" w:rsidP="00723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50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C735C4" w:rsidRPr="00E9232F" w:rsidTr="00C735C4">
        <w:trPr>
          <w:trHeight w:val="2109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C735C4" w:rsidRPr="003501AF" w:rsidRDefault="00C735C4" w:rsidP="00723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nil"/>
              <w:bottom w:val="nil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C735C4" w:rsidRPr="003501AF" w:rsidRDefault="00C735C4" w:rsidP="00723E4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50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Si l'exploitant est dans une démarche des plantations de haies ou d'arbres agricoles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/>
            <w:vAlign w:val="center"/>
            <w:hideMark/>
          </w:tcPr>
          <w:p w:rsidR="00C735C4" w:rsidRPr="003501AF" w:rsidRDefault="00C735C4" w:rsidP="00C73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50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Demandeur ayant fait l'objet d'une subvention au titre des AAP 2021 ou 2022 "Plantons des haies".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/>
            <w:vAlign w:val="center"/>
            <w:hideMark/>
          </w:tcPr>
          <w:p w:rsidR="00C735C4" w:rsidRPr="003501AF" w:rsidRDefault="00C735C4" w:rsidP="00723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  <w:r w:rsidRPr="00350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</w:tbl>
    <w:p w:rsidR="00C735C4" w:rsidRDefault="00C735C4" w:rsidP="00C735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35C4" w:rsidRPr="006D5E59" w:rsidRDefault="00C735C4" w:rsidP="00C735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426F">
        <w:rPr>
          <w:rFonts w:ascii="Arial" w:hAnsi="Arial" w:cs="Arial"/>
          <w:sz w:val="20"/>
          <w:szCs w:val="20"/>
        </w:rPr>
        <w:t>I</w:t>
      </w:r>
      <w:r w:rsidRPr="006D5E59">
        <w:rPr>
          <w:rFonts w:ascii="Arial" w:hAnsi="Arial" w:cs="Arial"/>
          <w:sz w:val="20"/>
          <w:szCs w:val="20"/>
        </w:rPr>
        <w:t>l n’est possible d’obtenir des points que d’un seul détail de critère (hors critère « </w:t>
      </w:r>
      <w:r w:rsidRPr="0027426F">
        <w:rPr>
          <w:rFonts w:ascii="Arial" w:hAnsi="Arial" w:cs="Arial"/>
          <w:sz w:val="20"/>
          <w:szCs w:val="20"/>
        </w:rPr>
        <w:t>r</w:t>
      </w:r>
      <w:r w:rsidRPr="006D5E59">
        <w:rPr>
          <w:rFonts w:ascii="Arial" w:hAnsi="Arial" w:cs="Arial"/>
          <w:sz w:val="20"/>
          <w:szCs w:val="20"/>
        </w:rPr>
        <w:t>éférentiel agro-écologique »</w:t>
      </w:r>
      <w:r>
        <w:rPr>
          <w:rFonts w:ascii="Arial" w:hAnsi="Arial" w:cs="Arial"/>
          <w:sz w:val="20"/>
          <w:szCs w:val="20"/>
        </w:rPr>
        <w:t xml:space="preserve"> et « système de qualité »</w:t>
      </w:r>
      <w:r w:rsidRPr="006D5E59">
        <w:rPr>
          <w:rFonts w:ascii="Arial" w:hAnsi="Arial" w:cs="Arial"/>
          <w:sz w:val="20"/>
          <w:szCs w:val="20"/>
        </w:rPr>
        <w:t xml:space="preserve">). </w:t>
      </w:r>
    </w:p>
    <w:p w:rsidR="00C735C4" w:rsidRPr="002542F8" w:rsidRDefault="00C735C4" w:rsidP="00C735C4">
      <w:pPr>
        <w:spacing w:after="0" w:line="240" w:lineRule="auto"/>
        <w:ind w:left="720"/>
        <w:contextualSpacing/>
        <w:jc w:val="both"/>
        <w:rPr>
          <w:rFonts w:ascii="Arial" w:hAnsi="Arial" w:cs="Arial"/>
          <w:i/>
          <w:sz w:val="20"/>
          <w:szCs w:val="20"/>
        </w:rPr>
      </w:pPr>
    </w:p>
    <w:p w:rsidR="00C735C4" w:rsidRPr="006D5E59" w:rsidRDefault="00C735C4" w:rsidP="00C735C4">
      <w:pPr>
        <w:shd w:val="clear" w:color="auto" w:fill="002060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>
        <w:rPr>
          <w:rFonts w:ascii="Arial" w:hAnsi="Arial" w:cs="Arial"/>
          <w:b/>
          <w:color w:val="FFFFFF" w:themeColor="background1"/>
          <w:sz w:val="20"/>
          <w:szCs w:val="20"/>
        </w:rPr>
        <w:t>Seuil de sélection :</w:t>
      </w:r>
    </w:p>
    <w:p w:rsidR="00C735C4" w:rsidRPr="0027426F" w:rsidRDefault="00C735C4" w:rsidP="00C735C4">
      <w:pPr>
        <w:shd w:val="clear" w:color="auto" w:fill="002060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6D5E59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>10</w:t>
      </w:r>
      <w:r w:rsidRPr="0027426F">
        <w:rPr>
          <w:rFonts w:ascii="Arial" w:hAnsi="Arial" w:cs="Arial"/>
          <w:b/>
          <w:color w:val="FFFFFF" w:themeColor="background1"/>
          <w:sz w:val="24"/>
          <w:szCs w:val="24"/>
        </w:rPr>
        <w:t xml:space="preserve">0 points sur un total de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>36</w:t>
      </w:r>
      <w:r w:rsidRPr="0027426F">
        <w:rPr>
          <w:rFonts w:ascii="Arial" w:hAnsi="Arial" w:cs="Arial"/>
          <w:b/>
          <w:color w:val="FFFFFF" w:themeColor="background1"/>
          <w:sz w:val="24"/>
          <w:szCs w:val="24"/>
        </w:rPr>
        <w:t>0</w:t>
      </w:r>
      <w:r w:rsidRPr="006D5E59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r w:rsidRPr="0027426F">
        <w:rPr>
          <w:rFonts w:ascii="Arial" w:hAnsi="Arial" w:cs="Arial"/>
          <w:b/>
          <w:color w:val="FFFFFF" w:themeColor="background1"/>
          <w:sz w:val="24"/>
          <w:szCs w:val="24"/>
        </w:rPr>
        <w:t xml:space="preserve">points maximum </w:t>
      </w:r>
    </w:p>
    <w:p w:rsidR="00C735C4" w:rsidRPr="0027426F" w:rsidRDefault="00C735C4" w:rsidP="00C735C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735C4" w:rsidRPr="0027426F" w:rsidRDefault="00C735C4" w:rsidP="00C735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35C4" w:rsidRPr="0027426F" w:rsidRDefault="00C735C4" w:rsidP="00C735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35C4" w:rsidRDefault="00C735C4"/>
    <w:p w:rsidR="00C735C4" w:rsidRDefault="00C735C4"/>
    <w:p w:rsidR="00C735C4" w:rsidRDefault="00C735C4"/>
    <w:p w:rsidR="00C735C4" w:rsidRDefault="00C735C4"/>
    <w:p w:rsidR="00C735C4" w:rsidRDefault="00C735C4"/>
    <w:p w:rsidR="00C735C4" w:rsidRDefault="00C735C4"/>
    <w:p w:rsidR="00C735C4" w:rsidRDefault="00C735C4"/>
    <w:p w:rsidR="00C735C4" w:rsidRDefault="00C735C4"/>
    <w:p w:rsidR="00C735C4" w:rsidRDefault="00C735C4"/>
    <w:p w:rsidR="00C735C4" w:rsidRDefault="00C735C4"/>
    <w:p w:rsidR="00C735C4" w:rsidRDefault="00C735C4"/>
    <w:p w:rsidR="00C735C4" w:rsidRDefault="00C735C4"/>
    <w:p w:rsidR="00C735C4" w:rsidRPr="00C735C4" w:rsidRDefault="00C735C4">
      <w:pPr>
        <w:rPr>
          <w:sz w:val="28"/>
        </w:rPr>
      </w:pPr>
      <w:r w:rsidRPr="00C735C4">
        <w:rPr>
          <w:sz w:val="28"/>
        </w:rPr>
        <w:t xml:space="preserve">Priorisation : </w:t>
      </w:r>
    </w:p>
    <w:p w:rsidR="00C735C4" w:rsidRDefault="00C735C4"/>
    <w:tbl>
      <w:tblPr>
        <w:tblStyle w:val="TableauGrille4-Accentuation52"/>
        <w:tblW w:w="0" w:type="auto"/>
        <w:tblLook w:val="04A0" w:firstRow="1" w:lastRow="0" w:firstColumn="1" w:lastColumn="0" w:noHBand="0" w:noVBand="1"/>
      </w:tblPr>
      <w:tblGrid>
        <w:gridCol w:w="4464"/>
        <w:gridCol w:w="4592"/>
      </w:tblGrid>
      <w:tr w:rsidR="00C735C4" w:rsidRPr="0027426F" w:rsidTr="00723E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4472C4"/>
            <w:vAlign w:val="center"/>
          </w:tcPr>
          <w:p w:rsidR="00C735C4" w:rsidRPr="005E1F4C" w:rsidRDefault="00C735C4" w:rsidP="00723E41">
            <w:pPr>
              <w:jc w:val="center"/>
              <w:rPr>
                <w:rFonts w:ascii="Arial" w:eastAsia="Times New Roman" w:hAnsi="Arial" w:cs="Arial"/>
                <w:color w:val="FFFFFF"/>
                <w:lang w:eastAsia="fr-FR"/>
              </w:rPr>
            </w:pPr>
            <w:r>
              <w:rPr>
                <w:rFonts w:ascii="Arial" w:eastAsia="Times New Roman" w:hAnsi="Arial" w:cs="Arial"/>
                <w:color w:val="FFFFFF"/>
                <w:lang w:eastAsia="fr-FR"/>
              </w:rPr>
              <w:t>Les projets individuels</w:t>
            </w:r>
          </w:p>
        </w:tc>
        <w:tc>
          <w:tcPr>
            <w:tcW w:w="509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4472C4"/>
            <w:vAlign w:val="center"/>
          </w:tcPr>
          <w:p w:rsidR="00C735C4" w:rsidRPr="005E1F4C" w:rsidRDefault="00C735C4" w:rsidP="00723E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lang w:eastAsia="fr-FR"/>
              </w:rPr>
            </w:pPr>
            <w:r w:rsidRPr="0027426F">
              <w:rPr>
                <w:rFonts w:ascii="Arial" w:eastAsia="Times New Roman" w:hAnsi="Arial" w:cs="Arial"/>
                <w:color w:val="FFFFFF"/>
                <w:lang w:eastAsia="fr-FR"/>
              </w:rPr>
              <w:t>L</w:t>
            </w:r>
            <w:r w:rsidRPr="005E1F4C">
              <w:rPr>
                <w:rFonts w:ascii="Arial" w:eastAsia="Times New Roman" w:hAnsi="Arial" w:cs="Arial"/>
                <w:color w:val="FFFFFF"/>
                <w:lang w:eastAsia="fr-FR"/>
              </w:rPr>
              <w:t>es projets portés par des groupements d’agriculteurs</w:t>
            </w:r>
            <w:r w:rsidRPr="0027426F" w:rsidDel="00CD099A">
              <w:rPr>
                <w:rFonts w:ascii="Arial" w:eastAsia="Times New Roman" w:hAnsi="Arial" w:cs="Arial"/>
                <w:color w:val="FFFFFF"/>
                <w:lang w:eastAsia="fr-FR"/>
              </w:rPr>
              <w:t xml:space="preserve"> </w:t>
            </w:r>
          </w:p>
        </w:tc>
      </w:tr>
      <w:tr w:rsidR="00C735C4" w:rsidRPr="0027426F" w:rsidTr="00723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7" w:type="dxa"/>
            <w:tcBorders>
              <w:top w:val="outset" w:sz="6" w:space="0" w:color="FFFFFF"/>
            </w:tcBorders>
            <w:shd w:val="clear" w:color="auto" w:fill="D9E2F3"/>
          </w:tcPr>
          <w:p w:rsidR="00C735C4" w:rsidRPr="00CD099A" w:rsidRDefault="00C735C4" w:rsidP="00723E41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D099A">
              <w:rPr>
                <w:rFonts w:ascii="Arial" w:hAnsi="Arial" w:cs="Arial"/>
                <w:b w:val="0"/>
                <w:sz w:val="20"/>
                <w:szCs w:val="20"/>
              </w:rPr>
              <w:t>Les projets individuels seront sélectionnés au moyen de la grille de sélection détaillée au point suivant avec des seuils de sélection spécifiques à chacune des opérations de l’appel à projets. Ils seront notés selon cette grille et devront atteindre une note minimale pour pouvoir être sélectionnés.</w:t>
            </w:r>
          </w:p>
          <w:p w:rsidR="00C735C4" w:rsidRPr="00CD099A" w:rsidRDefault="00C735C4" w:rsidP="00723E41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C735C4" w:rsidRPr="00CD099A" w:rsidRDefault="00C735C4" w:rsidP="00723E41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D099A">
              <w:rPr>
                <w:rFonts w:ascii="Arial" w:hAnsi="Arial" w:cs="Arial"/>
                <w:b w:val="0"/>
                <w:sz w:val="20"/>
                <w:szCs w:val="20"/>
              </w:rPr>
              <w:t>Les dossiers sélectionnés seront priorisés en fonction de leur note et traités jusqu’à épuisement de l’enveloppe attribuée aux projets individuels, c'est-à-dire deux tiers de l’enveloppe globale, excepté si les projets collectifs ne consomment pas la partie de l’enveloppe qui leur est potentiellement affectée.</w:t>
            </w:r>
          </w:p>
          <w:p w:rsidR="00C735C4" w:rsidRPr="00CD099A" w:rsidRDefault="00C735C4" w:rsidP="00723E41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C735C4" w:rsidRPr="00CD099A" w:rsidRDefault="00C735C4" w:rsidP="00723E41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D099A">
              <w:rPr>
                <w:rFonts w:ascii="Arial" w:hAnsi="Arial" w:cs="Arial"/>
                <w:b w:val="0"/>
                <w:sz w:val="20"/>
                <w:szCs w:val="20"/>
              </w:rPr>
              <w:t>Les dossiers seront retenus dans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l’ordre de points décroissants. En cas d’égalité, l</w:t>
            </w:r>
            <w:r w:rsidRPr="00CD099A">
              <w:rPr>
                <w:rFonts w:ascii="Arial" w:hAnsi="Arial" w:cs="Arial"/>
                <w:b w:val="0"/>
                <w:sz w:val="20"/>
                <w:szCs w:val="20"/>
              </w:rPr>
              <w:t>e chif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fre</w:t>
            </w:r>
            <w:r w:rsidRPr="00CD099A">
              <w:rPr>
                <w:rFonts w:ascii="Arial" w:hAnsi="Arial" w:cs="Arial"/>
                <w:b w:val="0"/>
                <w:sz w:val="20"/>
                <w:szCs w:val="20"/>
              </w:rPr>
              <w:t xml:space="preserve"> d’affaires par unité de main d’œuvre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, dans l’ordre croissant,</w:t>
            </w:r>
            <w:r w:rsidRPr="00CD099A">
              <w:rPr>
                <w:rFonts w:ascii="Arial" w:hAnsi="Arial" w:cs="Arial"/>
                <w:b w:val="0"/>
                <w:sz w:val="20"/>
                <w:szCs w:val="20"/>
              </w:rPr>
              <w:t xml:space="preserve"> permettra de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les </w:t>
            </w:r>
            <w:r w:rsidRPr="00CD099A">
              <w:rPr>
                <w:rFonts w:ascii="Arial" w:hAnsi="Arial" w:cs="Arial"/>
                <w:b w:val="0"/>
                <w:sz w:val="20"/>
                <w:szCs w:val="20"/>
              </w:rPr>
              <w:t>départager dans la limite des enveloppes financières disponibles.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:rsidR="00C735C4" w:rsidRPr="00CD099A" w:rsidRDefault="00C735C4" w:rsidP="00723E41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C735C4" w:rsidRPr="00CD099A" w:rsidRDefault="00C735C4" w:rsidP="00723E41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D099A">
              <w:rPr>
                <w:rFonts w:ascii="Arial" w:hAnsi="Arial" w:cs="Arial"/>
                <w:b w:val="0"/>
                <w:sz w:val="20"/>
                <w:szCs w:val="20"/>
              </w:rPr>
              <w:t>Des dossiers sélectionnés pourront donc se voir rejeter si leur note est trop peu élevée, dès que l’enveloppe sera épuisée.</w:t>
            </w:r>
          </w:p>
          <w:p w:rsidR="00C735C4" w:rsidRPr="00CD099A" w:rsidRDefault="00C735C4" w:rsidP="00723E41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C735C4" w:rsidRPr="00CD099A" w:rsidRDefault="00C735C4" w:rsidP="00723E41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D099A">
              <w:rPr>
                <w:rFonts w:ascii="Arial" w:hAnsi="Arial" w:cs="Arial"/>
                <w:b w:val="0"/>
                <w:sz w:val="20"/>
                <w:szCs w:val="20"/>
              </w:rPr>
              <w:t>Les sociétés dont le capital est détenu à plus de 10% par des associés exploitants Jeunes Agriculteurs (JA) ou Nouvel Installé (NI) auront le maximum de points pour les critères se rapportant à la présence d’un JA ou d’un NI.</w:t>
            </w:r>
          </w:p>
          <w:p w:rsidR="00C735C4" w:rsidRPr="003B14B1" w:rsidRDefault="00C735C4" w:rsidP="00723E41">
            <w:pPr>
              <w:ind w:left="454"/>
              <w:contextualSpacing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097" w:type="dxa"/>
            <w:tcBorders>
              <w:top w:val="outset" w:sz="6" w:space="0" w:color="FFFFFF"/>
            </w:tcBorders>
            <w:shd w:val="clear" w:color="auto" w:fill="D9E2F3"/>
          </w:tcPr>
          <w:p w:rsidR="00C735C4" w:rsidRPr="003B14B1" w:rsidRDefault="00C735C4" w:rsidP="00723E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3B14B1">
              <w:rPr>
                <w:rFonts w:ascii="Arial" w:hAnsi="Arial" w:cs="Arial"/>
                <w:sz w:val="20"/>
                <w:szCs w:val="20"/>
              </w:rPr>
              <w:t>Les projets de groupements d’agriculteurs ne pourront pas consommer plus d’un tiers de l’enveloppe affectée ; excepté si les projets individuels sélectionnables ne mobilisent pas la partie de l’enveloppe qui leur est potentiellement affectée.</w:t>
            </w:r>
          </w:p>
          <w:p w:rsidR="00C735C4" w:rsidRPr="003B14B1" w:rsidRDefault="00C735C4" w:rsidP="00723E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35C4" w:rsidRPr="003B14B1" w:rsidRDefault="00C735C4" w:rsidP="00723E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3B14B1">
              <w:rPr>
                <w:rFonts w:ascii="Arial" w:hAnsi="Arial" w:cs="Arial"/>
                <w:sz w:val="20"/>
                <w:szCs w:val="20"/>
              </w:rPr>
              <w:t>Si l’enveloppe s’avère insuffisante et qu’il est nécessaire de prioriser les dossiers collectifs :</w:t>
            </w:r>
          </w:p>
          <w:p w:rsidR="00C735C4" w:rsidRPr="003B14B1" w:rsidRDefault="00C735C4" w:rsidP="00723E41">
            <w:pPr>
              <w:numPr>
                <w:ilvl w:val="0"/>
                <w:numId w:val="1"/>
              </w:numPr>
              <w:ind w:left="454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3B14B1">
              <w:rPr>
                <w:rFonts w:ascii="Arial" w:hAnsi="Arial" w:cs="Arial"/>
                <w:sz w:val="20"/>
                <w:szCs w:val="20"/>
              </w:rPr>
              <w:t>Les dossiers des CUMA seront prioritaires et classés en fonction de leur niveau d’intégration (critère : « encours/nombre d’adhérents » de l’année précédente) ;</w:t>
            </w:r>
          </w:p>
          <w:p w:rsidR="00C735C4" w:rsidRPr="003B14B1" w:rsidRDefault="00C735C4" w:rsidP="00723E41">
            <w:pPr>
              <w:numPr>
                <w:ilvl w:val="0"/>
                <w:numId w:val="1"/>
              </w:numPr>
              <w:ind w:left="454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3B14B1">
              <w:rPr>
                <w:rFonts w:ascii="Arial" w:hAnsi="Arial" w:cs="Arial"/>
                <w:sz w:val="20"/>
                <w:szCs w:val="20"/>
              </w:rPr>
              <w:t xml:space="preserve">Puis par </w:t>
            </w:r>
            <w:r w:rsidRPr="00252F98">
              <w:rPr>
                <w:rFonts w:ascii="Arial" w:hAnsi="Arial" w:cs="Arial"/>
                <w:sz w:val="20"/>
                <w:szCs w:val="20"/>
              </w:rPr>
              <w:t xml:space="preserve">ordre de priorité décroissante : les dossiers de </w:t>
            </w:r>
            <w:r w:rsidRPr="00DA4FC3">
              <w:rPr>
                <w:rFonts w:ascii="Arial" w:hAnsi="Arial" w:cs="Arial"/>
                <w:sz w:val="20"/>
                <w:szCs w:val="20"/>
              </w:rPr>
              <w:t>Groupement Opérationnel de PEI</w:t>
            </w:r>
            <w:r w:rsidRPr="003B14B1">
              <w:rPr>
                <w:rFonts w:ascii="Arial" w:hAnsi="Arial" w:cs="Arial"/>
                <w:sz w:val="20"/>
                <w:szCs w:val="20"/>
              </w:rPr>
              <w:t xml:space="preserve"> puis de GIEE et de groupes 30 000 qui seront classés par ancienneté.</w:t>
            </w:r>
          </w:p>
          <w:p w:rsidR="00C735C4" w:rsidRPr="005E1F4C" w:rsidRDefault="00C735C4" w:rsidP="00723E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C735C4" w:rsidRDefault="00C735C4" w:rsidP="00C735C4"/>
    <w:p w:rsidR="00C735C4" w:rsidRDefault="00C735C4"/>
    <w:sectPr w:rsidR="00C735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5C4" w:rsidRDefault="00C735C4" w:rsidP="00C735C4">
      <w:pPr>
        <w:spacing w:after="0" w:line="240" w:lineRule="auto"/>
      </w:pPr>
      <w:r>
        <w:separator/>
      </w:r>
    </w:p>
  </w:endnote>
  <w:endnote w:type="continuationSeparator" w:id="0">
    <w:p w:rsidR="00C735C4" w:rsidRDefault="00C735C4" w:rsidP="00C73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5C4" w:rsidRDefault="00C735C4" w:rsidP="00C735C4">
      <w:pPr>
        <w:spacing w:after="0" w:line="240" w:lineRule="auto"/>
      </w:pPr>
      <w:r>
        <w:separator/>
      </w:r>
    </w:p>
  </w:footnote>
  <w:footnote w:type="continuationSeparator" w:id="0">
    <w:p w:rsidR="00C735C4" w:rsidRDefault="00C735C4" w:rsidP="00C73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5C4" w:rsidRPr="00C735C4" w:rsidRDefault="00C735C4" w:rsidP="00C735C4">
    <w:pPr>
      <w:pStyle w:val="En-tte"/>
      <w:jc w:val="center"/>
      <w:rPr>
        <w:b/>
        <w:sz w:val="28"/>
      </w:rPr>
    </w:pPr>
    <w:r w:rsidRPr="00C735C4">
      <w:rPr>
        <w:b/>
        <w:sz w:val="28"/>
      </w:rPr>
      <w:t>Grille de sélection : « 73.1 PRE’AD : Aide aux investissements agricoles en faveur des productions végétales 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153DC"/>
    <w:multiLevelType w:val="hybridMultilevel"/>
    <w:tmpl w:val="F86266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5C4"/>
    <w:rsid w:val="000939A4"/>
    <w:rsid w:val="00946405"/>
    <w:rsid w:val="00C7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5AC00"/>
  <w15:chartTrackingRefBased/>
  <w15:docId w15:val="{256A15BC-9B90-4627-B73E-269441C3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5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3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35C4"/>
  </w:style>
  <w:style w:type="paragraph" w:styleId="Pieddepage">
    <w:name w:val="footer"/>
    <w:basedOn w:val="Normal"/>
    <w:link w:val="PieddepageCar"/>
    <w:uiPriority w:val="99"/>
    <w:unhideWhenUsed/>
    <w:rsid w:val="00C73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35C4"/>
  </w:style>
  <w:style w:type="character" w:styleId="Marquedecommentaire">
    <w:name w:val="annotation reference"/>
    <w:basedOn w:val="Policepardfaut"/>
    <w:uiPriority w:val="99"/>
    <w:semiHidden/>
    <w:unhideWhenUsed/>
    <w:qFormat/>
    <w:rsid w:val="00C735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C735C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735C4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3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35C4"/>
    <w:rPr>
      <w:rFonts w:ascii="Segoe UI" w:hAnsi="Segoe UI" w:cs="Segoe UI"/>
      <w:sz w:val="18"/>
      <w:szCs w:val="18"/>
    </w:rPr>
  </w:style>
  <w:style w:type="table" w:customStyle="1" w:styleId="TableauGrille4-Accentuation52">
    <w:name w:val="Tableau Grille 4 - Accentuation 52"/>
    <w:basedOn w:val="TableauNormal"/>
    <w:uiPriority w:val="49"/>
    <w:rsid w:val="00C735C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Hauts-de-France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TALLEUX Claire</dc:creator>
  <cp:keywords/>
  <dc:description/>
  <cp:lastModifiedBy>TALLEUX Claire</cp:lastModifiedBy>
  <cp:revision>1</cp:revision>
  <dcterms:created xsi:type="dcterms:W3CDTF">2023-04-12T16:22:00Z</dcterms:created>
  <dcterms:modified xsi:type="dcterms:W3CDTF">2023-04-12T16:25:00Z</dcterms:modified>
</cp:coreProperties>
</file>