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018AF" w14:textId="2EF80181" w:rsid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1632CE00" w14:textId="4FEE35DF"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n-GB"/>
        </w:rPr>
      </w:pP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n-GB"/>
        </w:rPr>
        <w:t xml:space="preserve">PROGRAMME 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n-GB"/>
        </w:rPr>
        <w:t>REGIONAL</w:t>
      </w:r>
      <w:r w:rsidR="007322C5"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n-GB"/>
        </w:rPr>
        <w:t xml:space="preserve"> 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n-GB"/>
        </w:rPr>
        <w:t>FEDER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n-GB"/>
        </w:rPr>
        <w:t>/FSE+/FTJ 2021-2027</w:t>
      </w:r>
    </w:p>
    <w:p w14:paraId="3615A1FA" w14:textId="3FB21344"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Région 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Hauts-de-France</w:t>
      </w:r>
    </w:p>
    <w:p w14:paraId="76F3D4B3" w14:textId="7DDCDF57"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Proposition de modification du Document de Mise en Œuvre (DO</w:t>
      </w:r>
      <w:r w:rsidR="007322C5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MO) au comité de suivi du 10 juillet 2023</w:t>
      </w:r>
    </w:p>
    <w:p w14:paraId="0333D1EA" w14:textId="015C4151" w:rsid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proofErr w:type="gramStart"/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du</w:t>
      </w:r>
      <w:proofErr w:type="gramEnd"/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Programme 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Régional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adopté par la commission européenne le 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06 octobre 2022</w:t>
      </w:r>
    </w:p>
    <w:p w14:paraId="4B4264EA" w14:textId="41ED07A5" w:rsidR="003C72EC" w:rsidRDefault="003C72EC" w:rsidP="003C72EC">
      <w:pPr>
        <w:tabs>
          <w:tab w:val="left" w:pos="1276"/>
          <w:tab w:val="center" w:pos="4762"/>
        </w:tabs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</w:p>
    <w:p w14:paraId="650A4CB4" w14:textId="645F4A3B" w:rsidR="003C72EC" w:rsidRPr="003C72EC" w:rsidRDefault="003C72EC" w:rsidP="003C72EC">
      <w:pPr>
        <w:tabs>
          <w:tab w:val="left" w:pos="1276"/>
          <w:tab w:val="center" w:pos="4762"/>
        </w:tabs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Objectif stratégique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: </w:t>
      </w:r>
      <w:r w:rsidR="000F499D" w:rsidRPr="000F499D">
        <w:rPr>
          <w:rFonts w:ascii="Arial" w:hAnsi="Arial" w:cs="Arial"/>
          <w:b/>
          <w:bCs/>
          <w:color w:val="2E74B5" w:themeColor="accent1" w:themeShade="BF"/>
          <w:sz w:val="18"/>
          <w:szCs w:val="18"/>
        </w:rPr>
        <w:t>5 - Une Europe plus proche des citoyens par l’encouragement du développement durable et intégré de tous les types de territoires et d’initiatives locales</w:t>
      </w:r>
    </w:p>
    <w:p w14:paraId="572D7EF7" w14:textId="3F6D9826" w:rsidR="003C72EC" w:rsidRPr="000F499D" w:rsidRDefault="003C72EC" w:rsidP="003C72EC">
      <w:pPr>
        <w:tabs>
          <w:tab w:val="left" w:pos="1276"/>
          <w:tab w:val="center" w:pos="4762"/>
        </w:tabs>
        <w:rPr>
          <w:rFonts w:ascii="Arial" w:hAnsi="Arial" w:cs="Arial"/>
          <w:b/>
          <w:bCs/>
          <w:color w:val="2E74B5" w:themeColor="accent1" w:themeShade="BF"/>
          <w:sz w:val="18"/>
          <w:szCs w:val="18"/>
        </w:rPr>
      </w:pP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Priorité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 : </w:t>
      </w:r>
      <w:r w:rsidR="000F499D" w:rsidRPr="000F499D">
        <w:rPr>
          <w:rFonts w:ascii="Arial" w:hAnsi="Arial" w:cs="Arial"/>
          <w:b/>
          <w:bCs/>
          <w:color w:val="2E74B5" w:themeColor="accent1" w:themeShade="BF"/>
          <w:sz w:val="18"/>
          <w:szCs w:val="18"/>
        </w:rPr>
        <w:t>7 – Contribuer au développement d’une approche intégrée, durable et solidaire (urbain et/ou rural)</w:t>
      </w:r>
    </w:p>
    <w:p w14:paraId="076CA0F3" w14:textId="2A143DEC" w:rsidR="003C72EC" w:rsidRPr="000F499D" w:rsidRDefault="003C72EC" w:rsidP="003C72EC">
      <w:pPr>
        <w:tabs>
          <w:tab w:val="left" w:pos="1276"/>
          <w:tab w:val="center" w:pos="4762"/>
        </w:tabs>
        <w:rPr>
          <w:rFonts w:ascii="Arial" w:hAnsi="Arial" w:cs="Arial"/>
          <w:b/>
          <w:bCs/>
          <w:color w:val="2E74B5" w:themeColor="accent1" w:themeShade="BF"/>
          <w:sz w:val="18"/>
          <w:szCs w:val="18"/>
        </w:rPr>
      </w:pP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Objectif spécifique : </w:t>
      </w:r>
      <w:r w:rsidR="000F499D" w:rsidRPr="000F499D">
        <w:rPr>
          <w:rFonts w:ascii="Arial" w:hAnsi="Arial" w:cs="Arial"/>
          <w:b/>
          <w:bCs/>
          <w:color w:val="2E74B5" w:themeColor="accent1" w:themeShade="BF"/>
          <w:sz w:val="18"/>
          <w:szCs w:val="18"/>
        </w:rPr>
        <w:t>5.2 – Encourager le développement social, économique et environnemental intégré et inclusive, la culture, le patrimoine naturel, le tourisme durable et la sécurité ailleurs que dans les zones urbaines</w:t>
      </w:r>
    </w:p>
    <w:p w14:paraId="7F00E52D" w14:textId="77777777" w:rsidR="000F499D" w:rsidRDefault="003C72EC" w:rsidP="003C72EC">
      <w:pPr>
        <w:tabs>
          <w:tab w:val="left" w:pos="1276"/>
          <w:tab w:val="center" w:pos="4762"/>
        </w:tabs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Fiche-action concernée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 :</w:t>
      </w:r>
      <w:r w:rsidR="000F499D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</w:t>
      </w:r>
    </w:p>
    <w:p w14:paraId="6D674E3C" w14:textId="7F1EFD8C" w:rsidR="003C72EC" w:rsidRPr="000F499D" w:rsidRDefault="000F499D" w:rsidP="003C72EC">
      <w:pPr>
        <w:tabs>
          <w:tab w:val="left" w:pos="1276"/>
          <w:tab w:val="center" w:pos="4762"/>
        </w:tabs>
        <w:rPr>
          <w:rFonts w:ascii="Arial" w:hAnsi="Arial" w:cs="Arial"/>
          <w:b/>
          <w:bCs/>
          <w:color w:val="2E74B5" w:themeColor="accent1" w:themeShade="BF"/>
          <w:sz w:val="18"/>
          <w:szCs w:val="18"/>
        </w:rPr>
      </w:pPr>
      <w:r w:rsidRPr="000F499D">
        <w:rPr>
          <w:rFonts w:ascii="Arial" w:hAnsi="Arial" w:cs="Arial"/>
          <w:b/>
          <w:bCs/>
          <w:color w:val="2E74B5" w:themeColor="accent1" w:themeShade="BF"/>
          <w:sz w:val="18"/>
          <w:szCs w:val="18"/>
        </w:rPr>
        <w:t>Action 1 : Amélioration de l’offre de services publics dans les domaines de la santé à travers le financement d’équipements</w:t>
      </w:r>
    </w:p>
    <w:p w14:paraId="62F1D320" w14:textId="0F6D079A" w:rsidR="000F499D" w:rsidRPr="000F499D" w:rsidRDefault="000F499D" w:rsidP="000F499D">
      <w:pPr>
        <w:pStyle w:val="Paragraphedeliste"/>
        <w:numPr>
          <w:ilvl w:val="0"/>
          <w:numId w:val="25"/>
        </w:numPr>
        <w:tabs>
          <w:tab w:val="left" w:pos="1276"/>
          <w:tab w:val="center" w:pos="4762"/>
        </w:tabs>
        <w:rPr>
          <w:rFonts w:ascii="Arial" w:hAnsi="Arial" w:cs="Arial"/>
          <w:b/>
          <w:bCs/>
          <w:color w:val="2E74B5" w:themeColor="accent1" w:themeShade="BF"/>
          <w:sz w:val="18"/>
          <w:szCs w:val="18"/>
        </w:rPr>
      </w:pPr>
      <w:r w:rsidRPr="000F499D">
        <w:rPr>
          <w:rFonts w:ascii="Arial" w:hAnsi="Arial" w:cs="Arial"/>
          <w:b/>
          <w:bCs/>
          <w:color w:val="2E74B5" w:themeColor="accent1" w:themeShade="BF"/>
          <w:sz w:val="18"/>
          <w:szCs w:val="18"/>
        </w:rPr>
        <w:t>Catégorie 1 : Création, extension et réhabilitation des structures d’exercice coordonnés en milieu rural</w:t>
      </w:r>
    </w:p>
    <w:p w14:paraId="64C95DA9" w14:textId="3C636628" w:rsidR="000F499D" w:rsidRPr="000F499D" w:rsidRDefault="000F499D" w:rsidP="000F499D">
      <w:pPr>
        <w:pStyle w:val="Paragraphedeliste"/>
        <w:numPr>
          <w:ilvl w:val="0"/>
          <w:numId w:val="25"/>
        </w:numPr>
        <w:tabs>
          <w:tab w:val="left" w:pos="1276"/>
          <w:tab w:val="center" w:pos="4762"/>
        </w:tabs>
        <w:rPr>
          <w:rFonts w:ascii="Arial" w:hAnsi="Arial" w:cs="Arial"/>
          <w:b/>
          <w:bCs/>
          <w:color w:val="2E74B5" w:themeColor="accent1" w:themeShade="BF"/>
          <w:sz w:val="18"/>
          <w:szCs w:val="18"/>
        </w:rPr>
      </w:pPr>
      <w:r w:rsidRPr="000F499D">
        <w:rPr>
          <w:rFonts w:ascii="Arial" w:hAnsi="Arial" w:cs="Arial"/>
          <w:b/>
          <w:bCs/>
          <w:color w:val="2E74B5" w:themeColor="accent1" w:themeShade="BF"/>
          <w:sz w:val="18"/>
          <w:szCs w:val="18"/>
        </w:rPr>
        <w:t>Catégorie 2 : Création, extension ou réhabilitation d’équipements publics de solidarité innovants</w:t>
      </w:r>
    </w:p>
    <w:p w14:paraId="2F314A56" w14:textId="77777777"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961"/>
      </w:tblGrid>
      <w:tr w:rsidR="003C72EC" w:rsidRPr="003C72EC" w14:paraId="3ADC493A" w14:textId="77777777" w:rsidTr="003C72EC">
        <w:tc>
          <w:tcPr>
            <w:tcW w:w="4815" w:type="dxa"/>
          </w:tcPr>
          <w:p w14:paraId="10FD8682" w14:textId="77777777" w:rsidR="003C72EC" w:rsidRPr="003C72EC" w:rsidRDefault="003C72EC" w:rsidP="003C72EC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3C72EC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Rédaction initiale</w:t>
            </w:r>
          </w:p>
        </w:tc>
        <w:tc>
          <w:tcPr>
            <w:tcW w:w="4961" w:type="dxa"/>
          </w:tcPr>
          <w:p w14:paraId="691DE4B8" w14:textId="77777777" w:rsidR="003C72EC" w:rsidRPr="003C72EC" w:rsidRDefault="003C72EC" w:rsidP="003C72EC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3C72EC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Proposition de modification</w:t>
            </w:r>
          </w:p>
        </w:tc>
      </w:tr>
      <w:tr w:rsidR="003C72EC" w:rsidRPr="003C72EC" w14:paraId="5D9A1E2C" w14:textId="77777777" w:rsidTr="00BE4A39">
        <w:trPr>
          <w:trHeight w:val="2411"/>
        </w:trPr>
        <w:tc>
          <w:tcPr>
            <w:tcW w:w="4815" w:type="dxa"/>
          </w:tcPr>
          <w:p w14:paraId="5AEB1377" w14:textId="36E40AFE" w:rsidR="00EA51D9" w:rsidRDefault="00EA51D9" w:rsidP="00A05DE8">
            <w:pPr>
              <w:tabs>
                <w:tab w:val="left" w:pos="1276"/>
                <w:tab w:val="center" w:pos="4762"/>
              </w:tabs>
              <w:jc w:val="both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</w:p>
          <w:p w14:paraId="4AD11C4B" w14:textId="4E74FEB0" w:rsidR="00A875FE" w:rsidRPr="00EA51D9" w:rsidRDefault="00A875FE" w:rsidP="00A05DE8">
            <w:pPr>
              <w:tabs>
                <w:tab w:val="left" w:pos="1276"/>
                <w:tab w:val="center" w:pos="4762"/>
              </w:tabs>
              <w:jc w:val="both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 w:rsidRPr="00A875FE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>Les équipements identifiés comme non éligibles</w:t>
            </w:r>
            <w:r w:rsidR="00527E56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> :</w:t>
            </w:r>
          </w:p>
          <w:p w14:paraId="30ACCD74" w14:textId="666D40A3" w:rsidR="00EA51D9" w:rsidRDefault="00EA51D9" w:rsidP="00EA5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EA51D9">
              <w:rPr>
                <w:rFonts w:ascii="Arial" w:hAnsi="Arial" w:cs="Arial"/>
                <w:sz w:val="18"/>
              </w:rPr>
              <w:t>- Les cabinets médicaux ;</w:t>
            </w:r>
          </w:p>
          <w:p w14:paraId="08559418" w14:textId="3CF828F6" w:rsidR="00474816" w:rsidRPr="00EA51D9" w:rsidRDefault="00474816" w:rsidP="00EA5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</w:t>
            </w:r>
            <w:r w:rsidRPr="00474816">
              <w:rPr>
                <w:rFonts w:ascii="Arial" w:hAnsi="Arial" w:cs="Arial"/>
                <w:sz w:val="18"/>
              </w:rPr>
              <w:t>Les équipements itinérants (mat</w:t>
            </w:r>
            <w:r w:rsidRPr="00474816">
              <w:rPr>
                <w:rFonts w:ascii="Arial" w:hAnsi="Arial" w:cs="Arial" w:hint="eastAsia"/>
                <w:sz w:val="18"/>
              </w:rPr>
              <w:t>é</w:t>
            </w:r>
            <w:r w:rsidRPr="00474816">
              <w:rPr>
                <w:rFonts w:ascii="Arial" w:hAnsi="Arial" w:cs="Arial"/>
                <w:sz w:val="18"/>
              </w:rPr>
              <w:t>riel roulant</w:t>
            </w:r>
            <w:r w:rsidRPr="00474816">
              <w:rPr>
                <w:rFonts w:ascii="Arial" w:hAnsi="Arial" w:cs="Arial" w:hint="eastAsia"/>
                <w:sz w:val="18"/>
              </w:rPr>
              <w:t>…</w:t>
            </w:r>
            <w:r w:rsidRPr="00474816"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t> ;</w:t>
            </w:r>
          </w:p>
          <w:p w14:paraId="089CB2BB" w14:textId="34D590B7" w:rsidR="00A92EDE" w:rsidRDefault="00A92EDE" w:rsidP="00EA5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A92EDE">
              <w:rPr>
                <w:rFonts w:ascii="Arial" w:hAnsi="Arial" w:cs="Arial"/>
                <w:sz w:val="18"/>
              </w:rPr>
              <w:t>- Les maisons ou missions départementales ;</w:t>
            </w:r>
          </w:p>
          <w:p w14:paraId="55CA7058" w14:textId="30820F96" w:rsidR="00EA51D9" w:rsidRPr="00EA51D9" w:rsidRDefault="00EA51D9" w:rsidP="00EA5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EA51D9">
              <w:rPr>
                <w:rFonts w:ascii="Arial" w:hAnsi="Arial" w:cs="Arial"/>
                <w:sz w:val="18"/>
              </w:rPr>
              <w:t>- Les maisons de quartier ;</w:t>
            </w:r>
          </w:p>
          <w:p w14:paraId="351703A7" w14:textId="58D1D311" w:rsidR="00EA51D9" w:rsidRPr="00EA51D9" w:rsidRDefault="00EA51D9" w:rsidP="00EA5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EA51D9">
              <w:rPr>
                <w:rFonts w:ascii="Arial" w:hAnsi="Arial" w:cs="Arial"/>
                <w:sz w:val="18"/>
              </w:rPr>
              <w:t>- Les Maisons de services au</w:t>
            </w:r>
            <w:r>
              <w:rPr>
                <w:rFonts w:ascii="Arial" w:hAnsi="Arial" w:cs="Arial"/>
                <w:sz w:val="18"/>
              </w:rPr>
              <w:t xml:space="preserve">x publics (MSAP) Maisons France </w:t>
            </w:r>
            <w:r w:rsidRPr="00EA51D9">
              <w:rPr>
                <w:rFonts w:ascii="Arial" w:hAnsi="Arial" w:cs="Arial"/>
                <w:sz w:val="18"/>
              </w:rPr>
              <w:t>service… ;</w:t>
            </w:r>
          </w:p>
          <w:p w14:paraId="152B6ECA" w14:textId="34ECE907" w:rsidR="00BE4A39" w:rsidRDefault="00EA51D9" w:rsidP="00BE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EA51D9">
              <w:rPr>
                <w:rFonts w:ascii="Arial" w:hAnsi="Arial" w:cs="Arial"/>
                <w:sz w:val="18"/>
              </w:rPr>
              <w:t>- Les équipements petite enfance (</w:t>
            </w:r>
            <w:r>
              <w:rPr>
                <w:rFonts w:ascii="Arial" w:hAnsi="Arial" w:cs="Arial"/>
                <w:sz w:val="18"/>
              </w:rPr>
              <w:t xml:space="preserve">crèches, halte-garderie, relais </w:t>
            </w:r>
            <w:r w:rsidRPr="00EA51D9">
              <w:rPr>
                <w:rFonts w:ascii="Arial" w:hAnsi="Arial" w:cs="Arial"/>
                <w:sz w:val="18"/>
              </w:rPr>
              <w:t>assistantes maternelles, centres de loisirs…).</w:t>
            </w:r>
          </w:p>
          <w:p w14:paraId="650BCB70" w14:textId="120A508D" w:rsidR="003C72EC" w:rsidRPr="00BE4A39" w:rsidRDefault="003C72EC" w:rsidP="00BE4A39">
            <w:pPr>
              <w:tabs>
                <w:tab w:val="left" w:pos="131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4961" w:type="dxa"/>
          </w:tcPr>
          <w:p w14:paraId="3AE38CDC" w14:textId="11164E49" w:rsidR="00527E56" w:rsidRDefault="00527E56" w:rsidP="00EA5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 w:rsidRPr="00527E56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>Les équipements identifiés comme non éligibles</w:t>
            </w:r>
            <w:r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> :</w:t>
            </w:r>
          </w:p>
          <w:p w14:paraId="1FC5F5A7" w14:textId="77777777" w:rsidR="00527E56" w:rsidRDefault="00527E56" w:rsidP="00EA5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</w:p>
          <w:p w14:paraId="2834E3C7" w14:textId="1E8DA444" w:rsidR="00EA51D9" w:rsidRPr="00EA51D9" w:rsidRDefault="00EA51D9" w:rsidP="00EA5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EA51D9">
              <w:rPr>
                <w:rFonts w:ascii="Arial" w:hAnsi="Arial" w:cs="Arial"/>
                <w:sz w:val="18"/>
              </w:rPr>
              <w:t>- Les cabinets médicaux ;</w:t>
            </w:r>
          </w:p>
          <w:p w14:paraId="46A55EA4" w14:textId="437BEB32" w:rsidR="00EA51D9" w:rsidRDefault="00527E56" w:rsidP="00EA5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</w:t>
            </w:r>
            <w:r w:rsidR="00474816" w:rsidRPr="00474816">
              <w:rPr>
                <w:rFonts w:ascii="Arial" w:hAnsi="Arial" w:cs="Arial"/>
                <w:bCs/>
                <w:color w:val="FF0000"/>
                <w:sz w:val="18"/>
                <w:szCs w:val="18"/>
              </w:rPr>
              <w:t>Les équipements roulants, véhicules (voitures équipées, bus équipés, ambulances, camion</w:t>
            </w:r>
            <w:r w:rsidR="00242066">
              <w:rPr>
                <w:rFonts w:ascii="Arial" w:hAnsi="Arial" w:cs="Arial"/>
                <w:bCs/>
                <w:color w:val="FF0000"/>
                <w:sz w:val="18"/>
                <w:szCs w:val="18"/>
              </w:rPr>
              <w:t>s</w:t>
            </w:r>
            <w:r w:rsidR="00474816" w:rsidRPr="00474816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de pompier, véhicules du SMUR);</w:t>
            </w:r>
          </w:p>
          <w:p w14:paraId="649453AB" w14:textId="6983327A" w:rsidR="00A92EDE" w:rsidRPr="00A92EDE" w:rsidRDefault="00A92EDE" w:rsidP="00A92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  <w:r w:rsidRPr="00A92EDE">
              <w:rPr>
                <w:rFonts w:ascii="Arial" w:hAnsi="Arial" w:cs="Arial"/>
                <w:sz w:val="18"/>
              </w:rPr>
              <w:t xml:space="preserve"> Les maisons ou missions départementales ;</w:t>
            </w:r>
          </w:p>
          <w:p w14:paraId="512C839B" w14:textId="2AE086DF" w:rsidR="00EA51D9" w:rsidRPr="00EA51D9" w:rsidRDefault="00EA51D9" w:rsidP="00EA5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EA51D9">
              <w:rPr>
                <w:rFonts w:ascii="Arial" w:hAnsi="Arial" w:cs="Arial"/>
                <w:sz w:val="18"/>
              </w:rPr>
              <w:t>- Les maisons de quartier ;</w:t>
            </w:r>
          </w:p>
          <w:p w14:paraId="33C1BCD5" w14:textId="77777777" w:rsidR="00EA51D9" w:rsidRPr="00EA51D9" w:rsidRDefault="00EA51D9" w:rsidP="00EA5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EA51D9">
              <w:rPr>
                <w:rFonts w:ascii="Arial" w:hAnsi="Arial" w:cs="Arial"/>
                <w:sz w:val="18"/>
              </w:rPr>
              <w:t>- Les Maisons de services au</w:t>
            </w:r>
            <w:r>
              <w:rPr>
                <w:rFonts w:ascii="Arial" w:hAnsi="Arial" w:cs="Arial"/>
                <w:sz w:val="18"/>
              </w:rPr>
              <w:t xml:space="preserve">x publics (MSAP) Maisons France </w:t>
            </w:r>
            <w:r w:rsidRPr="00EA51D9">
              <w:rPr>
                <w:rFonts w:ascii="Arial" w:hAnsi="Arial" w:cs="Arial"/>
                <w:sz w:val="18"/>
              </w:rPr>
              <w:t>service… ;</w:t>
            </w:r>
          </w:p>
          <w:p w14:paraId="2A7603F5" w14:textId="77777777" w:rsidR="00EA51D9" w:rsidRPr="00EA51D9" w:rsidRDefault="00EA51D9" w:rsidP="00EA5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</w:rPr>
            </w:pPr>
            <w:r w:rsidRPr="00EA51D9">
              <w:rPr>
                <w:rFonts w:ascii="Arial" w:hAnsi="Arial" w:cs="Arial"/>
                <w:strike/>
                <w:sz w:val="18"/>
              </w:rPr>
              <w:t>- Les équipements petite enfance (crèches, halte-garderie, relais assistantes maternelles, centres de loisirs…).</w:t>
            </w:r>
          </w:p>
          <w:p w14:paraId="3E45E618" w14:textId="77777777" w:rsidR="003C72EC" w:rsidRPr="003C72EC" w:rsidRDefault="003C72EC" w:rsidP="00EA51D9">
            <w:pPr>
              <w:tabs>
                <w:tab w:val="left" w:pos="1276"/>
                <w:tab w:val="center" w:pos="4762"/>
              </w:tabs>
              <w:jc w:val="both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</w:p>
          <w:p w14:paraId="780B1E66" w14:textId="7EDE2DE0" w:rsidR="003C72EC" w:rsidRPr="003C72EC" w:rsidRDefault="003C72EC" w:rsidP="003C72EC">
            <w:pPr>
              <w:tabs>
                <w:tab w:val="left" w:pos="1276"/>
                <w:tab w:val="center" w:pos="4762"/>
              </w:tabs>
              <w:ind w:right="3594"/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3C72E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ab/>
            </w:r>
          </w:p>
        </w:tc>
      </w:tr>
      <w:tr w:rsidR="00BE4A39" w:rsidRPr="003C72EC" w14:paraId="3AACDA1A" w14:textId="77777777" w:rsidTr="00377A32">
        <w:trPr>
          <w:trHeight w:val="958"/>
        </w:trPr>
        <w:tc>
          <w:tcPr>
            <w:tcW w:w="4815" w:type="dxa"/>
          </w:tcPr>
          <w:p w14:paraId="72D1EF92" w14:textId="77777777" w:rsidR="00BE4A39" w:rsidRPr="00BE4A39" w:rsidRDefault="00BE4A39" w:rsidP="00A05DE8">
            <w:pPr>
              <w:tabs>
                <w:tab w:val="left" w:pos="1276"/>
                <w:tab w:val="center" w:pos="4762"/>
              </w:tabs>
              <w:jc w:val="both"/>
              <w:rPr>
                <w:rFonts w:ascii="Arial" w:hAnsi="Arial" w:cs="Arial"/>
                <w:i/>
                <w:color w:val="0070C0"/>
                <w:sz w:val="18"/>
              </w:rPr>
            </w:pPr>
            <w:r w:rsidRPr="00BE4A39">
              <w:rPr>
                <w:rFonts w:ascii="Arial" w:hAnsi="Arial" w:cs="Arial"/>
                <w:i/>
                <w:color w:val="0070C0"/>
                <w:sz w:val="18"/>
              </w:rPr>
              <w:t>Dépenses éligibles (caractéristiques de l’action) :</w:t>
            </w:r>
          </w:p>
          <w:p w14:paraId="1A774AD0" w14:textId="77777777" w:rsidR="00BE4A39" w:rsidRPr="00BE4A39" w:rsidRDefault="00BE4A39" w:rsidP="00BE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BE4A39">
              <w:rPr>
                <w:rFonts w:ascii="Arial" w:hAnsi="Arial" w:cs="Arial"/>
                <w:sz w:val="18"/>
              </w:rPr>
              <w:t>Dépenses directement imputables à l’opération dont :</w:t>
            </w:r>
          </w:p>
          <w:p w14:paraId="6D7DC35C" w14:textId="77777777" w:rsidR="00BE4A39" w:rsidRPr="00BE4A39" w:rsidRDefault="00BE4A39" w:rsidP="00BE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BE4A39">
              <w:rPr>
                <w:rFonts w:ascii="Arial" w:hAnsi="Arial" w:cs="Arial"/>
                <w:sz w:val="18"/>
              </w:rPr>
              <w:t>- Prestations d’Assistance à Maitrise d’Ouvrage ;</w:t>
            </w:r>
          </w:p>
          <w:p w14:paraId="0CBC8A4D" w14:textId="71B3046D" w:rsidR="00BE4A39" w:rsidRPr="00BE4A39" w:rsidRDefault="00BE4A39" w:rsidP="00BE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BE4A39">
              <w:rPr>
                <w:rFonts w:ascii="Arial" w:hAnsi="Arial" w:cs="Arial"/>
                <w:sz w:val="18"/>
              </w:rPr>
              <w:t>- Prestations de Maîtrise d’œuvre ;</w:t>
            </w:r>
          </w:p>
          <w:p w14:paraId="38125269" w14:textId="77777777" w:rsidR="00BE4A39" w:rsidRPr="00BE4A39" w:rsidRDefault="00BE4A39" w:rsidP="00BE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BE4A39">
              <w:rPr>
                <w:rFonts w:ascii="Arial" w:hAnsi="Arial" w:cs="Arial"/>
                <w:sz w:val="18"/>
              </w:rPr>
              <w:t>- Travaux de construction neuve ;</w:t>
            </w:r>
          </w:p>
          <w:p w14:paraId="31F066F4" w14:textId="77777777" w:rsidR="00BE4A39" w:rsidRPr="00BE4A39" w:rsidRDefault="00BE4A39" w:rsidP="00BE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BE4A39">
              <w:rPr>
                <w:rFonts w:ascii="Arial" w:hAnsi="Arial" w:cs="Arial"/>
                <w:sz w:val="18"/>
              </w:rPr>
              <w:t>- Travaux de réhabilitation d’un bâtiment existant ;</w:t>
            </w:r>
          </w:p>
          <w:p w14:paraId="12271949" w14:textId="35DFF8A2" w:rsidR="00BE4A39" w:rsidRPr="00BE4A39" w:rsidRDefault="00BE4A39" w:rsidP="00BE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BE4A39">
              <w:rPr>
                <w:rFonts w:ascii="Arial" w:hAnsi="Arial" w:cs="Arial"/>
                <w:sz w:val="18"/>
              </w:rPr>
              <w:t>- Dépenses d’acquisition foncière ou immobiliè</w:t>
            </w:r>
            <w:r>
              <w:rPr>
                <w:rFonts w:ascii="Arial" w:hAnsi="Arial" w:cs="Arial"/>
                <w:sz w:val="18"/>
              </w:rPr>
              <w:t xml:space="preserve">re dans le cadre de </w:t>
            </w:r>
            <w:r w:rsidRPr="00BE4A39">
              <w:rPr>
                <w:rFonts w:ascii="Arial" w:hAnsi="Arial" w:cs="Arial"/>
                <w:sz w:val="18"/>
              </w:rPr>
              <w:t>friches délaissées / en maîtrise d’artificialisation des sols.</w:t>
            </w:r>
          </w:p>
        </w:tc>
        <w:tc>
          <w:tcPr>
            <w:tcW w:w="4961" w:type="dxa"/>
          </w:tcPr>
          <w:p w14:paraId="1956E193" w14:textId="77777777" w:rsidR="00BE4A39" w:rsidRPr="00BE4A39" w:rsidRDefault="00BE4A39" w:rsidP="00BE4A39">
            <w:pPr>
              <w:tabs>
                <w:tab w:val="left" w:pos="1276"/>
                <w:tab w:val="center" w:pos="4762"/>
              </w:tabs>
              <w:jc w:val="both"/>
              <w:rPr>
                <w:rFonts w:ascii="Arial" w:hAnsi="Arial" w:cs="Arial"/>
                <w:i/>
                <w:color w:val="0070C0"/>
                <w:sz w:val="18"/>
              </w:rPr>
            </w:pPr>
            <w:r w:rsidRPr="00BE4A39">
              <w:rPr>
                <w:rFonts w:ascii="Arial" w:hAnsi="Arial" w:cs="Arial"/>
                <w:i/>
                <w:color w:val="0070C0"/>
                <w:sz w:val="18"/>
              </w:rPr>
              <w:t>Dépenses éligibles (caractéristiques de l’action) :</w:t>
            </w:r>
          </w:p>
          <w:p w14:paraId="0AC86127" w14:textId="77777777" w:rsidR="00AC4920" w:rsidRDefault="00AC4920" w:rsidP="00BE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459E7D03" w14:textId="77777777" w:rsidR="00AC4920" w:rsidRPr="00AC4920" w:rsidRDefault="00AC4920" w:rsidP="00AC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AC4920">
              <w:rPr>
                <w:rFonts w:ascii="Arial" w:hAnsi="Arial" w:cs="Arial"/>
                <w:sz w:val="18"/>
              </w:rPr>
              <w:t>Dépenses directement imputables à l’opération dont :</w:t>
            </w:r>
          </w:p>
          <w:p w14:paraId="6C2EA751" w14:textId="0D9FB867" w:rsidR="00AC4920" w:rsidRPr="00AC4920" w:rsidRDefault="00AC4920" w:rsidP="00AC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AC4920">
              <w:rPr>
                <w:rFonts w:ascii="Arial" w:hAnsi="Arial" w:cs="Arial"/>
                <w:sz w:val="18"/>
              </w:rPr>
              <w:t>- Prestations d’Assistance à Maitrise d’Ouvrage</w:t>
            </w:r>
            <w:r w:rsidR="00484F29">
              <w:rPr>
                <w:rFonts w:ascii="Arial" w:hAnsi="Arial" w:cs="Arial"/>
                <w:sz w:val="18"/>
              </w:rPr>
              <w:t xml:space="preserve"> </w:t>
            </w:r>
            <w:r w:rsidR="00484F29" w:rsidRPr="00484F29">
              <w:rPr>
                <w:rFonts w:ascii="Arial" w:hAnsi="Arial" w:cs="Arial"/>
                <w:color w:val="FF0000"/>
                <w:sz w:val="18"/>
              </w:rPr>
              <w:t>liées à l’opération de construction</w:t>
            </w:r>
            <w:r w:rsidRPr="00AC4920">
              <w:rPr>
                <w:rFonts w:ascii="Arial" w:hAnsi="Arial" w:cs="Arial"/>
                <w:sz w:val="18"/>
              </w:rPr>
              <w:t xml:space="preserve"> ;</w:t>
            </w:r>
          </w:p>
          <w:p w14:paraId="54D5B65A" w14:textId="4772D003" w:rsidR="00AC4920" w:rsidRPr="00AC4920" w:rsidRDefault="00AC4920" w:rsidP="00AC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AC4920">
              <w:rPr>
                <w:rFonts w:ascii="Arial" w:hAnsi="Arial" w:cs="Arial"/>
                <w:sz w:val="18"/>
              </w:rPr>
              <w:t>- Prestations de Maîtrise d’</w:t>
            </w:r>
            <w:r w:rsidR="00CD2A60" w:rsidRPr="00AC4920">
              <w:rPr>
                <w:rFonts w:ascii="Arial" w:hAnsi="Arial" w:cs="Arial"/>
                <w:sz w:val="18"/>
              </w:rPr>
              <w:t>œuvre</w:t>
            </w:r>
            <w:r w:rsidRPr="00AC4920">
              <w:rPr>
                <w:rFonts w:ascii="Arial" w:hAnsi="Arial" w:cs="Arial"/>
                <w:sz w:val="18"/>
              </w:rPr>
              <w:t xml:space="preserve"> ;</w:t>
            </w:r>
          </w:p>
          <w:p w14:paraId="25C17223" w14:textId="77777777" w:rsidR="00AC4920" w:rsidRPr="00AC4920" w:rsidRDefault="00AC4920" w:rsidP="00AC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AC4920">
              <w:rPr>
                <w:rFonts w:ascii="Arial" w:hAnsi="Arial" w:cs="Arial"/>
                <w:sz w:val="18"/>
              </w:rPr>
              <w:t>- Travaux de construction neuve ;</w:t>
            </w:r>
          </w:p>
          <w:p w14:paraId="09448195" w14:textId="77777777" w:rsidR="00AC4920" w:rsidRPr="00AC4920" w:rsidRDefault="00AC4920" w:rsidP="00AC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AC4920">
              <w:rPr>
                <w:rFonts w:ascii="Arial" w:hAnsi="Arial" w:cs="Arial"/>
                <w:sz w:val="18"/>
              </w:rPr>
              <w:t>- Travaux de réhabilitation d’un bâtiment existant ;</w:t>
            </w:r>
          </w:p>
          <w:p w14:paraId="7BB87116" w14:textId="4F45FA2D" w:rsidR="00AC4920" w:rsidRDefault="00AC4920" w:rsidP="00AC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AC4920">
              <w:rPr>
                <w:rFonts w:ascii="Arial" w:hAnsi="Arial" w:cs="Arial"/>
                <w:sz w:val="18"/>
              </w:rPr>
              <w:t xml:space="preserve">- Dépenses d’acquisition foncière </w:t>
            </w:r>
            <w:r>
              <w:rPr>
                <w:rFonts w:ascii="Arial" w:hAnsi="Arial" w:cs="Arial"/>
                <w:sz w:val="18"/>
              </w:rPr>
              <w:t xml:space="preserve">ou immobilières </w:t>
            </w:r>
            <w:r w:rsidRPr="00AC4920">
              <w:rPr>
                <w:rFonts w:ascii="Arial" w:hAnsi="Arial" w:cs="Arial"/>
                <w:color w:val="FF0000"/>
                <w:sz w:val="18"/>
              </w:rPr>
              <w:t>(à hauteur de 10% maximum de l’assiette éligible)</w:t>
            </w:r>
            <w:r>
              <w:rPr>
                <w:rFonts w:ascii="Arial" w:hAnsi="Arial" w:cs="Arial"/>
                <w:sz w:val="18"/>
              </w:rPr>
              <w:t xml:space="preserve">. </w:t>
            </w:r>
          </w:p>
          <w:p w14:paraId="4A9B65EA" w14:textId="676978D1" w:rsidR="00AC4920" w:rsidRDefault="00AC4920" w:rsidP="00AC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  <w:r w:rsidRPr="00AC4920">
              <w:rPr>
                <w:rFonts w:ascii="Arial" w:hAnsi="Arial" w:cs="Arial"/>
                <w:color w:val="FF0000"/>
                <w:sz w:val="18"/>
              </w:rPr>
              <w:t>Dépenses d'acquisitions foncières ou immobilières dans le cadre des friches délaissées / en maitrise d’artificialisation des sols (à hauteur de 15% maximum de l’assiette éligible)</w:t>
            </w:r>
          </w:p>
          <w:p w14:paraId="3D5A142F" w14:textId="77777777" w:rsidR="00AC4920" w:rsidRDefault="00AC4920" w:rsidP="00BE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0A9DE0E7" w14:textId="4CB42079" w:rsidR="00AC4920" w:rsidRDefault="00E51210" w:rsidP="00E51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8"/>
              </w:rPr>
            </w:pPr>
            <w:r w:rsidRPr="00A368B6">
              <w:rPr>
                <w:rFonts w:ascii="Arial" w:hAnsi="Arial" w:cs="Arial"/>
                <w:color w:val="FF0000"/>
                <w:sz w:val="18"/>
              </w:rPr>
              <w:t>-</w:t>
            </w:r>
            <w:r w:rsidR="00A368B6" w:rsidRPr="00A368B6">
              <w:rPr>
                <w:color w:val="FF0000"/>
              </w:rPr>
              <w:t xml:space="preserve"> </w:t>
            </w:r>
            <w:r w:rsidR="00A368B6" w:rsidRPr="00A368B6">
              <w:rPr>
                <w:rFonts w:ascii="Arial" w:hAnsi="Arial" w:cs="Arial"/>
                <w:color w:val="FF0000"/>
                <w:sz w:val="18"/>
              </w:rPr>
              <w:t>Les dépenses liées aux VRD limitées aux aménagements directs du bâtiment (à hauteur de 10% maximum de l’assiette éligible).</w:t>
            </w:r>
          </w:p>
          <w:p w14:paraId="354E9F65" w14:textId="74C472E1" w:rsidR="00A368B6" w:rsidRDefault="00A368B6" w:rsidP="00E51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8"/>
              </w:rPr>
            </w:pPr>
          </w:p>
          <w:p w14:paraId="2F780D30" w14:textId="73C34212" w:rsidR="00A368B6" w:rsidRPr="00A368B6" w:rsidRDefault="00A368B6" w:rsidP="00A36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-</w:t>
            </w:r>
            <w:r w:rsidRPr="00A368B6">
              <w:rPr>
                <w:rFonts w:ascii="Arial" w:hAnsi="Arial" w:cs="Arial"/>
                <w:color w:val="FF0000"/>
                <w:sz w:val="18"/>
              </w:rPr>
              <w:t>Acquisition d’équipements portables sanitaires et ou de prise en charge (dans la limite de 3 équipements par projet).</w:t>
            </w:r>
          </w:p>
          <w:p w14:paraId="611A29E0" w14:textId="77777777" w:rsidR="00AC4920" w:rsidRDefault="00AC4920" w:rsidP="00BE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7F532DEA" w14:textId="77777777" w:rsidR="00AC4920" w:rsidRDefault="00AC4920" w:rsidP="00BE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74ABE3F8" w14:textId="77777777" w:rsidR="00AC4920" w:rsidRDefault="00AC4920" w:rsidP="00BE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55F0230D" w14:textId="77777777" w:rsidR="00AC4920" w:rsidRDefault="00AC4920" w:rsidP="00BE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2BD40DAE" w14:textId="77777777" w:rsidR="00AC4920" w:rsidRDefault="00AC4920" w:rsidP="00BE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0787BB00" w14:textId="77777777" w:rsidR="00AC4920" w:rsidRDefault="00AC4920" w:rsidP="00BE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0101BC99" w14:textId="4EFC4C6E" w:rsidR="00BE4A39" w:rsidRPr="00BE4A39" w:rsidRDefault="00BE4A39" w:rsidP="003F75B9">
            <w:pPr>
              <w:tabs>
                <w:tab w:val="left" w:pos="1276"/>
                <w:tab w:val="center" w:pos="4762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77A32" w:rsidRPr="003C72EC" w14:paraId="3359A6D3" w14:textId="77777777" w:rsidTr="00377A32">
        <w:trPr>
          <w:trHeight w:val="958"/>
        </w:trPr>
        <w:tc>
          <w:tcPr>
            <w:tcW w:w="4815" w:type="dxa"/>
          </w:tcPr>
          <w:p w14:paraId="26FF6A33" w14:textId="77777777" w:rsidR="00377A32" w:rsidRDefault="00377A32" w:rsidP="00A05DE8">
            <w:pPr>
              <w:tabs>
                <w:tab w:val="left" w:pos="1276"/>
                <w:tab w:val="center" w:pos="4762"/>
              </w:tabs>
              <w:jc w:val="both"/>
              <w:rPr>
                <w:rFonts w:ascii="Arial" w:hAnsi="Arial" w:cs="Arial"/>
                <w:i/>
                <w:color w:val="0070C0"/>
                <w:sz w:val="18"/>
              </w:rPr>
            </w:pPr>
            <w:r>
              <w:rPr>
                <w:rFonts w:ascii="Arial" w:hAnsi="Arial" w:cs="Arial"/>
                <w:i/>
                <w:color w:val="0070C0"/>
                <w:sz w:val="18"/>
              </w:rPr>
              <w:lastRenderedPageBreak/>
              <w:t xml:space="preserve">Dépenses exclues (caractéristiques de l’action) : </w:t>
            </w:r>
          </w:p>
          <w:p w14:paraId="3BAEAD45" w14:textId="0A69E0CF" w:rsidR="00377A32" w:rsidRDefault="00377A32" w:rsidP="00377A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377A32">
              <w:rPr>
                <w:rFonts w:ascii="Arial" w:hAnsi="Arial" w:cs="Arial"/>
                <w:sz w:val="18"/>
              </w:rPr>
              <w:t>- Les études et frais réglementaires</w:t>
            </w:r>
            <w:r>
              <w:rPr>
                <w:rFonts w:ascii="Arial" w:hAnsi="Arial" w:cs="Arial"/>
                <w:sz w:val="18"/>
              </w:rPr>
              <w:t xml:space="preserve"> ainsi que les travaux de seule </w:t>
            </w:r>
            <w:r w:rsidRPr="00377A32">
              <w:rPr>
                <w:rFonts w:ascii="Arial" w:hAnsi="Arial" w:cs="Arial"/>
                <w:sz w:val="18"/>
              </w:rPr>
              <w:t>mise en conformité liés à une obligation réglementaire ;</w:t>
            </w:r>
          </w:p>
          <w:p w14:paraId="373A03D6" w14:textId="77777777" w:rsidR="00377A32" w:rsidRPr="00377A32" w:rsidRDefault="00377A32" w:rsidP="00377A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377A32">
              <w:rPr>
                <w:rFonts w:ascii="Arial" w:hAnsi="Arial" w:cs="Arial"/>
                <w:sz w:val="18"/>
              </w:rPr>
              <w:t>- Les frais de gardiennage et de sécurité ;</w:t>
            </w:r>
          </w:p>
          <w:p w14:paraId="47B2056E" w14:textId="1596C515" w:rsidR="00377A32" w:rsidRPr="00377A32" w:rsidRDefault="00377A32" w:rsidP="00377A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377A32">
              <w:rPr>
                <w:rFonts w:ascii="Arial" w:hAnsi="Arial" w:cs="Arial"/>
                <w:sz w:val="18"/>
              </w:rPr>
              <w:t>- Les coûts de démolition ;</w:t>
            </w:r>
          </w:p>
          <w:p w14:paraId="13871AE4" w14:textId="77777777" w:rsidR="00377A32" w:rsidRPr="00377A32" w:rsidRDefault="00377A32" w:rsidP="00377A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377A32">
              <w:rPr>
                <w:rFonts w:ascii="Arial" w:hAnsi="Arial" w:cs="Arial"/>
                <w:sz w:val="18"/>
              </w:rPr>
              <w:t>- Les frais liés au changement de propriétaire ;</w:t>
            </w:r>
          </w:p>
          <w:p w14:paraId="411F4CB5" w14:textId="77777777" w:rsidR="00377A32" w:rsidRPr="00377A32" w:rsidRDefault="00377A32" w:rsidP="00377A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377A32">
              <w:rPr>
                <w:rFonts w:ascii="Arial" w:hAnsi="Arial" w:cs="Arial"/>
                <w:sz w:val="18"/>
              </w:rPr>
              <w:t>- Les frais de fonctionnement ;</w:t>
            </w:r>
          </w:p>
          <w:p w14:paraId="68CE9837" w14:textId="77777777" w:rsidR="00377A32" w:rsidRPr="00377A32" w:rsidRDefault="00377A32" w:rsidP="00377A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377A32">
              <w:rPr>
                <w:rFonts w:ascii="Arial" w:hAnsi="Arial" w:cs="Arial"/>
                <w:sz w:val="18"/>
              </w:rPr>
              <w:t>- Les aléas de travaux ;</w:t>
            </w:r>
          </w:p>
          <w:p w14:paraId="58B2555D" w14:textId="77777777" w:rsidR="00377A32" w:rsidRPr="00377A32" w:rsidRDefault="00377A32" w:rsidP="00377A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377A32">
              <w:rPr>
                <w:rFonts w:ascii="Arial" w:hAnsi="Arial" w:cs="Arial"/>
                <w:sz w:val="18"/>
              </w:rPr>
              <w:t>- Les petits équipements (casques, micro, applications,</w:t>
            </w:r>
          </w:p>
          <w:p w14:paraId="4C81B364" w14:textId="1AA7AFE9" w:rsidR="00377A32" w:rsidRPr="00377A32" w:rsidRDefault="00377A32" w:rsidP="00377A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377A32">
              <w:rPr>
                <w:rFonts w:ascii="Arial" w:hAnsi="Arial" w:cs="Arial"/>
                <w:sz w:val="18"/>
              </w:rPr>
              <w:t>Smartphones…) ;</w:t>
            </w:r>
          </w:p>
          <w:p w14:paraId="26CBDEAB" w14:textId="77777777" w:rsidR="00377A32" w:rsidRPr="00377A32" w:rsidRDefault="00377A32" w:rsidP="00377A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377A32">
              <w:rPr>
                <w:rFonts w:ascii="Arial" w:hAnsi="Arial" w:cs="Arial"/>
                <w:sz w:val="18"/>
              </w:rPr>
              <w:t>- Les dépenses de mobilier ;</w:t>
            </w:r>
          </w:p>
          <w:p w14:paraId="0990E050" w14:textId="762A09B4" w:rsidR="00377A32" w:rsidRPr="00BE4A39" w:rsidRDefault="00377A32" w:rsidP="00377A32">
            <w:pPr>
              <w:tabs>
                <w:tab w:val="left" w:pos="1276"/>
                <w:tab w:val="center" w:pos="4762"/>
              </w:tabs>
              <w:jc w:val="both"/>
              <w:rPr>
                <w:rFonts w:ascii="Arial" w:hAnsi="Arial" w:cs="Arial"/>
                <w:i/>
                <w:color w:val="0070C0"/>
                <w:sz w:val="18"/>
              </w:rPr>
            </w:pPr>
            <w:r w:rsidRPr="00377A32">
              <w:rPr>
                <w:rFonts w:ascii="Arial" w:hAnsi="Arial" w:cs="Arial"/>
                <w:sz w:val="18"/>
              </w:rPr>
              <w:t>- Les assurances dommages-ouvrages.</w:t>
            </w:r>
          </w:p>
        </w:tc>
        <w:tc>
          <w:tcPr>
            <w:tcW w:w="4961" w:type="dxa"/>
          </w:tcPr>
          <w:p w14:paraId="56B95B00" w14:textId="77777777" w:rsidR="00377A32" w:rsidRDefault="00377A32" w:rsidP="00377A32">
            <w:pPr>
              <w:tabs>
                <w:tab w:val="left" w:pos="1276"/>
                <w:tab w:val="center" w:pos="4762"/>
              </w:tabs>
              <w:jc w:val="both"/>
              <w:rPr>
                <w:rFonts w:ascii="Arial" w:hAnsi="Arial" w:cs="Arial"/>
                <w:i/>
                <w:color w:val="0070C0"/>
                <w:sz w:val="18"/>
              </w:rPr>
            </w:pPr>
            <w:r>
              <w:rPr>
                <w:rFonts w:ascii="Arial" w:hAnsi="Arial" w:cs="Arial"/>
                <w:i/>
                <w:color w:val="0070C0"/>
                <w:sz w:val="18"/>
              </w:rPr>
              <w:t xml:space="preserve">Dépenses exclues (caractéristiques de l’action) : </w:t>
            </w:r>
          </w:p>
          <w:p w14:paraId="2921443A" w14:textId="10E41A7F" w:rsidR="00471240" w:rsidRPr="00471240" w:rsidRDefault="00471240" w:rsidP="00377A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8"/>
              </w:rPr>
            </w:pPr>
            <w:r w:rsidRPr="00471240">
              <w:rPr>
                <w:rFonts w:ascii="Arial" w:hAnsi="Arial" w:cs="Arial"/>
                <w:color w:val="FF0000"/>
                <w:sz w:val="18"/>
              </w:rPr>
              <w:t>-</w:t>
            </w:r>
            <w:r w:rsidRPr="00471240">
              <w:rPr>
                <w:color w:val="FF0000"/>
              </w:rPr>
              <w:t xml:space="preserve"> </w:t>
            </w:r>
            <w:r w:rsidRPr="00471240">
              <w:rPr>
                <w:rFonts w:ascii="Arial" w:hAnsi="Arial" w:cs="Arial"/>
                <w:color w:val="FF0000"/>
                <w:sz w:val="18"/>
              </w:rPr>
              <w:t>Les études et les travaux de seule mise en conformité liés à une obligation réglementaire,</w:t>
            </w:r>
          </w:p>
          <w:p w14:paraId="2D85BD9B" w14:textId="2817839F" w:rsidR="00377A32" w:rsidRPr="00377A32" w:rsidRDefault="00377A32" w:rsidP="00377A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377A32">
              <w:rPr>
                <w:rFonts w:ascii="Arial" w:hAnsi="Arial" w:cs="Arial"/>
                <w:sz w:val="18"/>
              </w:rPr>
              <w:t>- Les frais de gardiennage et de sécurité ;</w:t>
            </w:r>
          </w:p>
          <w:p w14:paraId="7EC79F9F" w14:textId="77777777" w:rsidR="00377A32" w:rsidRPr="00377A32" w:rsidRDefault="00377A32" w:rsidP="00377A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377A32">
              <w:rPr>
                <w:rFonts w:ascii="Arial" w:hAnsi="Arial" w:cs="Arial"/>
                <w:sz w:val="18"/>
              </w:rPr>
              <w:t>- Les coûts de démolition ;</w:t>
            </w:r>
          </w:p>
          <w:p w14:paraId="4B439F6E" w14:textId="77777777" w:rsidR="00377A32" w:rsidRPr="00377A32" w:rsidRDefault="00377A32" w:rsidP="00377A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377A32">
              <w:rPr>
                <w:rFonts w:ascii="Arial" w:hAnsi="Arial" w:cs="Arial"/>
                <w:sz w:val="18"/>
              </w:rPr>
              <w:t>- Les frais liés au changement de propriétaire ;</w:t>
            </w:r>
          </w:p>
          <w:p w14:paraId="7C4824C9" w14:textId="6D66E5D7" w:rsidR="00377A32" w:rsidRPr="00377A32" w:rsidRDefault="00377A32" w:rsidP="00377A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377A32">
              <w:rPr>
                <w:rFonts w:ascii="Arial" w:hAnsi="Arial" w:cs="Arial"/>
                <w:sz w:val="18"/>
              </w:rPr>
              <w:t xml:space="preserve">- </w:t>
            </w:r>
            <w:r w:rsidR="00471240" w:rsidRPr="00471240">
              <w:rPr>
                <w:rFonts w:ascii="Arial" w:hAnsi="Arial" w:cs="Arial"/>
                <w:sz w:val="18"/>
              </w:rPr>
              <w:t>Les frais de fonctionnement</w:t>
            </w:r>
            <w:r w:rsidR="00471240" w:rsidRPr="00471240">
              <w:rPr>
                <w:rFonts w:ascii="Arial" w:hAnsi="Arial" w:cs="Arial"/>
                <w:color w:val="FF0000"/>
                <w:sz w:val="18"/>
              </w:rPr>
              <w:t xml:space="preserve"> courants et charges d’exploitation</w:t>
            </w:r>
          </w:p>
          <w:p w14:paraId="76B82D73" w14:textId="77777777" w:rsidR="00377A32" w:rsidRPr="00852831" w:rsidRDefault="00377A32" w:rsidP="00377A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377A32">
              <w:rPr>
                <w:rFonts w:ascii="Arial" w:hAnsi="Arial" w:cs="Arial"/>
                <w:sz w:val="18"/>
              </w:rPr>
              <w:t xml:space="preserve">- Les </w:t>
            </w:r>
            <w:r w:rsidRPr="00852831">
              <w:rPr>
                <w:rFonts w:ascii="Arial" w:hAnsi="Arial" w:cs="Arial"/>
                <w:sz w:val="18"/>
              </w:rPr>
              <w:t>aléas de travaux ;</w:t>
            </w:r>
          </w:p>
          <w:p w14:paraId="718C0D79" w14:textId="0AB63DD9" w:rsidR="00852831" w:rsidRPr="00852831" w:rsidRDefault="00852831" w:rsidP="00852831">
            <w:pPr>
              <w:spacing w:after="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852831">
              <w:rPr>
                <w:rFonts w:ascii="Arial" w:hAnsi="Arial" w:cs="Arial"/>
                <w:sz w:val="18"/>
              </w:rPr>
              <w:t xml:space="preserve">-Les dépenses de mobilier </w:t>
            </w:r>
            <w:r w:rsidRPr="00852831">
              <w:rPr>
                <w:rFonts w:ascii="Arial" w:hAnsi="Arial" w:cs="Arial"/>
                <w:color w:val="FF0000"/>
                <w:sz w:val="18"/>
              </w:rPr>
              <w:t xml:space="preserve">de bureaux et d’aménagement des locaux et des logements, </w:t>
            </w:r>
          </w:p>
          <w:p w14:paraId="24EDBF83" w14:textId="1A992BCC" w:rsidR="00852831" w:rsidRPr="00852831" w:rsidRDefault="00852831" w:rsidP="00852831">
            <w:pPr>
              <w:spacing w:after="0"/>
              <w:contextualSpacing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  <w:r w:rsidRPr="00852831">
              <w:rPr>
                <w:rFonts w:ascii="Arial" w:hAnsi="Arial" w:cs="Arial"/>
                <w:sz w:val="18"/>
              </w:rPr>
              <w:t>Les assurances dommages-ouvrages,</w:t>
            </w:r>
          </w:p>
          <w:p w14:paraId="4FD8D570" w14:textId="714C6B0C" w:rsidR="00852831" w:rsidRPr="00C64C72" w:rsidRDefault="00852831" w:rsidP="00852831">
            <w:pPr>
              <w:spacing w:after="0"/>
              <w:contextualSpacing/>
              <w:jc w:val="both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  <w:r w:rsidRPr="00852831">
              <w:rPr>
                <w:rFonts w:ascii="Arial" w:hAnsi="Arial" w:cs="Arial"/>
                <w:sz w:val="18"/>
              </w:rPr>
              <w:t xml:space="preserve">Les petits équipements, </w:t>
            </w:r>
            <w:r w:rsidRPr="00C64C72">
              <w:rPr>
                <w:rFonts w:ascii="Arial" w:hAnsi="Arial" w:cs="Arial"/>
                <w:color w:val="FF0000"/>
                <w:sz w:val="18"/>
              </w:rPr>
              <w:t>matériels médicaux (thermomètre, ciseaux, stéthoscope, ainsi que le matériel à usage unique…),</w:t>
            </w:r>
          </w:p>
          <w:p w14:paraId="33A4BFDD" w14:textId="02FF9F74" w:rsidR="00852831" w:rsidRPr="00852831" w:rsidRDefault="00852831" w:rsidP="00852831">
            <w:pPr>
              <w:spacing w:after="0"/>
              <w:contextualSpacing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  <w:r w:rsidRPr="00C64C72">
              <w:rPr>
                <w:rFonts w:ascii="Arial" w:hAnsi="Arial" w:cs="Arial"/>
                <w:color w:val="FF0000"/>
                <w:sz w:val="18"/>
              </w:rPr>
              <w:t xml:space="preserve">Les équipements informatiques (à titre d’exemples ordinateur de bureau, télévision, enceinte, poste de radio, écran de </w:t>
            </w:r>
            <w:proofErr w:type="spellStart"/>
            <w:r w:rsidRPr="00C64C72">
              <w:rPr>
                <w:rFonts w:ascii="Arial" w:hAnsi="Arial" w:cs="Arial"/>
                <w:color w:val="FF0000"/>
                <w:sz w:val="18"/>
              </w:rPr>
              <w:t>visio</w:t>
            </w:r>
            <w:proofErr w:type="spellEnd"/>
            <w:r w:rsidRPr="00C64C72">
              <w:rPr>
                <w:rFonts w:ascii="Arial" w:hAnsi="Arial" w:cs="Arial"/>
                <w:color w:val="FF0000"/>
                <w:sz w:val="18"/>
              </w:rPr>
              <w:t>, vidéoprojecteur, casques, micro, applications, smartphones, câblage fibre interne au bâtiment…).</w:t>
            </w:r>
          </w:p>
          <w:p w14:paraId="15FA0334" w14:textId="45C5D56B" w:rsidR="00377A32" w:rsidRPr="00BE4A39" w:rsidRDefault="00377A32" w:rsidP="00377A32">
            <w:pPr>
              <w:tabs>
                <w:tab w:val="left" w:pos="1276"/>
                <w:tab w:val="center" w:pos="4762"/>
              </w:tabs>
              <w:jc w:val="both"/>
              <w:rPr>
                <w:rFonts w:ascii="Arial" w:hAnsi="Arial" w:cs="Arial"/>
                <w:i/>
                <w:color w:val="0070C0"/>
                <w:sz w:val="18"/>
              </w:rPr>
            </w:pPr>
          </w:p>
        </w:tc>
      </w:tr>
      <w:tr w:rsidR="008A6F86" w:rsidRPr="003C72EC" w14:paraId="4209E3B9" w14:textId="77777777" w:rsidTr="00377A32">
        <w:trPr>
          <w:trHeight w:val="958"/>
        </w:trPr>
        <w:tc>
          <w:tcPr>
            <w:tcW w:w="4815" w:type="dxa"/>
          </w:tcPr>
          <w:p w14:paraId="2AB9CB95" w14:textId="4200BC56" w:rsidR="007F472E" w:rsidRPr="00F92063" w:rsidRDefault="007F472E" w:rsidP="007F4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70C0"/>
                <w:sz w:val="18"/>
              </w:rPr>
            </w:pPr>
            <w:r w:rsidRPr="00F92063">
              <w:rPr>
                <w:rFonts w:ascii="Arial" w:hAnsi="Arial" w:cs="Arial"/>
                <w:i/>
                <w:color w:val="0070C0"/>
                <w:sz w:val="18"/>
              </w:rPr>
              <w:t>Exemples d’actions :</w:t>
            </w:r>
          </w:p>
          <w:p w14:paraId="32B9BF08" w14:textId="6C3790C5" w:rsidR="007F472E" w:rsidRPr="007F472E" w:rsidRDefault="007F472E" w:rsidP="007F4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Ex</w:t>
            </w:r>
            <w:r w:rsidRPr="007F472E">
              <w:rPr>
                <w:rFonts w:ascii="Arial" w:hAnsi="Arial" w:cs="Arial"/>
                <w:sz w:val="18"/>
              </w:rPr>
              <w:t>emple d’opérations visant l’amélioration de services publics :</w:t>
            </w:r>
          </w:p>
          <w:p w14:paraId="7B110DA0" w14:textId="2CE06666" w:rsidR="007F472E" w:rsidRPr="007F472E" w:rsidRDefault="007F472E" w:rsidP="007F4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7F472E">
              <w:rPr>
                <w:rFonts w:ascii="Arial" w:hAnsi="Arial" w:cs="Arial"/>
                <w:sz w:val="18"/>
              </w:rPr>
              <w:t xml:space="preserve">- Catégorie 1 : Dans le domaine de la santé : la </w:t>
            </w:r>
            <w:proofErr w:type="gramStart"/>
            <w:r w:rsidRPr="007F472E">
              <w:rPr>
                <w:rFonts w:ascii="Arial" w:hAnsi="Arial" w:cs="Arial"/>
                <w:sz w:val="18"/>
              </w:rPr>
              <w:t>création,</w:t>
            </w:r>
            <w:r w:rsidR="00F92063">
              <w:rPr>
                <w:rFonts w:ascii="Arial" w:hAnsi="Arial" w:cs="Arial"/>
                <w:sz w:val="18"/>
              </w:rPr>
              <w:t xml:space="preserve">   </w:t>
            </w:r>
            <w:proofErr w:type="gramEnd"/>
            <w:r w:rsidRPr="007F472E">
              <w:rPr>
                <w:rFonts w:ascii="Arial" w:hAnsi="Arial" w:cs="Arial"/>
                <w:sz w:val="18"/>
              </w:rPr>
              <w:t>l</w:t>
            </w:r>
            <w:r w:rsidRPr="007F472E">
              <w:rPr>
                <w:rFonts w:ascii="Arial" w:hAnsi="Arial" w:cs="Arial" w:hint="eastAsia"/>
                <w:sz w:val="18"/>
              </w:rPr>
              <w:t>’</w:t>
            </w:r>
            <w:r w:rsidRPr="007F472E">
              <w:rPr>
                <w:rFonts w:ascii="Arial" w:hAnsi="Arial" w:cs="Arial"/>
                <w:sz w:val="18"/>
              </w:rPr>
              <w:t>extension et la r</w:t>
            </w:r>
            <w:r w:rsidRPr="007F472E">
              <w:rPr>
                <w:rFonts w:ascii="Arial" w:hAnsi="Arial" w:cs="Arial" w:hint="eastAsia"/>
                <w:sz w:val="18"/>
              </w:rPr>
              <w:t>é</w:t>
            </w:r>
            <w:r w:rsidRPr="007F472E">
              <w:rPr>
                <w:rFonts w:ascii="Arial" w:hAnsi="Arial" w:cs="Arial"/>
                <w:sz w:val="18"/>
              </w:rPr>
              <w:t>habilitation de maisons de sant</w:t>
            </w:r>
            <w:r w:rsidRPr="007F472E">
              <w:rPr>
                <w:rFonts w:ascii="Arial" w:hAnsi="Arial" w:cs="Arial" w:hint="eastAsia"/>
                <w:sz w:val="18"/>
              </w:rPr>
              <w:t>é</w:t>
            </w:r>
            <w:r w:rsidRPr="007F472E">
              <w:rPr>
                <w:rFonts w:ascii="Arial" w:hAnsi="Arial" w:cs="Arial"/>
                <w:sz w:val="18"/>
              </w:rPr>
              <w:t xml:space="preserve"> pluri</w:t>
            </w:r>
          </w:p>
          <w:p w14:paraId="527AB344" w14:textId="5E3C4F58" w:rsidR="008A6F86" w:rsidRPr="00FB5361" w:rsidRDefault="007F472E" w:rsidP="007F4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7F472E">
              <w:rPr>
                <w:rFonts w:ascii="Arial" w:hAnsi="Arial" w:cs="Arial"/>
                <w:sz w:val="18"/>
              </w:rPr>
              <w:t>professionnelles (MSP) et de centres de santé polyvalents dont</w:t>
            </w:r>
            <w:r w:rsidR="00FB5361">
              <w:rPr>
                <w:rFonts w:ascii="Arial" w:hAnsi="Arial" w:cs="Arial"/>
                <w:sz w:val="18"/>
              </w:rPr>
              <w:t xml:space="preserve"> </w:t>
            </w:r>
            <w:r w:rsidRPr="007F472E">
              <w:rPr>
                <w:rFonts w:ascii="Arial" w:hAnsi="Arial" w:cs="Arial"/>
                <w:sz w:val="18"/>
              </w:rPr>
              <w:t>les projets de sant</w:t>
            </w:r>
            <w:r w:rsidRPr="007F472E">
              <w:rPr>
                <w:rFonts w:ascii="Arial" w:hAnsi="Arial" w:cs="Arial" w:hint="eastAsia"/>
                <w:sz w:val="18"/>
              </w:rPr>
              <w:t>é</w:t>
            </w:r>
            <w:r w:rsidRPr="007F472E">
              <w:rPr>
                <w:rFonts w:ascii="Arial" w:hAnsi="Arial" w:cs="Arial"/>
                <w:sz w:val="18"/>
              </w:rPr>
              <w:t xml:space="preserve"> sont reconnus par l</w:t>
            </w:r>
            <w:r w:rsidRPr="007F472E">
              <w:rPr>
                <w:rFonts w:ascii="Arial" w:hAnsi="Arial" w:cs="Arial" w:hint="eastAsia"/>
                <w:sz w:val="18"/>
              </w:rPr>
              <w:t>’</w:t>
            </w:r>
            <w:r w:rsidRPr="007F472E">
              <w:rPr>
                <w:rFonts w:ascii="Arial" w:hAnsi="Arial" w:cs="Arial"/>
                <w:sz w:val="18"/>
              </w:rPr>
              <w:t>ARS dans les zones sous</w:t>
            </w:r>
            <w:r w:rsidR="00F92063">
              <w:rPr>
                <w:rFonts w:ascii="Arial" w:hAnsi="Arial" w:cs="Arial"/>
                <w:sz w:val="18"/>
              </w:rPr>
              <w:t xml:space="preserve"> </w:t>
            </w:r>
            <w:r w:rsidRPr="007F472E">
              <w:rPr>
                <w:rFonts w:ascii="Arial" w:hAnsi="Arial" w:cs="Arial"/>
                <w:sz w:val="18"/>
              </w:rPr>
              <w:t>dotées en offre de soins (Zone d</w:t>
            </w:r>
            <w:r w:rsidRPr="007F472E">
              <w:rPr>
                <w:rFonts w:ascii="Arial" w:hAnsi="Arial" w:cs="Arial" w:hint="eastAsia"/>
                <w:sz w:val="18"/>
              </w:rPr>
              <w:t>’</w:t>
            </w:r>
            <w:r w:rsidRPr="007F472E">
              <w:rPr>
                <w:rFonts w:ascii="Arial" w:hAnsi="Arial" w:cs="Arial"/>
                <w:sz w:val="18"/>
              </w:rPr>
              <w:t>Intervention Prioritaire, Zone</w:t>
            </w:r>
            <w:r w:rsidR="00F92063">
              <w:rPr>
                <w:rFonts w:ascii="Arial" w:hAnsi="Arial" w:cs="Arial"/>
                <w:sz w:val="18"/>
              </w:rPr>
              <w:t xml:space="preserve"> </w:t>
            </w:r>
            <w:r w:rsidRPr="007F472E">
              <w:rPr>
                <w:rFonts w:ascii="Arial" w:hAnsi="Arial" w:cs="Arial"/>
                <w:sz w:val="18"/>
              </w:rPr>
              <w:t>d</w:t>
            </w:r>
            <w:r w:rsidRPr="007F472E">
              <w:rPr>
                <w:rFonts w:ascii="Arial" w:hAnsi="Arial" w:cs="Arial" w:hint="eastAsia"/>
                <w:sz w:val="18"/>
              </w:rPr>
              <w:t>’</w:t>
            </w:r>
            <w:r w:rsidRPr="007F472E">
              <w:rPr>
                <w:rFonts w:ascii="Arial" w:hAnsi="Arial" w:cs="Arial"/>
                <w:sz w:val="18"/>
              </w:rPr>
              <w:t>Action Compl</w:t>
            </w:r>
            <w:r w:rsidRPr="007F472E">
              <w:rPr>
                <w:rFonts w:ascii="Arial" w:hAnsi="Arial" w:cs="Arial" w:hint="eastAsia"/>
                <w:sz w:val="18"/>
              </w:rPr>
              <w:t>é</w:t>
            </w:r>
            <w:r w:rsidRPr="007F472E">
              <w:rPr>
                <w:rFonts w:ascii="Arial" w:hAnsi="Arial" w:cs="Arial"/>
                <w:sz w:val="18"/>
              </w:rPr>
              <w:t>mentaire et Zone d</w:t>
            </w:r>
            <w:r w:rsidRPr="007F472E">
              <w:rPr>
                <w:rFonts w:ascii="Arial" w:hAnsi="Arial" w:cs="Arial" w:hint="eastAsia"/>
                <w:sz w:val="18"/>
              </w:rPr>
              <w:t>’</w:t>
            </w:r>
            <w:r w:rsidRPr="007F472E">
              <w:rPr>
                <w:rFonts w:ascii="Arial" w:hAnsi="Arial" w:cs="Arial"/>
                <w:sz w:val="18"/>
              </w:rPr>
              <w:t>Accompagnement R</w:t>
            </w:r>
            <w:r w:rsidRPr="007F472E">
              <w:rPr>
                <w:rFonts w:ascii="Arial" w:hAnsi="Arial" w:cs="Arial" w:hint="eastAsia"/>
                <w:sz w:val="18"/>
              </w:rPr>
              <w:t>é</w:t>
            </w:r>
            <w:r w:rsidRPr="007F472E">
              <w:rPr>
                <w:rFonts w:ascii="Arial" w:hAnsi="Arial" w:cs="Arial"/>
                <w:sz w:val="18"/>
              </w:rPr>
              <w:t>gional),</w:t>
            </w:r>
            <w:r w:rsidR="00F92063">
              <w:rPr>
                <w:rFonts w:ascii="Arial" w:hAnsi="Arial" w:cs="Arial"/>
                <w:sz w:val="18"/>
              </w:rPr>
              <w:t xml:space="preserve"> </w:t>
            </w:r>
            <w:r w:rsidRPr="007F472E">
              <w:rPr>
                <w:rFonts w:ascii="Arial" w:hAnsi="Arial" w:cs="Arial"/>
                <w:sz w:val="18"/>
              </w:rPr>
              <w:t>incluant l</w:t>
            </w:r>
            <w:r w:rsidRPr="007F472E">
              <w:rPr>
                <w:rFonts w:ascii="Arial" w:hAnsi="Arial" w:cs="Arial" w:hint="eastAsia"/>
                <w:sz w:val="18"/>
              </w:rPr>
              <w:t>’</w:t>
            </w:r>
            <w:r w:rsidRPr="007F472E">
              <w:rPr>
                <w:rFonts w:ascii="Arial" w:hAnsi="Arial" w:cs="Arial"/>
                <w:sz w:val="18"/>
              </w:rPr>
              <w:t>am</w:t>
            </w:r>
            <w:r w:rsidRPr="007F472E">
              <w:rPr>
                <w:rFonts w:ascii="Arial" w:hAnsi="Arial" w:cs="Arial" w:hint="eastAsia"/>
                <w:sz w:val="18"/>
              </w:rPr>
              <w:t>é</w:t>
            </w:r>
            <w:r w:rsidRPr="007F472E">
              <w:rPr>
                <w:rFonts w:ascii="Arial" w:hAnsi="Arial" w:cs="Arial"/>
                <w:sz w:val="18"/>
              </w:rPr>
              <w:t xml:space="preserve">nagement de logements </w:t>
            </w:r>
            <w:r w:rsidRPr="007F472E">
              <w:rPr>
                <w:rFonts w:ascii="Arial" w:hAnsi="Arial" w:cs="Arial" w:hint="eastAsia"/>
                <w:sz w:val="18"/>
              </w:rPr>
              <w:t>à</w:t>
            </w:r>
            <w:r w:rsidRPr="007F472E">
              <w:rPr>
                <w:rFonts w:ascii="Arial" w:hAnsi="Arial" w:cs="Arial"/>
                <w:sz w:val="18"/>
              </w:rPr>
              <w:t xml:space="preserve"> destination des</w:t>
            </w:r>
            <w:r w:rsidR="00FB5361">
              <w:rPr>
                <w:rFonts w:ascii="Arial" w:hAnsi="Arial" w:cs="Arial"/>
                <w:sz w:val="18"/>
              </w:rPr>
              <w:t xml:space="preserve"> </w:t>
            </w:r>
            <w:r w:rsidRPr="007F472E">
              <w:rPr>
                <w:rFonts w:ascii="Arial" w:hAnsi="Arial" w:cs="Arial"/>
                <w:sz w:val="18"/>
              </w:rPr>
              <w:t>professionnels de santé.</w:t>
            </w:r>
          </w:p>
        </w:tc>
        <w:tc>
          <w:tcPr>
            <w:tcW w:w="4961" w:type="dxa"/>
          </w:tcPr>
          <w:p w14:paraId="05B069EF" w14:textId="77777777" w:rsidR="007F472E" w:rsidRPr="00F92063" w:rsidRDefault="007F472E" w:rsidP="007F4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70C0"/>
                <w:sz w:val="18"/>
              </w:rPr>
            </w:pPr>
            <w:r w:rsidRPr="00F92063">
              <w:rPr>
                <w:rFonts w:ascii="Arial" w:hAnsi="Arial" w:cs="Arial"/>
                <w:i/>
                <w:color w:val="0070C0"/>
                <w:sz w:val="18"/>
              </w:rPr>
              <w:t>Exemples d’actions :</w:t>
            </w:r>
          </w:p>
          <w:p w14:paraId="5BDCA45A" w14:textId="77777777" w:rsidR="007F472E" w:rsidRPr="007F472E" w:rsidRDefault="007F472E" w:rsidP="007F4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Ex</w:t>
            </w:r>
            <w:r w:rsidRPr="007F472E">
              <w:rPr>
                <w:rFonts w:ascii="Arial" w:hAnsi="Arial" w:cs="Arial"/>
                <w:sz w:val="18"/>
              </w:rPr>
              <w:t>emple d’opérations visant l’amélioration de services publics :</w:t>
            </w:r>
          </w:p>
          <w:p w14:paraId="425F068C" w14:textId="4FEEC044" w:rsidR="007F472E" w:rsidRPr="007F472E" w:rsidRDefault="007F472E" w:rsidP="007F4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7F472E">
              <w:rPr>
                <w:rFonts w:ascii="Arial" w:hAnsi="Arial" w:cs="Arial"/>
                <w:sz w:val="18"/>
              </w:rPr>
              <w:t xml:space="preserve">- Catégorie 1 : Dans le domaine de la santé : la </w:t>
            </w:r>
            <w:proofErr w:type="gramStart"/>
            <w:r w:rsidRPr="007F472E">
              <w:rPr>
                <w:rFonts w:ascii="Arial" w:hAnsi="Arial" w:cs="Arial"/>
                <w:sz w:val="18"/>
              </w:rPr>
              <w:t>création,</w:t>
            </w:r>
            <w:r w:rsidR="00F92063">
              <w:rPr>
                <w:rFonts w:ascii="Arial" w:hAnsi="Arial" w:cs="Arial"/>
                <w:sz w:val="18"/>
              </w:rPr>
              <w:t xml:space="preserve">   </w:t>
            </w:r>
            <w:proofErr w:type="gramEnd"/>
            <w:r w:rsidR="00F92063">
              <w:rPr>
                <w:rFonts w:ascii="Arial" w:hAnsi="Arial" w:cs="Arial"/>
                <w:sz w:val="18"/>
              </w:rPr>
              <w:t xml:space="preserve">   </w:t>
            </w:r>
            <w:r w:rsidRPr="007F472E">
              <w:rPr>
                <w:rFonts w:ascii="Arial" w:hAnsi="Arial" w:cs="Arial"/>
                <w:sz w:val="18"/>
              </w:rPr>
              <w:t>l</w:t>
            </w:r>
            <w:r w:rsidRPr="007F472E">
              <w:rPr>
                <w:rFonts w:ascii="Arial" w:hAnsi="Arial" w:cs="Arial" w:hint="eastAsia"/>
                <w:sz w:val="18"/>
              </w:rPr>
              <w:t>’</w:t>
            </w:r>
            <w:r w:rsidRPr="007F472E">
              <w:rPr>
                <w:rFonts w:ascii="Arial" w:hAnsi="Arial" w:cs="Arial"/>
                <w:sz w:val="18"/>
              </w:rPr>
              <w:t>extension et la r</w:t>
            </w:r>
            <w:r w:rsidRPr="007F472E">
              <w:rPr>
                <w:rFonts w:ascii="Arial" w:hAnsi="Arial" w:cs="Arial" w:hint="eastAsia"/>
                <w:sz w:val="18"/>
              </w:rPr>
              <w:t>é</w:t>
            </w:r>
            <w:r w:rsidRPr="007F472E">
              <w:rPr>
                <w:rFonts w:ascii="Arial" w:hAnsi="Arial" w:cs="Arial"/>
                <w:sz w:val="18"/>
              </w:rPr>
              <w:t>habilitation de maisons de sant</w:t>
            </w:r>
            <w:r w:rsidRPr="007F472E">
              <w:rPr>
                <w:rFonts w:ascii="Arial" w:hAnsi="Arial" w:cs="Arial" w:hint="eastAsia"/>
                <w:sz w:val="18"/>
              </w:rPr>
              <w:t>é</w:t>
            </w:r>
            <w:r w:rsidRPr="007F472E">
              <w:rPr>
                <w:rFonts w:ascii="Arial" w:hAnsi="Arial" w:cs="Arial"/>
                <w:sz w:val="18"/>
              </w:rPr>
              <w:t xml:space="preserve"> pluri</w:t>
            </w:r>
          </w:p>
          <w:p w14:paraId="1CBE3ECD" w14:textId="4152CF6A" w:rsidR="007F472E" w:rsidRPr="007F472E" w:rsidRDefault="007F472E" w:rsidP="007F4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proofErr w:type="gramStart"/>
            <w:r w:rsidRPr="007F472E">
              <w:rPr>
                <w:rFonts w:ascii="Arial" w:hAnsi="Arial" w:cs="Arial"/>
                <w:sz w:val="18"/>
              </w:rPr>
              <w:t>professionnelles</w:t>
            </w:r>
            <w:proofErr w:type="gramEnd"/>
            <w:r w:rsidRPr="007F472E">
              <w:rPr>
                <w:rFonts w:ascii="Arial" w:hAnsi="Arial" w:cs="Arial"/>
                <w:sz w:val="18"/>
              </w:rPr>
              <w:t xml:space="preserve"> (MSP) et de centres de santé polyvalents dont</w:t>
            </w:r>
            <w:r w:rsidR="00FB5361">
              <w:rPr>
                <w:rFonts w:ascii="Arial" w:hAnsi="Arial" w:cs="Arial"/>
                <w:sz w:val="18"/>
              </w:rPr>
              <w:t xml:space="preserve"> </w:t>
            </w:r>
            <w:r w:rsidRPr="007F472E">
              <w:rPr>
                <w:rFonts w:ascii="Arial" w:hAnsi="Arial" w:cs="Arial"/>
                <w:sz w:val="18"/>
              </w:rPr>
              <w:t>les projets de sant</w:t>
            </w:r>
            <w:r w:rsidRPr="007F472E">
              <w:rPr>
                <w:rFonts w:ascii="Arial" w:hAnsi="Arial" w:cs="Arial" w:hint="eastAsia"/>
                <w:sz w:val="18"/>
              </w:rPr>
              <w:t>é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7F472E">
              <w:rPr>
                <w:rFonts w:ascii="Arial" w:hAnsi="Arial" w:cs="Arial"/>
                <w:color w:val="FF0000"/>
                <w:sz w:val="18"/>
              </w:rPr>
              <w:t>sont labellisés ou en cours de labellisation</w:t>
            </w:r>
            <w:r w:rsidRPr="007F472E">
              <w:rPr>
                <w:rFonts w:ascii="Arial" w:hAnsi="Arial" w:cs="Arial"/>
                <w:sz w:val="18"/>
              </w:rPr>
              <w:t xml:space="preserve"> par l</w:t>
            </w:r>
            <w:r w:rsidRPr="007F472E">
              <w:rPr>
                <w:rFonts w:ascii="Arial" w:hAnsi="Arial" w:cs="Arial" w:hint="eastAsia"/>
                <w:sz w:val="18"/>
              </w:rPr>
              <w:t>’</w:t>
            </w:r>
            <w:r w:rsidRPr="007F472E">
              <w:rPr>
                <w:rFonts w:ascii="Arial" w:hAnsi="Arial" w:cs="Arial"/>
                <w:sz w:val="18"/>
              </w:rPr>
              <w:t>ARS dans les zones sous</w:t>
            </w:r>
            <w:r w:rsidR="00F92063">
              <w:rPr>
                <w:rFonts w:ascii="Arial" w:hAnsi="Arial" w:cs="Arial"/>
                <w:sz w:val="18"/>
              </w:rPr>
              <w:t xml:space="preserve"> </w:t>
            </w:r>
            <w:r w:rsidRPr="007F472E">
              <w:rPr>
                <w:rFonts w:ascii="Arial" w:hAnsi="Arial" w:cs="Arial"/>
                <w:sz w:val="18"/>
              </w:rPr>
              <w:t>dotées en offre de soins (Zone d</w:t>
            </w:r>
            <w:r w:rsidRPr="007F472E">
              <w:rPr>
                <w:rFonts w:ascii="Arial" w:hAnsi="Arial" w:cs="Arial" w:hint="eastAsia"/>
                <w:sz w:val="18"/>
              </w:rPr>
              <w:t>’</w:t>
            </w:r>
            <w:r w:rsidRPr="007F472E">
              <w:rPr>
                <w:rFonts w:ascii="Arial" w:hAnsi="Arial" w:cs="Arial"/>
                <w:sz w:val="18"/>
              </w:rPr>
              <w:t>Intervention Prioritaire, Zone</w:t>
            </w:r>
            <w:r w:rsidR="00F92063">
              <w:rPr>
                <w:rFonts w:ascii="Arial" w:hAnsi="Arial" w:cs="Arial"/>
                <w:sz w:val="18"/>
              </w:rPr>
              <w:t xml:space="preserve"> </w:t>
            </w:r>
            <w:r w:rsidRPr="007F472E">
              <w:rPr>
                <w:rFonts w:ascii="Arial" w:hAnsi="Arial" w:cs="Arial"/>
                <w:sz w:val="18"/>
              </w:rPr>
              <w:t>d</w:t>
            </w:r>
            <w:r w:rsidRPr="007F472E">
              <w:rPr>
                <w:rFonts w:ascii="Arial" w:hAnsi="Arial" w:cs="Arial" w:hint="eastAsia"/>
                <w:sz w:val="18"/>
              </w:rPr>
              <w:t>’</w:t>
            </w:r>
            <w:r w:rsidRPr="007F472E">
              <w:rPr>
                <w:rFonts w:ascii="Arial" w:hAnsi="Arial" w:cs="Arial"/>
                <w:sz w:val="18"/>
              </w:rPr>
              <w:t>Action Compl</w:t>
            </w:r>
            <w:r w:rsidRPr="007F472E">
              <w:rPr>
                <w:rFonts w:ascii="Arial" w:hAnsi="Arial" w:cs="Arial" w:hint="eastAsia"/>
                <w:sz w:val="18"/>
              </w:rPr>
              <w:t>é</w:t>
            </w:r>
            <w:r w:rsidRPr="007F472E">
              <w:rPr>
                <w:rFonts w:ascii="Arial" w:hAnsi="Arial" w:cs="Arial"/>
                <w:sz w:val="18"/>
              </w:rPr>
              <w:t>mentaire et Zone d</w:t>
            </w:r>
            <w:r w:rsidRPr="007F472E">
              <w:rPr>
                <w:rFonts w:ascii="Arial" w:hAnsi="Arial" w:cs="Arial" w:hint="eastAsia"/>
                <w:sz w:val="18"/>
              </w:rPr>
              <w:t>’</w:t>
            </w:r>
            <w:r w:rsidRPr="007F472E">
              <w:rPr>
                <w:rFonts w:ascii="Arial" w:hAnsi="Arial" w:cs="Arial"/>
                <w:sz w:val="18"/>
              </w:rPr>
              <w:t>Accompagnement R</w:t>
            </w:r>
            <w:r w:rsidRPr="007F472E">
              <w:rPr>
                <w:rFonts w:ascii="Arial" w:hAnsi="Arial" w:cs="Arial" w:hint="eastAsia"/>
                <w:sz w:val="18"/>
              </w:rPr>
              <w:t>é</w:t>
            </w:r>
            <w:r w:rsidRPr="007F472E">
              <w:rPr>
                <w:rFonts w:ascii="Arial" w:hAnsi="Arial" w:cs="Arial"/>
                <w:sz w:val="18"/>
              </w:rPr>
              <w:t>gional),</w:t>
            </w:r>
            <w:r w:rsidR="00F92063">
              <w:rPr>
                <w:rFonts w:ascii="Arial" w:hAnsi="Arial" w:cs="Arial"/>
                <w:sz w:val="18"/>
              </w:rPr>
              <w:t xml:space="preserve"> </w:t>
            </w:r>
            <w:r w:rsidRPr="007F472E">
              <w:rPr>
                <w:rFonts w:ascii="Arial" w:hAnsi="Arial" w:cs="Arial"/>
                <w:sz w:val="18"/>
              </w:rPr>
              <w:t>incluant l</w:t>
            </w:r>
            <w:r w:rsidRPr="007F472E">
              <w:rPr>
                <w:rFonts w:ascii="Arial" w:hAnsi="Arial" w:cs="Arial" w:hint="eastAsia"/>
                <w:sz w:val="18"/>
              </w:rPr>
              <w:t>’</w:t>
            </w:r>
            <w:r w:rsidRPr="007F472E">
              <w:rPr>
                <w:rFonts w:ascii="Arial" w:hAnsi="Arial" w:cs="Arial"/>
                <w:sz w:val="18"/>
              </w:rPr>
              <w:t>am</w:t>
            </w:r>
            <w:r w:rsidRPr="007F472E">
              <w:rPr>
                <w:rFonts w:ascii="Arial" w:hAnsi="Arial" w:cs="Arial" w:hint="eastAsia"/>
                <w:sz w:val="18"/>
              </w:rPr>
              <w:t>é</w:t>
            </w:r>
            <w:r w:rsidRPr="007F472E">
              <w:rPr>
                <w:rFonts w:ascii="Arial" w:hAnsi="Arial" w:cs="Arial"/>
                <w:sz w:val="18"/>
              </w:rPr>
              <w:t xml:space="preserve">nagement de logements </w:t>
            </w:r>
            <w:r w:rsidRPr="007F472E">
              <w:rPr>
                <w:rFonts w:ascii="Arial" w:hAnsi="Arial" w:cs="Arial" w:hint="eastAsia"/>
                <w:sz w:val="18"/>
              </w:rPr>
              <w:t>à</w:t>
            </w:r>
            <w:r w:rsidRPr="007F472E">
              <w:rPr>
                <w:rFonts w:ascii="Arial" w:hAnsi="Arial" w:cs="Arial"/>
                <w:sz w:val="18"/>
              </w:rPr>
              <w:t xml:space="preserve"> destination des</w:t>
            </w:r>
          </w:p>
          <w:p w14:paraId="483C07F3" w14:textId="497BF731" w:rsidR="008A6F86" w:rsidRDefault="007F472E" w:rsidP="007F472E">
            <w:pPr>
              <w:tabs>
                <w:tab w:val="left" w:pos="1276"/>
                <w:tab w:val="center" w:pos="4762"/>
              </w:tabs>
              <w:jc w:val="both"/>
              <w:rPr>
                <w:rFonts w:ascii="Arial" w:hAnsi="Arial" w:cs="Arial"/>
                <w:i/>
                <w:color w:val="0070C0"/>
                <w:sz w:val="18"/>
              </w:rPr>
            </w:pPr>
            <w:r w:rsidRPr="007F472E">
              <w:rPr>
                <w:rFonts w:ascii="Arial" w:hAnsi="Arial" w:cs="Arial"/>
                <w:sz w:val="18"/>
              </w:rPr>
              <w:t>professionnels de santé.</w:t>
            </w:r>
          </w:p>
        </w:tc>
      </w:tr>
      <w:tr w:rsidR="00B206A3" w:rsidRPr="003C72EC" w14:paraId="2354401D" w14:textId="77777777" w:rsidTr="00377A32">
        <w:trPr>
          <w:trHeight w:val="958"/>
        </w:trPr>
        <w:tc>
          <w:tcPr>
            <w:tcW w:w="4815" w:type="dxa"/>
          </w:tcPr>
          <w:p w14:paraId="4F7124D8" w14:textId="7A9E15D6" w:rsidR="00B206A3" w:rsidRPr="00B206A3" w:rsidRDefault="00B206A3" w:rsidP="00B206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70C0"/>
                <w:sz w:val="18"/>
              </w:rPr>
            </w:pPr>
            <w:r w:rsidRPr="00B206A3">
              <w:rPr>
                <w:rFonts w:ascii="Arial" w:hAnsi="Arial" w:cs="Arial"/>
                <w:i/>
                <w:color w:val="0070C0"/>
                <w:sz w:val="18"/>
              </w:rPr>
              <w:t>Bénéficiaire éligible :</w:t>
            </w:r>
          </w:p>
          <w:p w14:paraId="7AFDC7FE" w14:textId="059F684E" w:rsidR="00B206A3" w:rsidRPr="00B206A3" w:rsidRDefault="00B206A3" w:rsidP="00B206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B206A3">
              <w:rPr>
                <w:rFonts w:ascii="Arial" w:hAnsi="Arial" w:cs="Arial"/>
                <w:sz w:val="18"/>
              </w:rPr>
              <w:t>La maîtrise d’ouvrage peut être portée par :</w:t>
            </w:r>
          </w:p>
          <w:p w14:paraId="76803157" w14:textId="7044A4A6" w:rsidR="00B206A3" w:rsidRPr="00B206A3" w:rsidRDefault="00B206A3" w:rsidP="00B206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B206A3">
              <w:rPr>
                <w:rFonts w:ascii="Arial" w:hAnsi="Arial" w:cs="Arial"/>
                <w:sz w:val="18"/>
              </w:rPr>
              <w:t>- Les collectivités territoria</w:t>
            </w:r>
            <w:r w:rsidR="00BF426B">
              <w:rPr>
                <w:rFonts w:ascii="Arial" w:hAnsi="Arial" w:cs="Arial"/>
                <w:sz w:val="18"/>
              </w:rPr>
              <w:t xml:space="preserve">les, leurs groupements et leurs </w:t>
            </w:r>
            <w:r w:rsidRPr="00B206A3">
              <w:rPr>
                <w:rFonts w:ascii="Arial" w:hAnsi="Arial" w:cs="Arial"/>
                <w:sz w:val="18"/>
              </w:rPr>
              <w:t>opérateurs publics et privés ;</w:t>
            </w:r>
          </w:p>
          <w:p w14:paraId="635AD5A5" w14:textId="01F77E08" w:rsidR="00B206A3" w:rsidRPr="00B206A3" w:rsidRDefault="00B206A3" w:rsidP="00B206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B206A3">
              <w:rPr>
                <w:rFonts w:ascii="Arial" w:hAnsi="Arial" w:cs="Arial"/>
                <w:sz w:val="18"/>
              </w:rPr>
              <w:t xml:space="preserve">- les établissements publics ou </w:t>
            </w:r>
            <w:r w:rsidR="00BF426B">
              <w:rPr>
                <w:rFonts w:ascii="Arial" w:hAnsi="Arial" w:cs="Arial"/>
                <w:sz w:val="18"/>
              </w:rPr>
              <w:t xml:space="preserve">associations à but non lucratif </w:t>
            </w:r>
            <w:r w:rsidRPr="00B206A3">
              <w:rPr>
                <w:rFonts w:ascii="Arial" w:hAnsi="Arial" w:cs="Arial"/>
                <w:sz w:val="18"/>
              </w:rPr>
              <w:t>statutairement compétentes</w:t>
            </w:r>
            <w:r w:rsidR="00BF426B">
              <w:rPr>
                <w:rFonts w:ascii="Arial" w:hAnsi="Arial" w:cs="Arial"/>
                <w:sz w:val="18"/>
              </w:rPr>
              <w:t xml:space="preserve"> pour le portage des opérations </w:t>
            </w:r>
            <w:r w:rsidRPr="00B206A3">
              <w:rPr>
                <w:rFonts w:ascii="Arial" w:hAnsi="Arial" w:cs="Arial"/>
                <w:sz w:val="18"/>
              </w:rPr>
              <w:t>financées au titre des catégories 1 et 2 de la présente fiche ;</w:t>
            </w:r>
          </w:p>
          <w:p w14:paraId="76116D3E" w14:textId="1D3AB891" w:rsidR="00B206A3" w:rsidRPr="00B206A3" w:rsidRDefault="00B206A3" w:rsidP="00B206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B206A3">
              <w:rPr>
                <w:rFonts w:ascii="Arial" w:hAnsi="Arial" w:cs="Arial"/>
                <w:sz w:val="18"/>
              </w:rPr>
              <w:t xml:space="preserve">- Les sociétés civiles immobilières </w:t>
            </w:r>
            <w:r w:rsidR="006869FB">
              <w:rPr>
                <w:rFonts w:ascii="Arial" w:hAnsi="Arial" w:cs="Arial"/>
                <w:sz w:val="18"/>
              </w:rPr>
              <w:t xml:space="preserve">statutairement compétentes pour </w:t>
            </w:r>
            <w:r w:rsidRPr="00B206A3">
              <w:rPr>
                <w:rFonts w:ascii="Arial" w:hAnsi="Arial" w:cs="Arial"/>
                <w:sz w:val="18"/>
              </w:rPr>
              <w:t>porter la maîtrise d’ouvrage d</w:t>
            </w:r>
            <w:r w:rsidR="00BF426B">
              <w:rPr>
                <w:rFonts w:ascii="Arial" w:hAnsi="Arial" w:cs="Arial"/>
                <w:sz w:val="18"/>
              </w:rPr>
              <w:t xml:space="preserve">’opérations immobilières en vue </w:t>
            </w:r>
            <w:r w:rsidRPr="00B206A3">
              <w:rPr>
                <w:rFonts w:ascii="Arial" w:hAnsi="Arial" w:cs="Arial"/>
                <w:sz w:val="18"/>
              </w:rPr>
              <w:t>d’une mise à disposition exclusi</w:t>
            </w:r>
            <w:r w:rsidR="00BF426B">
              <w:rPr>
                <w:rFonts w:ascii="Arial" w:hAnsi="Arial" w:cs="Arial"/>
                <w:sz w:val="18"/>
              </w:rPr>
              <w:t xml:space="preserve">vement au bénéfice d’opérateurs </w:t>
            </w:r>
            <w:r w:rsidRPr="00B206A3">
              <w:rPr>
                <w:rFonts w:ascii="Arial" w:hAnsi="Arial" w:cs="Arial"/>
                <w:sz w:val="18"/>
              </w:rPr>
              <w:t>agissant dans le cadre de la catégorie 1 de la présente fiche.</w:t>
            </w:r>
          </w:p>
        </w:tc>
        <w:tc>
          <w:tcPr>
            <w:tcW w:w="4961" w:type="dxa"/>
          </w:tcPr>
          <w:p w14:paraId="0794F576" w14:textId="4C404C15" w:rsidR="00BF426B" w:rsidRPr="00BF426B" w:rsidRDefault="00BF426B" w:rsidP="00BF4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70C0"/>
                <w:sz w:val="18"/>
              </w:rPr>
            </w:pPr>
            <w:r w:rsidRPr="00B206A3">
              <w:rPr>
                <w:rFonts w:ascii="Arial" w:hAnsi="Arial" w:cs="Arial"/>
                <w:i/>
                <w:color w:val="0070C0"/>
                <w:sz w:val="18"/>
              </w:rPr>
              <w:t>Bénéficiaire éligible :</w:t>
            </w:r>
          </w:p>
          <w:p w14:paraId="544F8EFA" w14:textId="402286AA" w:rsidR="00BF426B" w:rsidRPr="00BF426B" w:rsidRDefault="00BF426B" w:rsidP="00BF4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BF426B">
              <w:rPr>
                <w:rFonts w:ascii="Arial" w:hAnsi="Arial" w:cs="Arial"/>
                <w:sz w:val="18"/>
              </w:rPr>
              <w:t>La maîtrise d’ouvrage peut être portée par :</w:t>
            </w:r>
          </w:p>
          <w:p w14:paraId="589EC4C4" w14:textId="4815B6CA" w:rsidR="00BF426B" w:rsidRPr="00BF426B" w:rsidRDefault="00BF426B" w:rsidP="00BF4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BF426B">
              <w:rPr>
                <w:rFonts w:ascii="Arial" w:hAnsi="Arial" w:cs="Arial"/>
                <w:sz w:val="18"/>
              </w:rPr>
              <w:t>- Les collectivités territoria</w:t>
            </w:r>
            <w:r>
              <w:rPr>
                <w:rFonts w:ascii="Arial" w:hAnsi="Arial" w:cs="Arial"/>
                <w:sz w:val="18"/>
              </w:rPr>
              <w:t xml:space="preserve">les, leurs groupements et leurs </w:t>
            </w:r>
            <w:r w:rsidRPr="00BF426B">
              <w:rPr>
                <w:rFonts w:ascii="Arial" w:hAnsi="Arial" w:cs="Arial"/>
                <w:sz w:val="18"/>
              </w:rPr>
              <w:t>opérateurs publics et privés ;</w:t>
            </w:r>
          </w:p>
          <w:p w14:paraId="1757CBC6" w14:textId="00547CF8" w:rsidR="00BF426B" w:rsidRPr="00BF426B" w:rsidRDefault="00BF426B" w:rsidP="00BF4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BF426B">
              <w:rPr>
                <w:rFonts w:ascii="Arial" w:hAnsi="Arial" w:cs="Arial"/>
                <w:sz w:val="18"/>
              </w:rPr>
              <w:t>- les établissements publics ou associations à but non lucratif statutairement compétentes pour le portage des opérations financées au titre des catégories 1 et 2 de la présente fiche ;</w:t>
            </w:r>
          </w:p>
          <w:p w14:paraId="48A28C0D" w14:textId="7931CEC7" w:rsidR="00B206A3" w:rsidRDefault="00BF426B" w:rsidP="00BF4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BF426B">
              <w:rPr>
                <w:rFonts w:ascii="Arial" w:hAnsi="Arial" w:cs="Arial"/>
                <w:sz w:val="18"/>
              </w:rPr>
              <w:t xml:space="preserve">- Les sociétés civiles immobilières </w:t>
            </w:r>
            <w:r w:rsidR="006869FB">
              <w:rPr>
                <w:rFonts w:ascii="Arial" w:hAnsi="Arial" w:cs="Arial"/>
                <w:sz w:val="18"/>
              </w:rPr>
              <w:t xml:space="preserve">statutairement compétentes pour </w:t>
            </w:r>
            <w:r w:rsidRPr="00BF426B">
              <w:rPr>
                <w:rFonts w:ascii="Arial" w:hAnsi="Arial" w:cs="Arial"/>
                <w:sz w:val="18"/>
              </w:rPr>
              <w:t>porter la maîtrise d’ouvrage d’opérations immobilières en vue d’une mise à disposition exclusivement au bénéfice d’opérateurs agissant dans le cadre de la catégorie 1 de la présente fiche.</w:t>
            </w:r>
          </w:p>
          <w:p w14:paraId="1598D5F1" w14:textId="0F863D58" w:rsidR="00F721AB" w:rsidRPr="00F721AB" w:rsidRDefault="00F721AB" w:rsidP="006869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  <w:r w:rsidRPr="00F721AB">
              <w:rPr>
                <w:rFonts w:ascii="Arial" w:hAnsi="Arial" w:cs="Arial"/>
                <w:sz w:val="18"/>
              </w:rPr>
              <w:t xml:space="preserve"> </w:t>
            </w:r>
            <w:r w:rsidRPr="00F721AB">
              <w:rPr>
                <w:rFonts w:ascii="Arial" w:hAnsi="Arial" w:cs="Arial"/>
                <w:color w:val="FF0000"/>
                <w:sz w:val="18"/>
              </w:rPr>
              <w:t>les établissements publics à caractère administratif de l’Etat français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7F472E" w:rsidRPr="003C72EC" w14:paraId="2C937791" w14:textId="77777777" w:rsidTr="00377A32">
        <w:trPr>
          <w:trHeight w:val="958"/>
        </w:trPr>
        <w:tc>
          <w:tcPr>
            <w:tcW w:w="4815" w:type="dxa"/>
          </w:tcPr>
          <w:p w14:paraId="0ADEBB34" w14:textId="77777777" w:rsidR="005103BF" w:rsidRPr="005103BF" w:rsidRDefault="005103BF" w:rsidP="005103BF">
            <w:pPr>
              <w:tabs>
                <w:tab w:val="left" w:pos="1276"/>
                <w:tab w:val="center" w:pos="4762"/>
              </w:tabs>
              <w:jc w:val="both"/>
              <w:rPr>
                <w:rFonts w:ascii="Arial" w:hAnsi="Arial" w:cs="Arial"/>
                <w:sz w:val="18"/>
              </w:rPr>
            </w:pPr>
            <w:r w:rsidRPr="005103BF">
              <w:rPr>
                <w:rFonts w:ascii="Arial" w:hAnsi="Arial" w:cs="Arial"/>
                <w:i/>
                <w:color w:val="0070C0"/>
                <w:sz w:val="18"/>
              </w:rPr>
              <w:t>Les</w:t>
            </w:r>
            <w:r w:rsidRPr="005103BF">
              <w:rPr>
                <w:rFonts w:ascii="Arial" w:hAnsi="Arial" w:cs="Arial"/>
                <w:sz w:val="18"/>
              </w:rPr>
              <w:t xml:space="preserve"> </w:t>
            </w:r>
            <w:r w:rsidRPr="005103BF">
              <w:rPr>
                <w:rFonts w:ascii="Arial" w:hAnsi="Arial" w:cs="Arial"/>
                <w:i/>
                <w:color w:val="0070C0"/>
                <w:sz w:val="18"/>
              </w:rPr>
              <w:t>opérations devront</w:t>
            </w:r>
            <w:r w:rsidRPr="005103BF">
              <w:rPr>
                <w:rFonts w:ascii="Arial" w:hAnsi="Arial" w:cs="Arial"/>
                <w:sz w:val="18"/>
              </w:rPr>
              <w:t xml:space="preserve"> </w:t>
            </w:r>
            <w:r w:rsidRPr="005103BF">
              <w:rPr>
                <w:rFonts w:ascii="Arial" w:hAnsi="Arial" w:cs="Arial"/>
                <w:i/>
                <w:color w:val="0070C0"/>
                <w:sz w:val="18"/>
              </w:rPr>
              <w:t>cumulativement :</w:t>
            </w:r>
          </w:p>
          <w:p w14:paraId="746E90F1" w14:textId="0EB17BED" w:rsidR="005103BF" w:rsidRPr="005103BF" w:rsidRDefault="005103BF" w:rsidP="005103BF">
            <w:pPr>
              <w:tabs>
                <w:tab w:val="left" w:pos="1276"/>
                <w:tab w:val="center" w:pos="4762"/>
              </w:tabs>
              <w:jc w:val="both"/>
              <w:rPr>
                <w:rFonts w:ascii="Arial" w:hAnsi="Arial" w:cs="Arial"/>
                <w:sz w:val="18"/>
              </w:rPr>
            </w:pPr>
            <w:r w:rsidRPr="005103BF">
              <w:rPr>
                <w:rFonts w:ascii="Arial" w:hAnsi="Arial" w:cs="Arial"/>
                <w:sz w:val="18"/>
              </w:rPr>
              <w:t>- S’inscrire dans une stratégie ter</w:t>
            </w:r>
            <w:r>
              <w:rPr>
                <w:rFonts w:ascii="Arial" w:hAnsi="Arial" w:cs="Arial"/>
                <w:sz w:val="18"/>
              </w:rPr>
              <w:t xml:space="preserve">ritoriale définie à une échelle </w:t>
            </w:r>
            <w:r w:rsidRPr="005103BF">
              <w:rPr>
                <w:rFonts w:ascii="Arial" w:hAnsi="Arial" w:cs="Arial"/>
                <w:sz w:val="18"/>
              </w:rPr>
              <w:t>pertinente a minima intercommuna</w:t>
            </w:r>
            <w:r>
              <w:rPr>
                <w:rFonts w:ascii="Arial" w:hAnsi="Arial" w:cs="Arial"/>
                <w:sz w:val="18"/>
              </w:rPr>
              <w:t xml:space="preserve">le : pour cela l’opération doit </w:t>
            </w:r>
            <w:r w:rsidRPr="005103BF">
              <w:rPr>
                <w:rFonts w:ascii="Arial" w:hAnsi="Arial" w:cs="Arial"/>
                <w:sz w:val="18"/>
              </w:rPr>
              <w:t>apparaître dans les documents de</w:t>
            </w:r>
            <w:r>
              <w:rPr>
                <w:rFonts w:ascii="Arial" w:hAnsi="Arial" w:cs="Arial"/>
                <w:sz w:val="18"/>
              </w:rPr>
              <w:t xml:space="preserve"> planification (PLUI / SCOT) en </w:t>
            </w:r>
            <w:r w:rsidRPr="005103BF">
              <w:rPr>
                <w:rFonts w:ascii="Arial" w:hAnsi="Arial" w:cs="Arial"/>
                <w:sz w:val="18"/>
              </w:rPr>
              <w:t>maîtrise de l’artificialisation des sols.</w:t>
            </w:r>
          </w:p>
          <w:p w14:paraId="74D61A8F" w14:textId="1A27C213" w:rsidR="005103BF" w:rsidRPr="005103BF" w:rsidRDefault="005103BF" w:rsidP="005103BF">
            <w:pPr>
              <w:tabs>
                <w:tab w:val="left" w:pos="1276"/>
                <w:tab w:val="center" w:pos="4762"/>
              </w:tabs>
              <w:jc w:val="both"/>
              <w:rPr>
                <w:rFonts w:ascii="Arial" w:hAnsi="Arial" w:cs="Arial"/>
                <w:sz w:val="18"/>
              </w:rPr>
            </w:pPr>
            <w:r w:rsidRPr="005103BF">
              <w:rPr>
                <w:rFonts w:ascii="Arial" w:hAnsi="Arial" w:cs="Arial"/>
                <w:sz w:val="18"/>
              </w:rPr>
              <w:t xml:space="preserve">- Etre situées en zones </w:t>
            </w:r>
            <w:proofErr w:type="spellStart"/>
            <w:r w:rsidRPr="005103BF">
              <w:rPr>
                <w:rFonts w:ascii="Arial" w:hAnsi="Arial" w:cs="Arial"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ous-dotées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des soins de premier </w:t>
            </w:r>
            <w:r w:rsidRPr="005103BF">
              <w:rPr>
                <w:rFonts w:ascii="Arial" w:hAnsi="Arial" w:cs="Arial"/>
                <w:sz w:val="18"/>
              </w:rPr>
              <w:t>recours telles que définies par l</w:t>
            </w:r>
            <w:r>
              <w:rPr>
                <w:rFonts w:ascii="Arial" w:hAnsi="Arial" w:cs="Arial"/>
                <w:sz w:val="18"/>
              </w:rPr>
              <w:t>’ARS (Zone d’Intervention</w:t>
            </w:r>
            <w:r w:rsidR="00A13304">
              <w:rPr>
                <w:rFonts w:ascii="Arial" w:hAnsi="Arial" w:cs="Arial"/>
                <w:sz w:val="18"/>
              </w:rPr>
              <w:t xml:space="preserve"> </w:t>
            </w:r>
            <w:r w:rsidRPr="005103BF">
              <w:rPr>
                <w:rFonts w:ascii="Arial" w:hAnsi="Arial" w:cs="Arial"/>
                <w:sz w:val="18"/>
              </w:rPr>
              <w:t>Prioritaire, Zon</w:t>
            </w:r>
            <w:r>
              <w:rPr>
                <w:rFonts w:ascii="Arial" w:hAnsi="Arial" w:cs="Arial"/>
                <w:sz w:val="18"/>
              </w:rPr>
              <w:t xml:space="preserve">e d’Action Complémentaire, Zone </w:t>
            </w:r>
            <w:r w:rsidRPr="005103BF">
              <w:rPr>
                <w:rFonts w:ascii="Arial" w:hAnsi="Arial" w:cs="Arial"/>
                <w:sz w:val="18"/>
              </w:rPr>
              <w:t>d’Accompagnement Régional).</w:t>
            </w:r>
          </w:p>
          <w:p w14:paraId="69F18326" w14:textId="249B577B" w:rsidR="005103BF" w:rsidRPr="005103BF" w:rsidRDefault="005103BF" w:rsidP="005103BF">
            <w:pPr>
              <w:tabs>
                <w:tab w:val="left" w:pos="1276"/>
                <w:tab w:val="center" w:pos="4762"/>
              </w:tabs>
              <w:jc w:val="both"/>
              <w:rPr>
                <w:rFonts w:ascii="Arial" w:hAnsi="Arial" w:cs="Arial"/>
                <w:sz w:val="18"/>
              </w:rPr>
            </w:pPr>
            <w:r w:rsidRPr="005103BF">
              <w:rPr>
                <w:rFonts w:ascii="Arial" w:hAnsi="Arial" w:cs="Arial"/>
                <w:sz w:val="18"/>
              </w:rPr>
              <w:lastRenderedPageBreak/>
              <w:t>- Etre situées en zone rurale</w:t>
            </w:r>
            <w:r w:rsidR="00A13304">
              <w:rPr>
                <w:rFonts w:ascii="Arial" w:hAnsi="Arial" w:cs="Arial"/>
                <w:sz w:val="18"/>
              </w:rPr>
              <w:t xml:space="preserve"> selon la définition de l’INSEE. </w:t>
            </w:r>
            <w:r w:rsidRPr="005103BF">
              <w:rPr>
                <w:rFonts w:ascii="Arial" w:hAnsi="Arial" w:cs="Arial"/>
                <w:sz w:val="18"/>
              </w:rPr>
              <w:t>Une cartographie au croi</w:t>
            </w:r>
            <w:r w:rsidR="008C2D77">
              <w:rPr>
                <w:rFonts w:ascii="Arial" w:hAnsi="Arial" w:cs="Arial"/>
                <w:sz w:val="18"/>
              </w:rPr>
              <w:t xml:space="preserve">sement des zonages ARS et INSEE </w:t>
            </w:r>
            <w:r w:rsidRPr="005103BF">
              <w:rPr>
                <w:rFonts w:ascii="Arial" w:hAnsi="Arial" w:cs="Arial"/>
                <w:sz w:val="18"/>
              </w:rPr>
              <w:t>sera annexée au cahier des charges de l’appel à projets.</w:t>
            </w:r>
          </w:p>
          <w:p w14:paraId="7477DC7A" w14:textId="42FE5711" w:rsidR="00B206A3" w:rsidRDefault="005103BF" w:rsidP="005103BF">
            <w:pPr>
              <w:tabs>
                <w:tab w:val="left" w:pos="1276"/>
                <w:tab w:val="center" w:pos="4762"/>
              </w:tabs>
              <w:jc w:val="both"/>
              <w:rPr>
                <w:rFonts w:ascii="Arial" w:hAnsi="Arial" w:cs="Arial"/>
                <w:sz w:val="18"/>
              </w:rPr>
            </w:pPr>
            <w:r w:rsidRPr="005103BF">
              <w:rPr>
                <w:rFonts w:ascii="Arial" w:hAnsi="Arial" w:cs="Arial"/>
                <w:sz w:val="18"/>
              </w:rPr>
              <w:t xml:space="preserve">- Disposer de la reconnaissance </w:t>
            </w:r>
            <w:r w:rsidR="008C2D77">
              <w:rPr>
                <w:rFonts w:ascii="Arial" w:hAnsi="Arial" w:cs="Arial"/>
                <w:sz w:val="18"/>
              </w:rPr>
              <w:t xml:space="preserve">du projet de santé par l’Agence </w:t>
            </w:r>
            <w:r w:rsidRPr="005103BF">
              <w:rPr>
                <w:rFonts w:ascii="Arial" w:hAnsi="Arial" w:cs="Arial"/>
                <w:sz w:val="18"/>
              </w:rPr>
              <w:t>Régionale de Santé (ARS)</w:t>
            </w:r>
            <w:r w:rsidR="008C2D77">
              <w:rPr>
                <w:rFonts w:ascii="Arial" w:hAnsi="Arial" w:cs="Arial"/>
                <w:sz w:val="18"/>
              </w:rPr>
              <w:t xml:space="preserve"> pour les structures d’exercice </w:t>
            </w:r>
            <w:r w:rsidRPr="005103BF">
              <w:rPr>
                <w:rFonts w:ascii="Arial" w:hAnsi="Arial" w:cs="Arial"/>
                <w:sz w:val="18"/>
              </w:rPr>
              <w:t xml:space="preserve">coordonné (Maisons de Santé </w:t>
            </w:r>
            <w:proofErr w:type="spellStart"/>
            <w:r w:rsidRPr="005103BF">
              <w:rPr>
                <w:rFonts w:ascii="Arial" w:hAnsi="Arial" w:cs="Arial"/>
                <w:sz w:val="18"/>
              </w:rPr>
              <w:t>Pl</w:t>
            </w:r>
            <w:r w:rsidR="008C2D77">
              <w:rPr>
                <w:rFonts w:ascii="Arial" w:hAnsi="Arial" w:cs="Arial"/>
                <w:sz w:val="18"/>
              </w:rPr>
              <w:t>uriprofessionnelles</w:t>
            </w:r>
            <w:proofErr w:type="spellEnd"/>
            <w:r w:rsidR="008C2D77">
              <w:rPr>
                <w:rFonts w:ascii="Arial" w:hAnsi="Arial" w:cs="Arial"/>
                <w:sz w:val="18"/>
              </w:rPr>
              <w:t xml:space="preserve">, centres de </w:t>
            </w:r>
            <w:r w:rsidRPr="005103BF">
              <w:rPr>
                <w:rFonts w:ascii="Arial" w:hAnsi="Arial" w:cs="Arial"/>
                <w:sz w:val="18"/>
              </w:rPr>
              <w:t>santé polyvalents, équipes de soins primaires, Commu</w:t>
            </w:r>
            <w:r w:rsidR="008C2D77">
              <w:rPr>
                <w:rFonts w:ascii="Arial" w:hAnsi="Arial" w:cs="Arial"/>
                <w:sz w:val="18"/>
              </w:rPr>
              <w:t xml:space="preserve">nautés </w:t>
            </w:r>
            <w:r w:rsidRPr="005103BF">
              <w:rPr>
                <w:rFonts w:ascii="Arial" w:hAnsi="Arial" w:cs="Arial"/>
                <w:sz w:val="18"/>
              </w:rPr>
              <w:t>Professionnelles Territoriales de</w:t>
            </w:r>
            <w:r w:rsidR="008C2D77">
              <w:rPr>
                <w:rFonts w:ascii="Arial" w:hAnsi="Arial" w:cs="Arial"/>
                <w:sz w:val="18"/>
              </w:rPr>
              <w:t xml:space="preserve"> Santé) et les centres de soins </w:t>
            </w:r>
            <w:r w:rsidRPr="005103BF">
              <w:rPr>
                <w:rFonts w:ascii="Arial" w:hAnsi="Arial" w:cs="Arial"/>
                <w:sz w:val="18"/>
              </w:rPr>
              <w:t>non programmés fixes.</w:t>
            </w:r>
          </w:p>
          <w:p w14:paraId="325EEC69" w14:textId="6E7DDC0A" w:rsidR="00B206A3" w:rsidRDefault="00B206A3" w:rsidP="00B206A3">
            <w:pPr>
              <w:rPr>
                <w:rFonts w:ascii="Arial" w:hAnsi="Arial" w:cs="Arial"/>
                <w:sz w:val="18"/>
              </w:rPr>
            </w:pPr>
          </w:p>
          <w:p w14:paraId="6D6F5CC6" w14:textId="7F5E0988" w:rsidR="007F472E" w:rsidRPr="00B206A3" w:rsidRDefault="00B206A3" w:rsidP="00B206A3">
            <w:pPr>
              <w:tabs>
                <w:tab w:val="left" w:pos="171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4961" w:type="dxa"/>
          </w:tcPr>
          <w:p w14:paraId="499BFBF0" w14:textId="77777777" w:rsidR="007F472E" w:rsidRDefault="005103BF" w:rsidP="00377A32">
            <w:pPr>
              <w:tabs>
                <w:tab w:val="left" w:pos="1276"/>
                <w:tab w:val="center" w:pos="4762"/>
              </w:tabs>
              <w:jc w:val="both"/>
              <w:rPr>
                <w:rFonts w:ascii="Arial" w:hAnsi="Arial" w:cs="Arial"/>
                <w:i/>
                <w:color w:val="0070C0"/>
                <w:sz w:val="18"/>
              </w:rPr>
            </w:pPr>
            <w:r>
              <w:rPr>
                <w:rFonts w:ascii="Arial" w:hAnsi="Arial" w:cs="Arial"/>
                <w:i/>
                <w:color w:val="0070C0"/>
                <w:sz w:val="18"/>
              </w:rPr>
              <w:lastRenderedPageBreak/>
              <w:t>Les opérations devront cumulativement :</w:t>
            </w:r>
          </w:p>
          <w:p w14:paraId="48659BE7" w14:textId="541BA724" w:rsidR="005103BF" w:rsidRDefault="005103BF" w:rsidP="005103BF">
            <w:pPr>
              <w:pStyle w:val="Paragraphedeliste"/>
              <w:numPr>
                <w:ilvl w:val="0"/>
                <w:numId w:val="25"/>
              </w:numPr>
              <w:tabs>
                <w:tab w:val="left" w:pos="1276"/>
                <w:tab w:val="center" w:pos="4762"/>
              </w:tabs>
              <w:jc w:val="both"/>
              <w:rPr>
                <w:rFonts w:ascii="Arial" w:hAnsi="Arial" w:cs="Arial"/>
                <w:strike/>
                <w:sz w:val="18"/>
              </w:rPr>
            </w:pPr>
            <w:r w:rsidRPr="005103BF">
              <w:rPr>
                <w:rFonts w:ascii="Arial" w:hAnsi="Arial" w:cs="Arial"/>
                <w:strike/>
                <w:sz w:val="18"/>
              </w:rPr>
              <w:t>S’inscrire dans une stratégie territoriale définie à une échelle pertinente a minima intercommunale : pour cela l’opération doit apparaître dans les documents de planification (PLUI / SCOT) en maîtrise de l’artificialisation des sols.</w:t>
            </w:r>
          </w:p>
          <w:p w14:paraId="43E7ED10" w14:textId="3B75C576" w:rsidR="00AE654C" w:rsidRDefault="00AE654C" w:rsidP="00AE654C">
            <w:pPr>
              <w:pStyle w:val="Paragraphedeliste"/>
              <w:tabs>
                <w:tab w:val="left" w:pos="1276"/>
                <w:tab w:val="center" w:pos="4762"/>
              </w:tabs>
              <w:ind w:left="408"/>
              <w:jc w:val="both"/>
              <w:rPr>
                <w:rFonts w:ascii="Arial" w:hAnsi="Arial" w:cs="Arial"/>
                <w:strike/>
                <w:sz w:val="18"/>
              </w:rPr>
            </w:pPr>
          </w:p>
          <w:p w14:paraId="302522B3" w14:textId="5C7B6F05" w:rsidR="00AE654C" w:rsidRPr="00A13304" w:rsidRDefault="00AE654C" w:rsidP="00AE654C">
            <w:pPr>
              <w:pStyle w:val="Paragraphedeliste"/>
              <w:numPr>
                <w:ilvl w:val="0"/>
                <w:numId w:val="25"/>
              </w:numPr>
              <w:tabs>
                <w:tab w:val="left" w:pos="1276"/>
                <w:tab w:val="center" w:pos="4762"/>
              </w:tabs>
              <w:jc w:val="both"/>
              <w:rPr>
                <w:rFonts w:ascii="Arial" w:hAnsi="Arial" w:cs="Arial"/>
                <w:strike/>
                <w:sz w:val="18"/>
              </w:rPr>
            </w:pPr>
            <w:r w:rsidRPr="00AE654C">
              <w:rPr>
                <w:rFonts w:ascii="Arial" w:hAnsi="Arial" w:cs="Arial"/>
                <w:sz w:val="18"/>
              </w:rPr>
              <w:t xml:space="preserve">Etre situées en zones </w:t>
            </w:r>
            <w:proofErr w:type="spellStart"/>
            <w:r w:rsidRPr="00AE654C">
              <w:rPr>
                <w:rFonts w:ascii="Arial" w:hAnsi="Arial" w:cs="Arial"/>
                <w:sz w:val="18"/>
              </w:rPr>
              <w:t>sous-dotées</w:t>
            </w:r>
            <w:proofErr w:type="spellEnd"/>
            <w:r w:rsidRPr="00AE654C">
              <w:rPr>
                <w:rFonts w:ascii="Arial" w:hAnsi="Arial" w:cs="Arial"/>
                <w:sz w:val="18"/>
              </w:rPr>
              <w:t xml:space="preserve"> des soins de premier recours telles que définies par l’ARS (Zone d’Intervention</w:t>
            </w:r>
            <w:r w:rsidR="00EA4B29">
              <w:rPr>
                <w:rFonts w:ascii="Arial" w:hAnsi="Arial" w:cs="Arial"/>
                <w:sz w:val="18"/>
              </w:rPr>
              <w:t xml:space="preserve"> </w:t>
            </w:r>
            <w:r w:rsidRPr="00AE654C">
              <w:rPr>
                <w:rFonts w:ascii="Arial" w:hAnsi="Arial" w:cs="Arial"/>
                <w:sz w:val="18"/>
              </w:rPr>
              <w:t xml:space="preserve">Prioritaire, Zone d’Action </w:t>
            </w:r>
            <w:r w:rsidRPr="00AE654C">
              <w:rPr>
                <w:rFonts w:ascii="Arial" w:hAnsi="Arial" w:cs="Arial"/>
                <w:sz w:val="18"/>
              </w:rPr>
              <w:lastRenderedPageBreak/>
              <w:t>Complémentaire, Zone d’Accompagnement Régional).</w:t>
            </w:r>
            <w:r w:rsidR="005A1CC4">
              <w:rPr>
                <w:rFonts w:ascii="Arial" w:hAnsi="Arial" w:cs="Arial"/>
                <w:sz w:val="18"/>
              </w:rPr>
              <w:t xml:space="preserve"> </w:t>
            </w:r>
            <w:r w:rsidR="005A1CC4" w:rsidRPr="005A1CC4">
              <w:rPr>
                <w:rFonts w:ascii="Arial" w:hAnsi="Arial" w:cs="Arial"/>
                <w:color w:val="FF0000"/>
                <w:sz w:val="18"/>
              </w:rPr>
              <w:t>(Uniquement pour</w:t>
            </w:r>
            <w:r w:rsidR="00043D53">
              <w:rPr>
                <w:rFonts w:ascii="Arial" w:hAnsi="Arial" w:cs="Arial"/>
                <w:color w:val="FF0000"/>
                <w:sz w:val="18"/>
              </w:rPr>
              <w:t xml:space="preserve"> les projets de</w:t>
            </w:r>
            <w:r w:rsidR="005A1CC4" w:rsidRPr="005A1CC4">
              <w:rPr>
                <w:rFonts w:ascii="Arial" w:hAnsi="Arial" w:cs="Arial"/>
                <w:color w:val="FF0000"/>
                <w:sz w:val="18"/>
              </w:rPr>
              <w:t xml:space="preserve"> la catégorie 1)</w:t>
            </w:r>
          </w:p>
          <w:p w14:paraId="54FEFADB" w14:textId="77777777" w:rsidR="00A13304" w:rsidRPr="00A13304" w:rsidRDefault="00A13304" w:rsidP="00A13304">
            <w:pPr>
              <w:pStyle w:val="Paragraphedeliste"/>
              <w:rPr>
                <w:rFonts w:ascii="Arial" w:hAnsi="Arial" w:cs="Arial"/>
                <w:strike/>
                <w:sz w:val="18"/>
              </w:rPr>
            </w:pPr>
          </w:p>
          <w:p w14:paraId="2A5C897E" w14:textId="77777777" w:rsidR="00A13304" w:rsidRPr="00A13304" w:rsidRDefault="00A13304" w:rsidP="00A13304">
            <w:pPr>
              <w:pStyle w:val="Paragraphedeliste"/>
              <w:numPr>
                <w:ilvl w:val="0"/>
                <w:numId w:val="25"/>
              </w:numPr>
              <w:tabs>
                <w:tab w:val="left" w:pos="1276"/>
                <w:tab w:val="center" w:pos="4762"/>
              </w:tabs>
              <w:jc w:val="both"/>
              <w:rPr>
                <w:rFonts w:ascii="Arial" w:hAnsi="Arial" w:cs="Arial"/>
                <w:strike/>
                <w:sz w:val="18"/>
              </w:rPr>
            </w:pPr>
            <w:r w:rsidRPr="00A13304">
              <w:rPr>
                <w:rFonts w:ascii="Arial" w:hAnsi="Arial" w:cs="Arial"/>
                <w:sz w:val="18"/>
              </w:rPr>
              <w:t>Etre situées en zone rurale selon la définition de l’INSEE</w:t>
            </w:r>
            <w:r>
              <w:rPr>
                <w:rFonts w:ascii="Arial" w:hAnsi="Arial" w:cs="Arial"/>
                <w:sz w:val="18"/>
              </w:rPr>
              <w:t>.</w:t>
            </w:r>
          </w:p>
          <w:p w14:paraId="0B2E1DD8" w14:textId="0BF82337" w:rsidR="00A13304" w:rsidRPr="00A13304" w:rsidRDefault="00A13304" w:rsidP="00A13304">
            <w:pPr>
              <w:tabs>
                <w:tab w:val="left" w:pos="1276"/>
                <w:tab w:val="center" w:pos="4762"/>
              </w:tabs>
              <w:jc w:val="both"/>
              <w:rPr>
                <w:rFonts w:ascii="Arial" w:hAnsi="Arial" w:cs="Arial"/>
                <w:strike/>
                <w:sz w:val="18"/>
              </w:rPr>
            </w:pPr>
            <w:r w:rsidRPr="00A13304">
              <w:rPr>
                <w:rFonts w:ascii="Arial" w:hAnsi="Arial" w:cs="Arial"/>
                <w:sz w:val="18"/>
              </w:rPr>
              <w:t>Une cartographie au croisement des zonages ARS et INSEE sera annexée au cahier des charges de l’appel à projets.</w:t>
            </w:r>
          </w:p>
          <w:p w14:paraId="69A32D02" w14:textId="6828CCEB" w:rsidR="00C33619" w:rsidRPr="00B900AB" w:rsidRDefault="000A645F" w:rsidP="00140C2B">
            <w:pPr>
              <w:pStyle w:val="Paragraphedeliste"/>
              <w:numPr>
                <w:ilvl w:val="0"/>
                <w:numId w:val="25"/>
              </w:numPr>
              <w:tabs>
                <w:tab w:val="left" w:pos="1276"/>
                <w:tab w:val="center" w:pos="4762"/>
              </w:tabs>
              <w:jc w:val="both"/>
              <w:rPr>
                <w:rFonts w:ascii="Arial" w:hAnsi="Arial" w:cs="Arial"/>
                <w:i/>
                <w:color w:val="FF0000"/>
                <w:sz w:val="18"/>
              </w:rPr>
            </w:pPr>
            <w:bookmarkStart w:id="0" w:name="_GoBack"/>
            <w:r w:rsidRPr="00FB5361">
              <w:rPr>
                <w:rFonts w:ascii="Arial" w:hAnsi="Arial" w:cs="Arial"/>
                <w:sz w:val="18"/>
              </w:rPr>
              <w:t>Disposer</w:t>
            </w:r>
            <w:r w:rsidR="003C4BBA" w:rsidRPr="00FB5361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 w:rsidRPr="00FB5361">
              <w:rPr>
                <w:rFonts w:ascii="Arial" w:hAnsi="Arial" w:cs="Arial"/>
                <w:color w:val="FF0000"/>
                <w:sz w:val="18"/>
              </w:rPr>
              <w:t>d’un</w:t>
            </w:r>
            <w:r w:rsidR="003C4BBA" w:rsidRPr="00FB5361">
              <w:rPr>
                <w:rFonts w:ascii="Arial" w:hAnsi="Arial" w:cs="Arial"/>
                <w:color w:val="FF0000"/>
                <w:sz w:val="18"/>
              </w:rPr>
              <w:t xml:space="preserve"> projet de santé</w:t>
            </w:r>
            <w:r w:rsidR="00944CA2" w:rsidRPr="00FB5361">
              <w:rPr>
                <w:rFonts w:ascii="Arial" w:hAnsi="Arial" w:cs="Arial"/>
                <w:color w:val="FF0000"/>
                <w:sz w:val="18"/>
              </w:rPr>
              <w:t xml:space="preserve"> labellisé</w:t>
            </w:r>
            <w:r w:rsidRPr="00FB5361">
              <w:rPr>
                <w:rFonts w:ascii="Arial" w:hAnsi="Arial" w:cs="Arial"/>
                <w:color w:val="FF0000"/>
                <w:sz w:val="18"/>
              </w:rPr>
              <w:t xml:space="preserve"> ou en cours de labellisation</w:t>
            </w:r>
            <w:r w:rsidR="003C4BBA" w:rsidRPr="00FB5361">
              <w:rPr>
                <w:rFonts w:ascii="Arial" w:hAnsi="Arial" w:cs="Arial"/>
                <w:sz w:val="18"/>
              </w:rPr>
              <w:t xml:space="preserve"> par l’Agence Régionale de Santé (</w:t>
            </w:r>
            <w:proofErr w:type="gramStart"/>
            <w:r w:rsidR="003C4BBA" w:rsidRPr="00FB5361">
              <w:rPr>
                <w:rFonts w:ascii="Arial" w:hAnsi="Arial" w:cs="Arial"/>
                <w:sz w:val="18"/>
              </w:rPr>
              <w:t>ARS)</w:t>
            </w:r>
            <w:r w:rsidR="00EA4B29" w:rsidRPr="00FB5361">
              <w:rPr>
                <w:rFonts w:ascii="Arial" w:hAnsi="Arial" w:cs="Arial"/>
                <w:sz w:val="18"/>
              </w:rPr>
              <w:t xml:space="preserve"> </w:t>
            </w:r>
            <w:r w:rsidR="003C4BBA" w:rsidRPr="00FB5361">
              <w:rPr>
                <w:rFonts w:ascii="Arial" w:hAnsi="Arial" w:cs="Arial"/>
                <w:sz w:val="18"/>
              </w:rPr>
              <w:t xml:space="preserve"> pour</w:t>
            </w:r>
            <w:proofErr w:type="gramEnd"/>
            <w:r w:rsidR="003C4BBA" w:rsidRPr="00FB5361">
              <w:rPr>
                <w:rFonts w:ascii="Arial" w:hAnsi="Arial" w:cs="Arial"/>
                <w:sz w:val="18"/>
              </w:rPr>
              <w:t xml:space="preserve"> les structures d’exercice coordonné (Maisons de Santé </w:t>
            </w:r>
            <w:proofErr w:type="spellStart"/>
            <w:r w:rsidR="003C4BBA" w:rsidRPr="00FB5361">
              <w:rPr>
                <w:rFonts w:ascii="Arial" w:hAnsi="Arial" w:cs="Arial"/>
                <w:sz w:val="18"/>
              </w:rPr>
              <w:t>Pluriprofessionnelles</w:t>
            </w:r>
            <w:proofErr w:type="spellEnd"/>
            <w:r w:rsidR="003C4BBA" w:rsidRPr="00FB5361">
              <w:rPr>
                <w:rFonts w:ascii="Arial" w:hAnsi="Arial" w:cs="Arial"/>
                <w:sz w:val="18"/>
              </w:rPr>
              <w:t>, centres de santé polyvalents, équipes de soins primaires, Communautés</w:t>
            </w:r>
            <w:r w:rsidR="003C4BBA" w:rsidRPr="00FB5361">
              <w:rPr>
                <w:rFonts w:ascii="Arial" w:hAnsi="Arial" w:cs="Arial"/>
                <w:i/>
                <w:color w:val="0070C0"/>
                <w:sz w:val="18"/>
              </w:rPr>
              <w:t xml:space="preserve"> </w:t>
            </w:r>
            <w:r w:rsidR="003C4BBA" w:rsidRPr="00FB5361">
              <w:rPr>
                <w:rFonts w:ascii="Arial" w:hAnsi="Arial" w:cs="Arial"/>
                <w:sz w:val="18"/>
              </w:rPr>
              <w:t>Professionne</w:t>
            </w:r>
            <w:r w:rsidR="00140C2B">
              <w:rPr>
                <w:rFonts w:ascii="Arial" w:hAnsi="Arial" w:cs="Arial"/>
                <w:sz w:val="18"/>
              </w:rPr>
              <w:t xml:space="preserve">lles Territoriales de Santé). </w:t>
            </w:r>
            <w:proofErr w:type="gramStart"/>
            <w:r w:rsidR="00140C2B" w:rsidRPr="00140C2B">
              <w:rPr>
                <w:rFonts w:ascii="Arial" w:hAnsi="Arial" w:cs="Arial"/>
                <w:strike/>
                <w:sz w:val="18"/>
              </w:rPr>
              <w:t>et</w:t>
            </w:r>
            <w:proofErr w:type="gramEnd"/>
            <w:r w:rsidR="00140C2B" w:rsidRPr="00140C2B">
              <w:rPr>
                <w:rFonts w:ascii="Arial" w:hAnsi="Arial" w:cs="Arial"/>
                <w:strike/>
                <w:sz w:val="18"/>
              </w:rPr>
              <w:t xml:space="preserve"> les centres de soins non programmés fixes.</w:t>
            </w:r>
            <w:r w:rsidR="00B900AB">
              <w:rPr>
                <w:rFonts w:ascii="Arial" w:hAnsi="Arial" w:cs="Arial"/>
                <w:strike/>
                <w:sz w:val="18"/>
              </w:rPr>
              <w:t xml:space="preserve"> </w:t>
            </w:r>
            <w:r w:rsidR="00B900AB" w:rsidRPr="00B900AB">
              <w:rPr>
                <w:rFonts w:ascii="Arial" w:hAnsi="Arial" w:cs="Arial"/>
                <w:color w:val="FF0000"/>
                <w:sz w:val="18"/>
              </w:rPr>
              <w:t>(Uniquement pour</w:t>
            </w:r>
            <w:r w:rsidR="00043D53">
              <w:rPr>
                <w:rFonts w:ascii="Arial" w:hAnsi="Arial" w:cs="Arial"/>
                <w:color w:val="FF0000"/>
                <w:sz w:val="18"/>
              </w:rPr>
              <w:t xml:space="preserve"> les projets de</w:t>
            </w:r>
            <w:r w:rsidR="00B900AB" w:rsidRPr="00B900AB">
              <w:rPr>
                <w:rFonts w:ascii="Arial" w:hAnsi="Arial" w:cs="Arial"/>
                <w:color w:val="FF0000"/>
                <w:sz w:val="18"/>
              </w:rPr>
              <w:t xml:space="preserve"> la catégorie 1)</w:t>
            </w:r>
          </w:p>
          <w:p w14:paraId="5B8A269E" w14:textId="77777777" w:rsidR="00E53FA7" w:rsidRPr="00140C2B" w:rsidRDefault="00E53FA7" w:rsidP="00E53FA7">
            <w:pPr>
              <w:pStyle w:val="Paragraphedeliste"/>
              <w:tabs>
                <w:tab w:val="left" w:pos="1276"/>
                <w:tab w:val="center" w:pos="4762"/>
              </w:tabs>
              <w:ind w:left="408"/>
              <w:jc w:val="both"/>
              <w:rPr>
                <w:rFonts w:ascii="Arial" w:hAnsi="Arial" w:cs="Arial"/>
                <w:i/>
                <w:strike/>
                <w:color w:val="0070C0"/>
                <w:sz w:val="18"/>
              </w:rPr>
            </w:pPr>
          </w:p>
          <w:p w14:paraId="4ED52377" w14:textId="183366BB" w:rsidR="000A645F" w:rsidRPr="00045157" w:rsidRDefault="00C70881" w:rsidP="00045157">
            <w:pPr>
              <w:pStyle w:val="Paragraphedeliste"/>
              <w:numPr>
                <w:ilvl w:val="0"/>
                <w:numId w:val="25"/>
              </w:numPr>
              <w:tabs>
                <w:tab w:val="left" w:pos="1276"/>
                <w:tab w:val="center" w:pos="4762"/>
              </w:tabs>
              <w:jc w:val="both"/>
              <w:rPr>
                <w:rFonts w:ascii="Arial" w:hAnsi="Arial" w:cs="Arial"/>
                <w:color w:val="FF0000"/>
                <w:sz w:val="18"/>
              </w:rPr>
            </w:pPr>
            <w:r w:rsidRPr="00045157">
              <w:rPr>
                <w:rFonts w:ascii="Arial" w:hAnsi="Arial" w:cs="Arial"/>
                <w:color w:val="FF0000"/>
                <w:sz w:val="18"/>
              </w:rPr>
              <w:t>Etre éligible</w:t>
            </w:r>
            <w:r w:rsidR="000A645F" w:rsidRPr="00045157">
              <w:rPr>
                <w:rFonts w:ascii="Arial" w:hAnsi="Arial" w:cs="Arial"/>
                <w:color w:val="FF0000"/>
                <w:sz w:val="18"/>
              </w:rPr>
              <w:t xml:space="preserve"> temporellement</w:t>
            </w:r>
          </w:p>
          <w:p w14:paraId="408F343F" w14:textId="77777777" w:rsidR="00DF3E36" w:rsidRPr="00944CA2" w:rsidRDefault="00DF3E36" w:rsidP="000A645F">
            <w:pPr>
              <w:pStyle w:val="Paragraphedeliste"/>
              <w:tabs>
                <w:tab w:val="left" w:pos="1276"/>
                <w:tab w:val="center" w:pos="4762"/>
              </w:tabs>
              <w:ind w:left="408"/>
              <w:jc w:val="both"/>
              <w:rPr>
                <w:rFonts w:ascii="Arial" w:hAnsi="Arial" w:cs="Arial"/>
                <w:color w:val="FF0000"/>
                <w:sz w:val="18"/>
              </w:rPr>
            </w:pPr>
          </w:p>
          <w:p w14:paraId="0206758C" w14:textId="798C63F6" w:rsidR="00DF3E36" w:rsidRPr="00944CA2" w:rsidRDefault="00DF3E36" w:rsidP="00045157">
            <w:pPr>
              <w:pStyle w:val="Paragraphedeliste"/>
              <w:numPr>
                <w:ilvl w:val="0"/>
                <w:numId w:val="25"/>
              </w:numPr>
              <w:tabs>
                <w:tab w:val="left" w:pos="1276"/>
                <w:tab w:val="center" w:pos="4762"/>
              </w:tabs>
              <w:jc w:val="both"/>
              <w:rPr>
                <w:rFonts w:ascii="Arial" w:hAnsi="Arial" w:cs="Arial"/>
                <w:color w:val="FF0000"/>
                <w:sz w:val="18"/>
              </w:rPr>
            </w:pPr>
            <w:r w:rsidRPr="00944CA2">
              <w:rPr>
                <w:rFonts w:ascii="Arial" w:hAnsi="Arial" w:cs="Arial"/>
                <w:color w:val="FF0000"/>
                <w:sz w:val="18"/>
              </w:rPr>
              <w:t>Respecter le seuil minimal de dépenses prévisionnelles.</w:t>
            </w:r>
          </w:p>
          <w:p w14:paraId="7D2306E2" w14:textId="77777777" w:rsidR="00DF3E36" w:rsidRPr="00944CA2" w:rsidRDefault="00DF3E36" w:rsidP="000A645F">
            <w:pPr>
              <w:pStyle w:val="Paragraphedeliste"/>
              <w:tabs>
                <w:tab w:val="left" w:pos="1276"/>
                <w:tab w:val="center" w:pos="4762"/>
              </w:tabs>
              <w:ind w:left="408"/>
              <w:jc w:val="both"/>
              <w:rPr>
                <w:rFonts w:ascii="Arial" w:hAnsi="Arial" w:cs="Arial"/>
                <w:color w:val="FF0000"/>
                <w:sz w:val="18"/>
              </w:rPr>
            </w:pPr>
          </w:p>
          <w:p w14:paraId="35522CF5" w14:textId="39E68439" w:rsidR="00DF3E36" w:rsidRPr="000A645F" w:rsidRDefault="00484F29" w:rsidP="00045157">
            <w:pPr>
              <w:pStyle w:val="Paragraphedeliste"/>
              <w:numPr>
                <w:ilvl w:val="0"/>
                <w:numId w:val="25"/>
              </w:numPr>
              <w:tabs>
                <w:tab w:val="left" w:pos="1276"/>
                <w:tab w:val="center" w:pos="4762"/>
              </w:tabs>
              <w:jc w:val="both"/>
              <w:rPr>
                <w:rFonts w:ascii="Arial" w:hAnsi="Arial" w:cs="Arial"/>
                <w:i/>
                <w:color w:val="0070C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Etre en conformité</w:t>
            </w:r>
            <w:r w:rsidR="00DF3E36" w:rsidRPr="00944CA2">
              <w:rPr>
                <w:rFonts w:ascii="Arial" w:hAnsi="Arial" w:cs="Arial"/>
                <w:color w:val="FF0000"/>
                <w:sz w:val="18"/>
              </w:rPr>
              <w:t xml:space="preserve"> avec les objectifs du Programme et de l’OS</w:t>
            </w:r>
            <w:bookmarkEnd w:id="0"/>
          </w:p>
        </w:tc>
      </w:tr>
    </w:tbl>
    <w:p w14:paraId="7C846635" w14:textId="77777777"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</w:p>
    <w:p w14:paraId="7E51F27D" w14:textId="6DCFDDF1" w:rsidR="003C72EC" w:rsidRDefault="003C72EC" w:rsidP="003C72EC">
      <w:pPr>
        <w:tabs>
          <w:tab w:val="left" w:pos="1276"/>
          <w:tab w:val="center" w:pos="4762"/>
        </w:tabs>
        <w:jc w:val="both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  <w:u w:val="single"/>
        </w:rPr>
        <w:t>Commentaires et motivation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 :  </w:t>
      </w:r>
    </w:p>
    <w:p w14:paraId="5A824F4D" w14:textId="107BB7AA" w:rsidR="00CC5C98" w:rsidRDefault="00CC5C98" w:rsidP="003C72EC">
      <w:pPr>
        <w:tabs>
          <w:tab w:val="left" w:pos="1276"/>
          <w:tab w:val="center" w:pos="4762"/>
        </w:tabs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Modifications légères des dépenses éligibles et inéligibles pour correspondre au mieux aux actions susceptibles d’être portées. </w:t>
      </w:r>
    </w:p>
    <w:p w14:paraId="7541A29C" w14:textId="47710025" w:rsidR="00CC5C98" w:rsidRPr="00CC5C98" w:rsidRDefault="00CC5C98" w:rsidP="003C72EC">
      <w:pPr>
        <w:tabs>
          <w:tab w:val="left" w:pos="1276"/>
          <w:tab w:val="center" w:pos="4762"/>
        </w:tabs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+ Précision sur la nature des petits équipements non éligibles. </w:t>
      </w:r>
    </w:p>
    <w:p w14:paraId="3D4B2D64" w14:textId="77777777"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</w:p>
    <w:p w14:paraId="7B5E82A2" w14:textId="77777777"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sectPr w:rsidR="003C72EC" w:rsidRPr="003C72EC" w:rsidSect="004E789F">
      <w:headerReference w:type="default" r:id="rId7"/>
      <w:footerReference w:type="default" r:id="rId8"/>
      <w:pgSz w:w="11906" w:h="16838" w:code="9"/>
      <w:pgMar w:top="851" w:right="851" w:bottom="737" w:left="851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DC22C" w14:textId="77777777" w:rsidR="003A28C8" w:rsidRDefault="003A28C8" w:rsidP="00F80ECC">
      <w:pPr>
        <w:spacing w:after="0" w:line="240" w:lineRule="auto"/>
      </w:pPr>
      <w:r>
        <w:separator/>
      </w:r>
    </w:p>
  </w:endnote>
  <w:endnote w:type="continuationSeparator" w:id="0">
    <w:p w14:paraId="18600B72" w14:textId="77777777" w:rsidR="003A28C8" w:rsidRDefault="003A28C8" w:rsidP="00F8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IN-Regular">
    <w:altName w:val="MS Gothic"/>
    <w:charset w:val="00"/>
    <w:family w:val="auto"/>
    <w:pitch w:val="variable"/>
    <w:sig w:usb0="A00000AF" w:usb1="40002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EU Albertina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C36A9" w14:textId="77777777" w:rsidR="004D012B" w:rsidRDefault="004D012B">
    <w:pPr>
      <w:pStyle w:val="Pieddepage"/>
    </w:pPr>
  </w:p>
  <w:p w14:paraId="6A53C3A2" w14:textId="77777777" w:rsidR="004D012B" w:rsidRDefault="004D012B" w:rsidP="004D01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047C1" w14:textId="77777777" w:rsidR="003A28C8" w:rsidRDefault="003A28C8" w:rsidP="00F80ECC">
      <w:pPr>
        <w:spacing w:after="0" w:line="240" w:lineRule="auto"/>
      </w:pPr>
      <w:r>
        <w:separator/>
      </w:r>
    </w:p>
  </w:footnote>
  <w:footnote w:type="continuationSeparator" w:id="0">
    <w:p w14:paraId="32D57B5E" w14:textId="77777777" w:rsidR="003A28C8" w:rsidRDefault="003A28C8" w:rsidP="00F80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E72A5" w14:textId="150183B7" w:rsidR="00131D4A" w:rsidRDefault="00131D4A" w:rsidP="00F80ECC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F09"/>
    <w:multiLevelType w:val="hybridMultilevel"/>
    <w:tmpl w:val="C9320BA0"/>
    <w:lvl w:ilvl="0" w:tplc="040C0001">
      <w:start w:val="1"/>
      <w:numFmt w:val="bullet"/>
      <w:lvlText w:val=""/>
      <w:lvlJc w:val="left"/>
      <w:pPr>
        <w:ind w:left="-48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</w:abstractNum>
  <w:abstractNum w:abstractNumId="1" w15:restartNumberingAfterBreak="0">
    <w:nsid w:val="04FC7214"/>
    <w:multiLevelType w:val="hybridMultilevel"/>
    <w:tmpl w:val="70CA8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92A20"/>
    <w:multiLevelType w:val="hybridMultilevel"/>
    <w:tmpl w:val="D2F47094"/>
    <w:lvl w:ilvl="0" w:tplc="F850C7D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DIN-Regular" w:eastAsia="Times New Roman" w:hAnsi="DIN-Regular" w:cs="Calibri" w:hint="default"/>
      </w:rPr>
    </w:lvl>
    <w:lvl w:ilvl="1" w:tplc="040C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9F5DCE"/>
    <w:multiLevelType w:val="hybridMultilevel"/>
    <w:tmpl w:val="06901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21F8B"/>
    <w:multiLevelType w:val="hybridMultilevel"/>
    <w:tmpl w:val="97E6E2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E221F"/>
    <w:multiLevelType w:val="hybridMultilevel"/>
    <w:tmpl w:val="C5DE5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FCC8EE">
      <w:numFmt w:val="bullet"/>
      <w:lvlText w:val="-"/>
      <w:lvlJc w:val="left"/>
      <w:pPr>
        <w:ind w:left="1440" w:hanging="360"/>
      </w:pPr>
      <w:rPr>
        <w:rFonts w:ascii="Arial gras" w:eastAsiaTheme="minorHAnsi" w:hAnsi="Arial gras" w:cs="Arial" w:hint="default"/>
        <w:b/>
        <w:sz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7B0"/>
    <w:multiLevelType w:val="hybridMultilevel"/>
    <w:tmpl w:val="8FDA2F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07EEF"/>
    <w:multiLevelType w:val="hybridMultilevel"/>
    <w:tmpl w:val="E6668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64222"/>
    <w:multiLevelType w:val="hybridMultilevel"/>
    <w:tmpl w:val="5D725FBE"/>
    <w:lvl w:ilvl="0" w:tplc="E7E4AE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A3911"/>
    <w:multiLevelType w:val="hybridMultilevel"/>
    <w:tmpl w:val="DB864768"/>
    <w:lvl w:ilvl="0" w:tplc="F850C7D0">
      <w:numFmt w:val="bullet"/>
      <w:lvlText w:val="-"/>
      <w:lvlJc w:val="left"/>
      <w:pPr>
        <w:tabs>
          <w:tab w:val="num" w:pos="987"/>
        </w:tabs>
        <w:ind w:left="987" w:hanging="360"/>
      </w:pPr>
      <w:rPr>
        <w:rFonts w:ascii="DIN-Regular" w:eastAsia="Times New Roman" w:hAnsi="DIN-Regular" w:cs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D81168"/>
    <w:multiLevelType w:val="hybridMultilevel"/>
    <w:tmpl w:val="0742D0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F0523"/>
    <w:multiLevelType w:val="hybridMultilevel"/>
    <w:tmpl w:val="91001D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34D5A"/>
    <w:multiLevelType w:val="hybridMultilevel"/>
    <w:tmpl w:val="6CAA22A2"/>
    <w:lvl w:ilvl="0" w:tplc="E7E4AE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74AAC"/>
    <w:multiLevelType w:val="hybridMultilevel"/>
    <w:tmpl w:val="D5906E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21B47"/>
    <w:multiLevelType w:val="hybridMultilevel"/>
    <w:tmpl w:val="4AAE5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045CC"/>
    <w:multiLevelType w:val="hybridMultilevel"/>
    <w:tmpl w:val="C6400C34"/>
    <w:lvl w:ilvl="0" w:tplc="F850C7D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DIN-Regular" w:eastAsia="Times New Roman" w:hAnsi="DIN-Regular" w:cs="Calibri" w:hint="default"/>
      </w:rPr>
    </w:lvl>
    <w:lvl w:ilvl="1" w:tplc="F850C7D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DIN-Regular" w:eastAsia="Times New Roman" w:hAnsi="DIN-Regular" w:cs="Calibri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A6E1DA5"/>
    <w:multiLevelType w:val="hybridMultilevel"/>
    <w:tmpl w:val="DEB20892"/>
    <w:lvl w:ilvl="0" w:tplc="855ED098">
      <w:numFmt w:val="bullet"/>
      <w:lvlText w:val="-"/>
      <w:lvlJc w:val="left"/>
      <w:pPr>
        <w:ind w:left="408" w:hanging="360"/>
      </w:pPr>
      <w:rPr>
        <w:rFonts w:ascii="EUAlbertina" w:eastAsiaTheme="minorHAnsi" w:hAnsi="EUAlbertina" w:cs="EUAlbertina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7" w15:restartNumberingAfterBreak="0">
    <w:nsid w:val="552814F6"/>
    <w:multiLevelType w:val="hybridMultilevel"/>
    <w:tmpl w:val="B2E45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D1EF8"/>
    <w:multiLevelType w:val="hybridMultilevel"/>
    <w:tmpl w:val="925C7D7A"/>
    <w:lvl w:ilvl="0" w:tplc="040C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  <w:w w:val="100"/>
        <w:sz w:val="24"/>
        <w:szCs w:val="24"/>
        <w:lang w:val="fr-FR" w:eastAsia="en-US" w:bidi="ar-SA"/>
      </w:rPr>
    </w:lvl>
    <w:lvl w:ilvl="1" w:tplc="1ACA0EC6">
      <w:numFmt w:val="bullet"/>
      <w:lvlText w:val="-"/>
      <w:lvlJc w:val="left"/>
      <w:pPr>
        <w:ind w:left="1834" w:hanging="296"/>
      </w:pPr>
      <w:rPr>
        <w:rFonts w:ascii="Cambria" w:eastAsia="Cambria" w:hAnsi="Cambria" w:cs="Cambria" w:hint="default"/>
        <w:w w:val="100"/>
        <w:sz w:val="24"/>
        <w:szCs w:val="24"/>
        <w:lang w:val="fr-FR" w:eastAsia="en-US" w:bidi="ar-SA"/>
      </w:rPr>
    </w:lvl>
    <w:lvl w:ilvl="2" w:tplc="3B6891A8">
      <w:numFmt w:val="bullet"/>
      <w:lvlText w:val="•"/>
      <w:lvlJc w:val="left"/>
      <w:pPr>
        <w:ind w:left="2907" w:hanging="296"/>
      </w:pPr>
      <w:rPr>
        <w:rFonts w:hint="default"/>
        <w:lang w:val="fr-FR" w:eastAsia="en-US" w:bidi="ar-SA"/>
      </w:rPr>
    </w:lvl>
    <w:lvl w:ilvl="3" w:tplc="4DAC36AE">
      <w:numFmt w:val="bullet"/>
      <w:lvlText w:val="•"/>
      <w:lvlJc w:val="left"/>
      <w:pPr>
        <w:ind w:left="3974" w:hanging="296"/>
      </w:pPr>
      <w:rPr>
        <w:rFonts w:hint="default"/>
        <w:lang w:val="fr-FR" w:eastAsia="en-US" w:bidi="ar-SA"/>
      </w:rPr>
    </w:lvl>
    <w:lvl w:ilvl="4" w:tplc="02CE1BC2">
      <w:numFmt w:val="bullet"/>
      <w:lvlText w:val="•"/>
      <w:lvlJc w:val="left"/>
      <w:pPr>
        <w:ind w:left="5042" w:hanging="296"/>
      </w:pPr>
      <w:rPr>
        <w:rFonts w:hint="default"/>
        <w:lang w:val="fr-FR" w:eastAsia="en-US" w:bidi="ar-SA"/>
      </w:rPr>
    </w:lvl>
    <w:lvl w:ilvl="5" w:tplc="4FC0CC8E">
      <w:numFmt w:val="bullet"/>
      <w:lvlText w:val="•"/>
      <w:lvlJc w:val="left"/>
      <w:pPr>
        <w:ind w:left="6109" w:hanging="296"/>
      </w:pPr>
      <w:rPr>
        <w:rFonts w:hint="default"/>
        <w:lang w:val="fr-FR" w:eastAsia="en-US" w:bidi="ar-SA"/>
      </w:rPr>
    </w:lvl>
    <w:lvl w:ilvl="6" w:tplc="098EF670">
      <w:numFmt w:val="bullet"/>
      <w:lvlText w:val="•"/>
      <w:lvlJc w:val="left"/>
      <w:pPr>
        <w:ind w:left="7176" w:hanging="296"/>
      </w:pPr>
      <w:rPr>
        <w:rFonts w:hint="default"/>
        <w:lang w:val="fr-FR" w:eastAsia="en-US" w:bidi="ar-SA"/>
      </w:rPr>
    </w:lvl>
    <w:lvl w:ilvl="7" w:tplc="B1DE2DDA">
      <w:numFmt w:val="bullet"/>
      <w:lvlText w:val="•"/>
      <w:lvlJc w:val="left"/>
      <w:pPr>
        <w:ind w:left="8244" w:hanging="296"/>
      </w:pPr>
      <w:rPr>
        <w:rFonts w:hint="default"/>
        <w:lang w:val="fr-FR" w:eastAsia="en-US" w:bidi="ar-SA"/>
      </w:rPr>
    </w:lvl>
    <w:lvl w:ilvl="8" w:tplc="85440F88">
      <w:numFmt w:val="bullet"/>
      <w:lvlText w:val="•"/>
      <w:lvlJc w:val="left"/>
      <w:pPr>
        <w:ind w:left="9311" w:hanging="296"/>
      </w:pPr>
      <w:rPr>
        <w:rFonts w:hint="default"/>
        <w:lang w:val="fr-FR" w:eastAsia="en-US" w:bidi="ar-SA"/>
      </w:rPr>
    </w:lvl>
  </w:abstractNum>
  <w:abstractNum w:abstractNumId="19" w15:restartNumberingAfterBreak="0">
    <w:nsid w:val="69524ECE"/>
    <w:multiLevelType w:val="hybridMultilevel"/>
    <w:tmpl w:val="DA0EC2B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CBB239E"/>
    <w:multiLevelType w:val="hybridMultilevel"/>
    <w:tmpl w:val="C75CA3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C0C4A"/>
    <w:multiLevelType w:val="hybridMultilevel"/>
    <w:tmpl w:val="59EAFB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8795F"/>
    <w:multiLevelType w:val="hybridMultilevel"/>
    <w:tmpl w:val="EB5CD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D7C20"/>
    <w:multiLevelType w:val="hybridMultilevel"/>
    <w:tmpl w:val="C3EA946E"/>
    <w:lvl w:ilvl="0" w:tplc="2FF073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NewRomanPSM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73F6D"/>
    <w:multiLevelType w:val="hybridMultilevel"/>
    <w:tmpl w:val="D8EA4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A6FAB"/>
    <w:multiLevelType w:val="hybridMultilevel"/>
    <w:tmpl w:val="88C0A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54E9B"/>
    <w:multiLevelType w:val="hybridMultilevel"/>
    <w:tmpl w:val="E14E2A8C"/>
    <w:lvl w:ilvl="0" w:tplc="B5BEA6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21"/>
  </w:num>
  <w:num w:numId="4">
    <w:abstractNumId w:val="12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15"/>
  </w:num>
  <w:num w:numId="11">
    <w:abstractNumId w:val="19"/>
  </w:num>
  <w:num w:numId="12">
    <w:abstractNumId w:val="7"/>
  </w:num>
  <w:num w:numId="13">
    <w:abstractNumId w:val="2"/>
  </w:num>
  <w:num w:numId="14">
    <w:abstractNumId w:val="24"/>
  </w:num>
  <w:num w:numId="15">
    <w:abstractNumId w:val="17"/>
  </w:num>
  <w:num w:numId="16">
    <w:abstractNumId w:val="20"/>
  </w:num>
  <w:num w:numId="17">
    <w:abstractNumId w:val="4"/>
  </w:num>
  <w:num w:numId="18">
    <w:abstractNumId w:val="11"/>
  </w:num>
  <w:num w:numId="19">
    <w:abstractNumId w:val="13"/>
  </w:num>
  <w:num w:numId="20">
    <w:abstractNumId w:val="14"/>
  </w:num>
  <w:num w:numId="21">
    <w:abstractNumId w:val="22"/>
  </w:num>
  <w:num w:numId="22">
    <w:abstractNumId w:val="25"/>
  </w:num>
  <w:num w:numId="23">
    <w:abstractNumId w:val="10"/>
  </w:num>
  <w:num w:numId="24">
    <w:abstractNumId w:val="3"/>
  </w:num>
  <w:num w:numId="25">
    <w:abstractNumId w:val="16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8D"/>
    <w:rsid w:val="000352B6"/>
    <w:rsid w:val="00043D53"/>
    <w:rsid w:val="00045157"/>
    <w:rsid w:val="00045390"/>
    <w:rsid w:val="00060F29"/>
    <w:rsid w:val="00062E91"/>
    <w:rsid w:val="00066AA1"/>
    <w:rsid w:val="000A027C"/>
    <w:rsid w:val="000A1775"/>
    <w:rsid w:val="000A41ED"/>
    <w:rsid w:val="000A645F"/>
    <w:rsid w:val="000B1A34"/>
    <w:rsid w:val="000E760E"/>
    <w:rsid w:val="000E7E2D"/>
    <w:rsid w:val="000F499D"/>
    <w:rsid w:val="000F4CDC"/>
    <w:rsid w:val="0010294E"/>
    <w:rsid w:val="0011319C"/>
    <w:rsid w:val="00131D4A"/>
    <w:rsid w:val="00140C2B"/>
    <w:rsid w:val="00150F2A"/>
    <w:rsid w:val="00172962"/>
    <w:rsid w:val="00184090"/>
    <w:rsid w:val="00190B1D"/>
    <w:rsid w:val="001A2108"/>
    <w:rsid w:val="001A7C17"/>
    <w:rsid w:val="001B0ED6"/>
    <w:rsid w:val="001B41EC"/>
    <w:rsid w:val="001C0CAA"/>
    <w:rsid w:val="001C4243"/>
    <w:rsid w:val="001D4892"/>
    <w:rsid w:val="001D643C"/>
    <w:rsid w:val="001E190A"/>
    <w:rsid w:val="00226476"/>
    <w:rsid w:val="00227AE9"/>
    <w:rsid w:val="00240932"/>
    <w:rsid w:val="00242066"/>
    <w:rsid w:val="00244610"/>
    <w:rsid w:val="00254239"/>
    <w:rsid w:val="00255EFD"/>
    <w:rsid w:val="00256EFB"/>
    <w:rsid w:val="00257D7A"/>
    <w:rsid w:val="00273699"/>
    <w:rsid w:val="0029278D"/>
    <w:rsid w:val="002956EA"/>
    <w:rsid w:val="002C05DB"/>
    <w:rsid w:val="002F7DAD"/>
    <w:rsid w:val="00315B26"/>
    <w:rsid w:val="00324FE5"/>
    <w:rsid w:val="00336CD4"/>
    <w:rsid w:val="00373E03"/>
    <w:rsid w:val="00377A32"/>
    <w:rsid w:val="00387B42"/>
    <w:rsid w:val="00397645"/>
    <w:rsid w:val="003A28C8"/>
    <w:rsid w:val="003A2EEE"/>
    <w:rsid w:val="003B7254"/>
    <w:rsid w:val="003C4004"/>
    <w:rsid w:val="003C484F"/>
    <w:rsid w:val="003C4BBA"/>
    <w:rsid w:val="003C72EC"/>
    <w:rsid w:val="003F4618"/>
    <w:rsid w:val="003F75B9"/>
    <w:rsid w:val="003F7D4A"/>
    <w:rsid w:val="00406C8D"/>
    <w:rsid w:val="004221D1"/>
    <w:rsid w:val="00424053"/>
    <w:rsid w:val="00471240"/>
    <w:rsid w:val="00474816"/>
    <w:rsid w:val="00484F29"/>
    <w:rsid w:val="004C1ECD"/>
    <w:rsid w:val="004D012B"/>
    <w:rsid w:val="004D18FB"/>
    <w:rsid w:val="004D3984"/>
    <w:rsid w:val="004E4666"/>
    <w:rsid w:val="004E6450"/>
    <w:rsid w:val="004E76B6"/>
    <w:rsid w:val="004E789F"/>
    <w:rsid w:val="005103BF"/>
    <w:rsid w:val="00521226"/>
    <w:rsid w:val="00527E56"/>
    <w:rsid w:val="00536082"/>
    <w:rsid w:val="0054162B"/>
    <w:rsid w:val="00553E6D"/>
    <w:rsid w:val="00560554"/>
    <w:rsid w:val="005728C9"/>
    <w:rsid w:val="00583C99"/>
    <w:rsid w:val="00590BBE"/>
    <w:rsid w:val="005A1CC4"/>
    <w:rsid w:val="005A4869"/>
    <w:rsid w:val="005B256F"/>
    <w:rsid w:val="005C5B6F"/>
    <w:rsid w:val="005E105F"/>
    <w:rsid w:val="0061262E"/>
    <w:rsid w:val="00632DEF"/>
    <w:rsid w:val="00640863"/>
    <w:rsid w:val="0064501E"/>
    <w:rsid w:val="006869FB"/>
    <w:rsid w:val="006C79F7"/>
    <w:rsid w:val="006D3139"/>
    <w:rsid w:val="006E2576"/>
    <w:rsid w:val="006F440D"/>
    <w:rsid w:val="007039CB"/>
    <w:rsid w:val="007159CB"/>
    <w:rsid w:val="00717EBB"/>
    <w:rsid w:val="00726526"/>
    <w:rsid w:val="007322C5"/>
    <w:rsid w:val="00736B01"/>
    <w:rsid w:val="00740470"/>
    <w:rsid w:val="00754324"/>
    <w:rsid w:val="0075607A"/>
    <w:rsid w:val="00763481"/>
    <w:rsid w:val="007639FA"/>
    <w:rsid w:val="007B10CF"/>
    <w:rsid w:val="007B5735"/>
    <w:rsid w:val="007B6D31"/>
    <w:rsid w:val="007C0EFF"/>
    <w:rsid w:val="007F472E"/>
    <w:rsid w:val="00804B0D"/>
    <w:rsid w:val="00805645"/>
    <w:rsid w:val="00843308"/>
    <w:rsid w:val="00847040"/>
    <w:rsid w:val="00852831"/>
    <w:rsid w:val="00855673"/>
    <w:rsid w:val="008613F2"/>
    <w:rsid w:val="00883ED1"/>
    <w:rsid w:val="00887883"/>
    <w:rsid w:val="008944F5"/>
    <w:rsid w:val="008A6F86"/>
    <w:rsid w:val="008C2D77"/>
    <w:rsid w:val="0090063A"/>
    <w:rsid w:val="00926018"/>
    <w:rsid w:val="00937089"/>
    <w:rsid w:val="00944CA2"/>
    <w:rsid w:val="00950415"/>
    <w:rsid w:val="00974E36"/>
    <w:rsid w:val="00975353"/>
    <w:rsid w:val="009B74E3"/>
    <w:rsid w:val="009C2F34"/>
    <w:rsid w:val="009D01D3"/>
    <w:rsid w:val="009D086C"/>
    <w:rsid w:val="009E1963"/>
    <w:rsid w:val="00A05DE8"/>
    <w:rsid w:val="00A13304"/>
    <w:rsid w:val="00A368B6"/>
    <w:rsid w:val="00A42B2E"/>
    <w:rsid w:val="00A65B99"/>
    <w:rsid w:val="00A83496"/>
    <w:rsid w:val="00A871EB"/>
    <w:rsid w:val="00A875FE"/>
    <w:rsid w:val="00A928CF"/>
    <w:rsid w:val="00A92EDE"/>
    <w:rsid w:val="00A9614B"/>
    <w:rsid w:val="00AB1870"/>
    <w:rsid w:val="00AB5925"/>
    <w:rsid w:val="00AC4920"/>
    <w:rsid w:val="00AE543F"/>
    <w:rsid w:val="00AE654C"/>
    <w:rsid w:val="00B141BC"/>
    <w:rsid w:val="00B206A3"/>
    <w:rsid w:val="00B20F7B"/>
    <w:rsid w:val="00B211F7"/>
    <w:rsid w:val="00B25D31"/>
    <w:rsid w:val="00B30B4C"/>
    <w:rsid w:val="00B351D6"/>
    <w:rsid w:val="00B35A1A"/>
    <w:rsid w:val="00B51BCA"/>
    <w:rsid w:val="00B83EB5"/>
    <w:rsid w:val="00B900AB"/>
    <w:rsid w:val="00B936B4"/>
    <w:rsid w:val="00BE4A39"/>
    <w:rsid w:val="00BE5CA9"/>
    <w:rsid w:val="00BF426B"/>
    <w:rsid w:val="00C10DD7"/>
    <w:rsid w:val="00C17115"/>
    <w:rsid w:val="00C33619"/>
    <w:rsid w:val="00C37407"/>
    <w:rsid w:val="00C43C01"/>
    <w:rsid w:val="00C51C35"/>
    <w:rsid w:val="00C571A7"/>
    <w:rsid w:val="00C60071"/>
    <w:rsid w:val="00C64C72"/>
    <w:rsid w:val="00C70881"/>
    <w:rsid w:val="00C71897"/>
    <w:rsid w:val="00CB3F56"/>
    <w:rsid w:val="00CC5C98"/>
    <w:rsid w:val="00CD2A60"/>
    <w:rsid w:val="00CD33AE"/>
    <w:rsid w:val="00CD560D"/>
    <w:rsid w:val="00CF0A7A"/>
    <w:rsid w:val="00CF3378"/>
    <w:rsid w:val="00CF42FC"/>
    <w:rsid w:val="00D10495"/>
    <w:rsid w:val="00D10571"/>
    <w:rsid w:val="00D15B1F"/>
    <w:rsid w:val="00D22DD5"/>
    <w:rsid w:val="00D23799"/>
    <w:rsid w:val="00D35CF7"/>
    <w:rsid w:val="00D460C3"/>
    <w:rsid w:val="00D7501E"/>
    <w:rsid w:val="00D83DD2"/>
    <w:rsid w:val="00DB2AC3"/>
    <w:rsid w:val="00DC030D"/>
    <w:rsid w:val="00DC43DD"/>
    <w:rsid w:val="00DC732A"/>
    <w:rsid w:val="00DD4C44"/>
    <w:rsid w:val="00DF3E36"/>
    <w:rsid w:val="00DF7FD5"/>
    <w:rsid w:val="00E00917"/>
    <w:rsid w:val="00E22155"/>
    <w:rsid w:val="00E35F98"/>
    <w:rsid w:val="00E51210"/>
    <w:rsid w:val="00E53FA7"/>
    <w:rsid w:val="00E81ECE"/>
    <w:rsid w:val="00EA4B29"/>
    <w:rsid w:val="00EA51D9"/>
    <w:rsid w:val="00EC17ED"/>
    <w:rsid w:val="00EC2934"/>
    <w:rsid w:val="00F00D1E"/>
    <w:rsid w:val="00F11138"/>
    <w:rsid w:val="00F16791"/>
    <w:rsid w:val="00F222E0"/>
    <w:rsid w:val="00F27DE8"/>
    <w:rsid w:val="00F45AC3"/>
    <w:rsid w:val="00F5585C"/>
    <w:rsid w:val="00F721AB"/>
    <w:rsid w:val="00F80ECC"/>
    <w:rsid w:val="00F90548"/>
    <w:rsid w:val="00F92063"/>
    <w:rsid w:val="00FB479C"/>
    <w:rsid w:val="00FB5361"/>
    <w:rsid w:val="00FC5F39"/>
    <w:rsid w:val="00FC6B6B"/>
    <w:rsid w:val="00FD0597"/>
    <w:rsid w:val="00FE73E9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A26945"/>
  <w15:chartTrackingRefBased/>
  <w15:docId w15:val="{CE4CC3DD-5D24-4BB7-AD6D-6A9F0A1D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7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,lp1"/>
    <w:basedOn w:val="Normal"/>
    <w:link w:val="ParagraphedelisteCar"/>
    <w:uiPriority w:val="34"/>
    <w:qFormat/>
    <w:rsid w:val="007039C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B1A3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B1A34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80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0ECC"/>
  </w:style>
  <w:style w:type="paragraph" w:styleId="Pieddepage">
    <w:name w:val="footer"/>
    <w:basedOn w:val="Normal"/>
    <w:link w:val="PieddepageCar"/>
    <w:uiPriority w:val="99"/>
    <w:unhideWhenUsed/>
    <w:rsid w:val="00F80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0ECC"/>
  </w:style>
  <w:style w:type="character" w:styleId="Marquedecommentaire">
    <w:name w:val="annotation reference"/>
    <w:basedOn w:val="Policepardfaut"/>
    <w:uiPriority w:val="99"/>
    <w:semiHidden/>
    <w:unhideWhenUsed/>
    <w:rsid w:val="00FD05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05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05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0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059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597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A83496"/>
    <w:rPr>
      <w:b/>
      <w:bCs/>
      <w:i w:val="0"/>
      <w:iCs w:val="0"/>
    </w:rPr>
  </w:style>
  <w:style w:type="table" w:styleId="Grilledutableau">
    <w:name w:val="Table Grid"/>
    <w:basedOn w:val="TableauNormal"/>
    <w:uiPriority w:val="39"/>
    <w:rsid w:val="006E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auGrille4-Accentuation6">
    <w:name w:val="Grid Table 4 Accent 6"/>
    <w:basedOn w:val="TableauNormal"/>
    <w:uiPriority w:val="49"/>
    <w:rsid w:val="001A210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CM1">
    <w:name w:val="CM1"/>
    <w:basedOn w:val="Normal"/>
    <w:next w:val="Normal"/>
    <w:uiPriority w:val="99"/>
    <w:rsid w:val="0061262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61262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DD4C4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character" w:customStyle="1" w:styleId="ParagraphedelisteCar">
    <w:name w:val="Paragraphe de liste Car"/>
    <w:aliases w:val="List Paragraph compact Car,Normal bullet 2 Car,Paragraphe de liste 2 Car,Reference list Car,Bullet list Car,Numbered List Car,List Paragraph1 Car,1st level - Bullet List Paragraph Car,Lettre d'introduction Car,Paragraph Car,L Car"/>
    <w:link w:val="Paragraphedeliste"/>
    <w:uiPriority w:val="34"/>
    <w:qFormat/>
    <w:locked/>
    <w:rsid w:val="00BE4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1447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Rémi VALYNSEELE</dc:creator>
  <cp:keywords/>
  <dc:description/>
  <cp:lastModifiedBy>Margot MOLENDA-PRUVOST</cp:lastModifiedBy>
  <cp:revision>18</cp:revision>
  <cp:lastPrinted>2023-05-25T10:11:00Z</cp:lastPrinted>
  <dcterms:created xsi:type="dcterms:W3CDTF">2023-06-06T15:34:00Z</dcterms:created>
  <dcterms:modified xsi:type="dcterms:W3CDTF">2023-06-09T09:43:00Z</dcterms:modified>
</cp:coreProperties>
</file>