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Pr="00FA424F" w:rsidRDefault="003C72EC" w:rsidP="006F0DFB">
      <w:pPr>
        <w:tabs>
          <w:tab w:val="left" w:pos="1276"/>
          <w:tab w:val="center" w:pos="4762"/>
        </w:tabs>
        <w:spacing w:after="0"/>
        <w:rPr>
          <w:rFonts w:ascii="Arial" w:hAnsi="Arial" w:cs="Arial"/>
          <w:b/>
          <w:bCs/>
          <w:color w:val="000000" w:themeColor="text1"/>
          <w:sz w:val="18"/>
          <w:szCs w:val="18"/>
        </w:rPr>
      </w:pPr>
    </w:p>
    <w:p w14:paraId="1632CE00" w14:textId="7A54B72A" w:rsidR="003C72EC" w:rsidRPr="00FA424F" w:rsidRDefault="003C72EC" w:rsidP="00DD1E19">
      <w:pPr>
        <w:tabs>
          <w:tab w:val="left" w:pos="1276"/>
          <w:tab w:val="center" w:pos="4762"/>
        </w:tabs>
        <w:spacing w:after="0"/>
        <w:jc w:val="center"/>
        <w:rPr>
          <w:rFonts w:ascii="Arial" w:hAnsi="Arial" w:cs="Arial"/>
          <w:b/>
          <w:bCs/>
          <w:i/>
          <w:color w:val="000000" w:themeColor="text1"/>
          <w:sz w:val="18"/>
          <w:szCs w:val="18"/>
          <w:lang w:val="en-GB"/>
        </w:rPr>
      </w:pPr>
      <w:r w:rsidRPr="00FA424F">
        <w:rPr>
          <w:rFonts w:ascii="Arial" w:hAnsi="Arial" w:cs="Arial"/>
          <w:b/>
          <w:bCs/>
          <w:i/>
          <w:color w:val="000000" w:themeColor="text1"/>
          <w:sz w:val="18"/>
          <w:szCs w:val="18"/>
          <w:lang w:val="en-GB"/>
        </w:rPr>
        <w:t>PROGRAMME REGIONAL FEDER</w:t>
      </w:r>
      <w:r w:rsidR="006A6C42" w:rsidRPr="00FA424F">
        <w:rPr>
          <w:rFonts w:ascii="Arial" w:hAnsi="Arial" w:cs="Arial"/>
          <w:b/>
          <w:bCs/>
          <w:i/>
          <w:color w:val="000000" w:themeColor="text1"/>
          <w:sz w:val="18"/>
          <w:szCs w:val="18"/>
          <w:lang w:val="en-GB"/>
        </w:rPr>
        <w:t xml:space="preserve"> </w:t>
      </w:r>
      <w:r w:rsidRPr="00FA424F">
        <w:rPr>
          <w:rFonts w:ascii="Arial" w:hAnsi="Arial" w:cs="Arial"/>
          <w:b/>
          <w:bCs/>
          <w:i/>
          <w:color w:val="000000" w:themeColor="text1"/>
          <w:sz w:val="18"/>
          <w:szCs w:val="18"/>
          <w:lang w:val="en-GB"/>
        </w:rPr>
        <w:t>/</w:t>
      </w:r>
      <w:r w:rsidR="006A6C42" w:rsidRPr="00FA424F">
        <w:rPr>
          <w:rFonts w:ascii="Arial" w:hAnsi="Arial" w:cs="Arial"/>
          <w:b/>
          <w:bCs/>
          <w:i/>
          <w:color w:val="000000" w:themeColor="text1"/>
          <w:sz w:val="18"/>
          <w:szCs w:val="18"/>
          <w:lang w:val="en-GB"/>
        </w:rPr>
        <w:t xml:space="preserve"> </w:t>
      </w:r>
      <w:r w:rsidRPr="00FA424F">
        <w:rPr>
          <w:rFonts w:ascii="Arial" w:hAnsi="Arial" w:cs="Arial"/>
          <w:b/>
          <w:bCs/>
          <w:i/>
          <w:color w:val="000000" w:themeColor="text1"/>
          <w:sz w:val="18"/>
          <w:szCs w:val="18"/>
          <w:lang w:val="en-GB"/>
        </w:rPr>
        <w:t>FSE+</w:t>
      </w:r>
      <w:r w:rsidR="006A6C42" w:rsidRPr="00FA424F">
        <w:rPr>
          <w:rFonts w:ascii="Arial" w:hAnsi="Arial" w:cs="Arial"/>
          <w:b/>
          <w:bCs/>
          <w:i/>
          <w:color w:val="000000" w:themeColor="text1"/>
          <w:sz w:val="18"/>
          <w:szCs w:val="18"/>
          <w:lang w:val="en-GB"/>
        </w:rPr>
        <w:t xml:space="preserve"> </w:t>
      </w:r>
      <w:r w:rsidRPr="00FA424F">
        <w:rPr>
          <w:rFonts w:ascii="Arial" w:hAnsi="Arial" w:cs="Arial"/>
          <w:b/>
          <w:bCs/>
          <w:i/>
          <w:color w:val="000000" w:themeColor="text1"/>
          <w:sz w:val="18"/>
          <w:szCs w:val="18"/>
          <w:lang w:val="en-GB"/>
        </w:rPr>
        <w:t>/</w:t>
      </w:r>
      <w:r w:rsidR="006A6C42" w:rsidRPr="00FA424F">
        <w:rPr>
          <w:rFonts w:ascii="Arial" w:hAnsi="Arial" w:cs="Arial"/>
          <w:b/>
          <w:bCs/>
          <w:i/>
          <w:color w:val="000000" w:themeColor="text1"/>
          <w:sz w:val="18"/>
          <w:szCs w:val="18"/>
          <w:lang w:val="en-GB"/>
        </w:rPr>
        <w:t xml:space="preserve"> </w:t>
      </w:r>
      <w:r w:rsidRPr="00FA424F">
        <w:rPr>
          <w:rFonts w:ascii="Arial" w:hAnsi="Arial" w:cs="Arial"/>
          <w:b/>
          <w:bCs/>
          <w:i/>
          <w:color w:val="000000" w:themeColor="text1"/>
          <w:sz w:val="18"/>
          <w:szCs w:val="18"/>
          <w:lang w:val="en-GB"/>
        </w:rPr>
        <w:t>FTJ 2021-2027</w:t>
      </w:r>
    </w:p>
    <w:p w14:paraId="3615A1FA" w14:textId="1DCDA137" w:rsidR="003C72EC" w:rsidRDefault="003C72EC" w:rsidP="00DD1E19">
      <w:pPr>
        <w:tabs>
          <w:tab w:val="left" w:pos="1276"/>
          <w:tab w:val="center" w:pos="4762"/>
        </w:tabs>
        <w:spacing w:after="0"/>
        <w:jc w:val="center"/>
        <w:rPr>
          <w:rFonts w:ascii="Arial" w:hAnsi="Arial" w:cs="Arial"/>
          <w:b/>
          <w:bCs/>
          <w:i/>
          <w:color w:val="000000" w:themeColor="text1"/>
          <w:sz w:val="18"/>
          <w:szCs w:val="18"/>
        </w:rPr>
      </w:pPr>
      <w:r w:rsidRPr="00FA424F">
        <w:rPr>
          <w:rFonts w:ascii="Arial" w:hAnsi="Arial" w:cs="Arial"/>
          <w:b/>
          <w:bCs/>
          <w:i/>
          <w:color w:val="000000" w:themeColor="text1"/>
          <w:sz w:val="18"/>
          <w:szCs w:val="18"/>
        </w:rPr>
        <w:t>Région Hauts-de-</w:t>
      </w:r>
      <w:r w:rsidR="00FA424F">
        <w:rPr>
          <w:rFonts w:ascii="Arial" w:hAnsi="Arial" w:cs="Arial"/>
          <w:b/>
          <w:bCs/>
          <w:i/>
          <w:color w:val="000000" w:themeColor="text1"/>
          <w:sz w:val="18"/>
          <w:szCs w:val="18"/>
        </w:rPr>
        <w:t>France</w:t>
      </w:r>
    </w:p>
    <w:p w14:paraId="1064E926" w14:textId="77777777" w:rsidR="00FA424F" w:rsidRPr="00FA424F" w:rsidRDefault="00FA424F" w:rsidP="00DD1E19">
      <w:pPr>
        <w:tabs>
          <w:tab w:val="left" w:pos="1276"/>
          <w:tab w:val="center" w:pos="4762"/>
        </w:tabs>
        <w:spacing w:after="0"/>
        <w:jc w:val="center"/>
        <w:rPr>
          <w:rFonts w:ascii="Arial" w:hAnsi="Arial" w:cs="Arial"/>
          <w:b/>
          <w:bCs/>
          <w:i/>
          <w:color w:val="000000" w:themeColor="text1"/>
          <w:sz w:val="18"/>
          <w:szCs w:val="18"/>
        </w:rPr>
      </w:pPr>
    </w:p>
    <w:p w14:paraId="0333D1EA" w14:textId="57CDD530" w:rsidR="003C72EC" w:rsidRPr="00FA424F" w:rsidRDefault="003C72EC" w:rsidP="00DD1E19">
      <w:pPr>
        <w:tabs>
          <w:tab w:val="left" w:pos="1276"/>
          <w:tab w:val="center" w:pos="4762"/>
        </w:tabs>
        <w:spacing w:after="0"/>
        <w:jc w:val="center"/>
        <w:rPr>
          <w:rFonts w:ascii="Arial" w:hAnsi="Arial" w:cs="Arial"/>
          <w:b/>
          <w:bCs/>
          <w:i/>
          <w:color w:val="000000" w:themeColor="text1"/>
          <w:sz w:val="18"/>
          <w:szCs w:val="18"/>
        </w:rPr>
      </w:pPr>
      <w:r w:rsidRPr="00FA424F">
        <w:rPr>
          <w:rFonts w:ascii="Arial" w:hAnsi="Arial" w:cs="Arial"/>
          <w:b/>
          <w:bCs/>
          <w:i/>
          <w:color w:val="000000" w:themeColor="text1"/>
          <w:sz w:val="18"/>
          <w:szCs w:val="18"/>
        </w:rPr>
        <w:t xml:space="preserve">Proposition de modification du Document de </w:t>
      </w:r>
      <w:r w:rsidR="006A6C42" w:rsidRPr="00FA424F">
        <w:rPr>
          <w:rFonts w:ascii="Arial" w:hAnsi="Arial" w:cs="Arial"/>
          <w:b/>
          <w:bCs/>
          <w:i/>
          <w:color w:val="000000" w:themeColor="text1"/>
          <w:sz w:val="18"/>
          <w:szCs w:val="18"/>
        </w:rPr>
        <w:t xml:space="preserve">mise </w:t>
      </w:r>
      <w:r w:rsidRPr="00FA424F">
        <w:rPr>
          <w:rFonts w:ascii="Arial" w:hAnsi="Arial" w:cs="Arial"/>
          <w:b/>
          <w:bCs/>
          <w:i/>
          <w:color w:val="000000" w:themeColor="text1"/>
          <w:sz w:val="18"/>
          <w:szCs w:val="18"/>
        </w:rPr>
        <w:t xml:space="preserve">en </w:t>
      </w:r>
      <w:r w:rsidR="006A6C42" w:rsidRPr="00FA424F">
        <w:rPr>
          <w:rFonts w:ascii="Arial" w:hAnsi="Arial" w:cs="Arial"/>
          <w:b/>
          <w:bCs/>
          <w:i/>
          <w:color w:val="000000" w:themeColor="text1"/>
          <w:sz w:val="18"/>
          <w:szCs w:val="18"/>
        </w:rPr>
        <w:t xml:space="preserve">œuvre </w:t>
      </w:r>
      <w:r w:rsidRPr="00FA424F">
        <w:rPr>
          <w:rFonts w:ascii="Arial" w:hAnsi="Arial" w:cs="Arial"/>
          <w:b/>
          <w:bCs/>
          <w:i/>
          <w:color w:val="000000" w:themeColor="text1"/>
          <w:sz w:val="18"/>
          <w:szCs w:val="18"/>
        </w:rPr>
        <w:t xml:space="preserve">(DOMO) </w:t>
      </w:r>
      <w:r w:rsidR="006A6C42" w:rsidRPr="00FA424F">
        <w:rPr>
          <w:rFonts w:ascii="Arial" w:hAnsi="Arial" w:cs="Arial"/>
          <w:b/>
          <w:bCs/>
          <w:i/>
          <w:color w:val="000000" w:themeColor="text1"/>
          <w:sz w:val="18"/>
          <w:szCs w:val="18"/>
        </w:rPr>
        <w:t>au Comité de suivi du 10 juillet 2023</w:t>
      </w:r>
    </w:p>
    <w:p w14:paraId="4B4264EA" w14:textId="41ED07A5" w:rsidR="003C72EC" w:rsidRPr="00FA424F" w:rsidRDefault="003C72EC" w:rsidP="00DD1E19">
      <w:pPr>
        <w:tabs>
          <w:tab w:val="left" w:pos="1276"/>
          <w:tab w:val="center" w:pos="4762"/>
        </w:tabs>
        <w:spacing w:after="0"/>
        <w:rPr>
          <w:rFonts w:ascii="Arial" w:hAnsi="Arial" w:cs="Arial"/>
          <w:b/>
          <w:bCs/>
          <w:i/>
          <w:color w:val="000000" w:themeColor="text1"/>
          <w:sz w:val="18"/>
          <w:szCs w:val="18"/>
        </w:rPr>
      </w:pPr>
    </w:p>
    <w:p w14:paraId="650A4CB4" w14:textId="5A7964B5" w:rsidR="003C72EC" w:rsidRPr="00FA424F" w:rsidRDefault="003C72EC" w:rsidP="00DD1E19">
      <w:pPr>
        <w:tabs>
          <w:tab w:val="left" w:pos="1276"/>
          <w:tab w:val="center" w:pos="4762"/>
        </w:tabs>
        <w:spacing w:after="0"/>
        <w:jc w:val="both"/>
        <w:rPr>
          <w:rFonts w:ascii="Arial" w:hAnsi="Arial" w:cs="Arial"/>
          <w:b/>
          <w:bCs/>
          <w:i/>
          <w:color w:val="000000" w:themeColor="text1"/>
          <w:sz w:val="18"/>
          <w:szCs w:val="18"/>
        </w:rPr>
      </w:pPr>
      <w:r w:rsidRPr="00FA424F">
        <w:rPr>
          <w:rFonts w:ascii="Arial" w:hAnsi="Arial" w:cs="Arial"/>
          <w:b/>
          <w:bCs/>
          <w:i/>
          <w:color w:val="000000" w:themeColor="text1"/>
          <w:sz w:val="18"/>
          <w:szCs w:val="18"/>
        </w:rPr>
        <w:t xml:space="preserve">Objectif stratégique : </w:t>
      </w:r>
      <w:r w:rsidR="00CE3768" w:rsidRPr="00FA424F">
        <w:rPr>
          <w:rFonts w:ascii="Arial" w:hAnsi="Arial" w:cs="Arial"/>
          <w:b/>
          <w:bCs/>
          <w:i/>
          <w:color w:val="0070C0"/>
          <w:sz w:val="18"/>
          <w:szCs w:val="18"/>
        </w:rPr>
        <w:t>4 - Une Europe plus sociale et inclusive mettant en œuvre le Socle européen des droits sociaux</w:t>
      </w:r>
    </w:p>
    <w:p w14:paraId="10BAAAEE" w14:textId="77777777" w:rsidR="00DD1E19" w:rsidRPr="00FA424F" w:rsidRDefault="00DD1E19" w:rsidP="00DD1E19">
      <w:pPr>
        <w:tabs>
          <w:tab w:val="left" w:pos="1276"/>
          <w:tab w:val="center" w:pos="4762"/>
        </w:tabs>
        <w:spacing w:after="0"/>
        <w:jc w:val="both"/>
        <w:rPr>
          <w:rFonts w:ascii="Arial" w:hAnsi="Arial" w:cs="Arial"/>
          <w:b/>
          <w:bCs/>
          <w:i/>
          <w:color w:val="000000" w:themeColor="text1"/>
          <w:sz w:val="18"/>
          <w:szCs w:val="18"/>
        </w:rPr>
      </w:pPr>
    </w:p>
    <w:p w14:paraId="1A1BF2F4" w14:textId="090E9D71" w:rsidR="00CE3768" w:rsidRPr="00FA424F" w:rsidRDefault="003C72EC" w:rsidP="00DD1E19">
      <w:pPr>
        <w:tabs>
          <w:tab w:val="left" w:pos="1276"/>
          <w:tab w:val="center" w:pos="4762"/>
        </w:tabs>
        <w:spacing w:after="0"/>
        <w:jc w:val="both"/>
        <w:rPr>
          <w:rFonts w:ascii="Arial" w:hAnsi="Arial" w:cs="Arial"/>
          <w:b/>
          <w:bCs/>
          <w:i/>
          <w:color w:val="0070C0"/>
          <w:sz w:val="18"/>
          <w:szCs w:val="18"/>
        </w:rPr>
      </w:pPr>
      <w:r w:rsidRPr="00FA424F">
        <w:rPr>
          <w:rFonts w:ascii="Arial" w:hAnsi="Arial" w:cs="Arial"/>
          <w:b/>
          <w:bCs/>
          <w:i/>
          <w:color w:val="000000" w:themeColor="text1"/>
          <w:sz w:val="18"/>
          <w:szCs w:val="18"/>
        </w:rPr>
        <w:t xml:space="preserve">Priorité : </w:t>
      </w:r>
      <w:r w:rsidR="00CE3768" w:rsidRPr="00FA424F">
        <w:rPr>
          <w:rFonts w:ascii="Arial" w:hAnsi="Arial" w:cs="Arial"/>
          <w:b/>
          <w:bCs/>
          <w:i/>
          <w:color w:val="0070C0"/>
          <w:sz w:val="18"/>
          <w:szCs w:val="18"/>
        </w:rPr>
        <w:t>11 - Formation professionnelle en réponse aux besoins en compétences</w:t>
      </w:r>
    </w:p>
    <w:p w14:paraId="6B0C73E3" w14:textId="77777777" w:rsidR="00DD1E19" w:rsidRPr="00FA424F" w:rsidRDefault="00DD1E19" w:rsidP="00DD1E19">
      <w:pPr>
        <w:tabs>
          <w:tab w:val="left" w:pos="1276"/>
          <w:tab w:val="center" w:pos="4762"/>
        </w:tabs>
        <w:spacing w:after="0"/>
        <w:jc w:val="both"/>
        <w:rPr>
          <w:rFonts w:ascii="Arial" w:hAnsi="Arial" w:cs="Arial"/>
          <w:b/>
          <w:bCs/>
          <w:i/>
          <w:color w:val="000000" w:themeColor="text1"/>
          <w:sz w:val="18"/>
          <w:szCs w:val="18"/>
        </w:rPr>
      </w:pPr>
    </w:p>
    <w:p w14:paraId="58C0424C" w14:textId="7778A986" w:rsidR="00CE3768" w:rsidRPr="00FA424F" w:rsidRDefault="003C72EC" w:rsidP="00DD1E19">
      <w:pPr>
        <w:tabs>
          <w:tab w:val="left" w:pos="1276"/>
          <w:tab w:val="center" w:pos="4762"/>
        </w:tabs>
        <w:spacing w:after="0"/>
        <w:jc w:val="both"/>
        <w:rPr>
          <w:rFonts w:ascii="Arial" w:hAnsi="Arial" w:cs="Arial"/>
          <w:b/>
          <w:bCs/>
          <w:i/>
          <w:color w:val="0070C0"/>
          <w:sz w:val="18"/>
          <w:szCs w:val="18"/>
        </w:rPr>
      </w:pPr>
      <w:r w:rsidRPr="00FA424F">
        <w:rPr>
          <w:rFonts w:ascii="Arial" w:hAnsi="Arial" w:cs="Arial"/>
          <w:b/>
          <w:bCs/>
          <w:i/>
          <w:color w:val="000000" w:themeColor="text1"/>
          <w:sz w:val="18"/>
          <w:szCs w:val="18"/>
        </w:rPr>
        <w:t xml:space="preserve">Objectif spécifique : </w:t>
      </w:r>
      <w:r w:rsidR="00CE3768" w:rsidRPr="00FA424F">
        <w:rPr>
          <w:rFonts w:ascii="Arial" w:hAnsi="Arial" w:cs="Arial"/>
          <w:b/>
          <w:bCs/>
          <w:i/>
          <w:color w:val="0070C0"/>
          <w:sz w:val="18"/>
          <w:szCs w:val="18"/>
        </w:rPr>
        <w:t>4.7 - Promouvoir l’apprentissage tout au long de la vie, notamment les possibilités de perfectionnement professionnel et de requalification flexibles pour tous en tenant compte des compétences numériques, mieux anticiper les changements et les nouvelles exigences en matière de compétences fondées sur les besoins du marché du travail, faciliter les transitions professionnelles et promouvoir la mobilité professionnelle</w:t>
      </w:r>
    </w:p>
    <w:p w14:paraId="3A0C83C5" w14:textId="77777777" w:rsidR="00DD1E19" w:rsidRPr="00FA424F" w:rsidRDefault="00DD1E19" w:rsidP="00DD1E19">
      <w:pPr>
        <w:tabs>
          <w:tab w:val="left" w:pos="1276"/>
          <w:tab w:val="center" w:pos="4762"/>
        </w:tabs>
        <w:spacing w:after="0"/>
        <w:jc w:val="both"/>
        <w:rPr>
          <w:rFonts w:ascii="Arial" w:hAnsi="Arial" w:cs="Arial"/>
          <w:b/>
          <w:bCs/>
          <w:i/>
          <w:color w:val="000000" w:themeColor="text1"/>
          <w:sz w:val="18"/>
          <w:szCs w:val="18"/>
        </w:rPr>
      </w:pPr>
    </w:p>
    <w:p w14:paraId="6D674E3C" w14:textId="2C6BAE5A" w:rsidR="003C72EC" w:rsidRPr="00FA424F" w:rsidRDefault="003C72EC" w:rsidP="00DD1E19">
      <w:pPr>
        <w:tabs>
          <w:tab w:val="left" w:pos="1276"/>
          <w:tab w:val="center" w:pos="4762"/>
        </w:tabs>
        <w:spacing w:after="0"/>
        <w:jc w:val="both"/>
        <w:rPr>
          <w:rFonts w:ascii="Arial" w:hAnsi="Arial" w:cs="Arial"/>
          <w:b/>
          <w:bCs/>
          <w:i/>
          <w:color w:val="0070C0"/>
          <w:sz w:val="18"/>
          <w:szCs w:val="18"/>
        </w:rPr>
      </w:pPr>
      <w:r w:rsidRPr="00FA424F">
        <w:rPr>
          <w:rFonts w:ascii="Arial" w:hAnsi="Arial" w:cs="Arial"/>
          <w:b/>
          <w:bCs/>
          <w:i/>
          <w:color w:val="000000" w:themeColor="text1"/>
          <w:sz w:val="18"/>
          <w:szCs w:val="18"/>
        </w:rPr>
        <w:t>Fiche-action concernée :</w:t>
      </w:r>
      <w:r w:rsidR="00CE3768" w:rsidRPr="00FA424F">
        <w:rPr>
          <w:rFonts w:ascii="Arial" w:hAnsi="Arial" w:cs="Arial"/>
        </w:rPr>
        <w:t xml:space="preserve"> </w:t>
      </w:r>
      <w:r w:rsidR="00CE3768" w:rsidRPr="00FA424F">
        <w:rPr>
          <w:rFonts w:ascii="Arial" w:hAnsi="Arial" w:cs="Arial"/>
          <w:b/>
          <w:bCs/>
          <w:i/>
          <w:color w:val="0070C0"/>
          <w:sz w:val="18"/>
          <w:szCs w:val="18"/>
        </w:rPr>
        <w:t>Augmenter le niveau de qualification et accroître l’employabilité des personnes en recherche d’emploi, en emploi précaire ou éloignées du marché du travail par la mise en œuvre d’une stratégie de formation professionnelle agile et adéquate aux besoins en compétences des entreprises et de l‘économie régionale</w:t>
      </w:r>
    </w:p>
    <w:p w14:paraId="28BA68BC" w14:textId="77777777" w:rsidR="00F44A42" w:rsidRPr="00FA424F" w:rsidRDefault="00F44A42" w:rsidP="00DD1E19">
      <w:pPr>
        <w:tabs>
          <w:tab w:val="left" w:pos="1276"/>
        </w:tabs>
        <w:spacing w:after="0"/>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5103"/>
      </w:tblGrid>
      <w:tr w:rsidR="003C72EC" w:rsidRPr="00FA424F" w14:paraId="3ADC493A" w14:textId="77777777" w:rsidTr="00276B67">
        <w:tc>
          <w:tcPr>
            <w:tcW w:w="4673" w:type="dxa"/>
          </w:tcPr>
          <w:p w14:paraId="10FD8682" w14:textId="77777777" w:rsidR="003C72EC" w:rsidRPr="00FA424F" w:rsidRDefault="003C72EC" w:rsidP="00DD1E19">
            <w:pPr>
              <w:tabs>
                <w:tab w:val="left" w:pos="1276"/>
                <w:tab w:val="center" w:pos="4762"/>
              </w:tabs>
              <w:spacing w:after="0"/>
              <w:jc w:val="center"/>
              <w:rPr>
                <w:rFonts w:ascii="Arial" w:hAnsi="Arial" w:cs="Arial"/>
                <w:b/>
                <w:bCs/>
                <w:i/>
                <w:color w:val="000000" w:themeColor="text1"/>
                <w:sz w:val="18"/>
                <w:szCs w:val="18"/>
              </w:rPr>
            </w:pPr>
            <w:r w:rsidRPr="00FA424F">
              <w:rPr>
                <w:rFonts w:ascii="Arial" w:hAnsi="Arial" w:cs="Arial"/>
                <w:b/>
                <w:bCs/>
                <w:i/>
                <w:color w:val="000000" w:themeColor="text1"/>
                <w:sz w:val="18"/>
                <w:szCs w:val="18"/>
              </w:rPr>
              <w:t>Rédaction initiale</w:t>
            </w:r>
          </w:p>
        </w:tc>
        <w:tc>
          <w:tcPr>
            <w:tcW w:w="5103" w:type="dxa"/>
          </w:tcPr>
          <w:p w14:paraId="691DE4B8" w14:textId="77777777" w:rsidR="003C72EC" w:rsidRPr="00FA424F" w:rsidRDefault="003C72EC" w:rsidP="00DD1E19">
            <w:pPr>
              <w:tabs>
                <w:tab w:val="left" w:pos="1276"/>
                <w:tab w:val="center" w:pos="4762"/>
              </w:tabs>
              <w:spacing w:after="0"/>
              <w:jc w:val="center"/>
              <w:rPr>
                <w:rFonts w:ascii="Arial" w:hAnsi="Arial" w:cs="Arial"/>
                <w:b/>
                <w:bCs/>
                <w:i/>
                <w:color w:val="000000" w:themeColor="text1"/>
                <w:sz w:val="18"/>
                <w:szCs w:val="18"/>
              </w:rPr>
            </w:pPr>
            <w:r w:rsidRPr="00FA424F">
              <w:rPr>
                <w:rFonts w:ascii="Arial" w:hAnsi="Arial" w:cs="Arial"/>
                <w:b/>
                <w:bCs/>
                <w:i/>
                <w:color w:val="000000" w:themeColor="text1"/>
                <w:sz w:val="18"/>
                <w:szCs w:val="18"/>
              </w:rPr>
              <w:t>Proposition de modification</w:t>
            </w:r>
          </w:p>
        </w:tc>
      </w:tr>
      <w:tr w:rsidR="003C72EC" w:rsidRPr="00FA424F" w14:paraId="5D9A1E2C" w14:textId="77777777" w:rsidTr="00276B67">
        <w:trPr>
          <w:trHeight w:val="7903"/>
        </w:trPr>
        <w:tc>
          <w:tcPr>
            <w:tcW w:w="4673" w:type="dxa"/>
          </w:tcPr>
          <w:p w14:paraId="4B7D08D5" w14:textId="77777777" w:rsidR="00CE3768" w:rsidRPr="00FA424F" w:rsidRDefault="00CE3768" w:rsidP="00DD1E19">
            <w:pPr>
              <w:spacing w:after="0"/>
              <w:contextualSpacing/>
              <w:rPr>
                <w:rFonts w:ascii="Arial" w:hAnsi="Arial" w:cs="Arial"/>
                <w:b/>
                <w:sz w:val="18"/>
                <w:szCs w:val="18"/>
              </w:rPr>
            </w:pPr>
            <w:r w:rsidRPr="00FA424F">
              <w:rPr>
                <w:rFonts w:ascii="Arial" w:hAnsi="Arial" w:cs="Arial"/>
                <w:b/>
                <w:sz w:val="18"/>
                <w:szCs w:val="18"/>
              </w:rPr>
              <w:t>OCS applicables :</w:t>
            </w:r>
          </w:p>
          <w:p w14:paraId="511077F5" w14:textId="77777777" w:rsidR="00F44A42" w:rsidRPr="00FA424F" w:rsidRDefault="00F44A42" w:rsidP="00DD1E19">
            <w:pPr>
              <w:spacing w:after="0" w:line="240" w:lineRule="auto"/>
              <w:contextualSpacing/>
              <w:rPr>
                <w:rFonts w:ascii="Arial" w:hAnsi="Arial" w:cs="Arial"/>
                <w:sz w:val="18"/>
                <w:szCs w:val="18"/>
              </w:rPr>
            </w:pPr>
          </w:p>
          <w:p w14:paraId="152B6ECA" w14:textId="3CBA45B1" w:rsidR="003C72EC" w:rsidRPr="00FA424F" w:rsidRDefault="00F44A42" w:rsidP="00276B67">
            <w:pPr>
              <w:spacing w:after="0" w:line="240" w:lineRule="auto"/>
              <w:contextualSpacing/>
              <w:jc w:val="both"/>
              <w:rPr>
                <w:rFonts w:ascii="Arial" w:hAnsi="Arial" w:cs="Arial"/>
                <w:sz w:val="18"/>
                <w:szCs w:val="18"/>
              </w:rPr>
            </w:pPr>
            <w:r w:rsidRPr="00FA424F">
              <w:rPr>
                <w:rFonts w:ascii="Arial" w:hAnsi="Arial" w:cs="Arial"/>
                <w:sz w:val="18"/>
                <w:szCs w:val="18"/>
              </w:rPr>
              <w:t xml:space="preserve">L’ensemble des dispositions forfaitaires et options de </w:t>
            </w:r>
            <w:r w:rsidR="00CE3768" w:rsidRPr="00FA424F">
              <w:rPr>
                <w:rFonts w:ascii="Arial" w:hAnsi="Arial" w:cs="Arial"/>
                <w:sz w:val="18"/>
                <w:szCs w:val="18"/>
              </w:rPr>
              <w:t>coûts simplifiés définis par l’autorité</w:t>
            </w:r>
            <w:r w:rsidRPr="00FA424F">
              <w:rPr>
                <w:rFonts w:ascii="Arial" w:hAnsi="Arial" w:cs="Arial"/>
                <w:sz w:val="18"/>
                <w:szCs w:val="18"/>
              </w:rPr>
              <w:t xml:space="preserve"> de gestion sont applicables.</w:t>
            </w:r>
          </w:p>
        </w:tc>
        <w:tc>
          <w:tcPr>
            <w:tcW w:w="5103" w:type="dxa"/>
          </w:tcPr>
          <w:p w14:paraId="445DED23" w14:textId="77777777" w:rsidR="00F44A42" w:rsidRPr="00FA424F" w:rsidRDefault="00F44A42" w:rsidP="00DD1E19">
            <w:pPr>
              <w:spacing w:after="0"/>
              <w:contextualSpacing/>
              <w:rPr>
                <w:rFonts w:ascii="Arial" w:hAnsi="Arial" w:cs="Arial"/>
                <w:b/>
                <w:sz w:val="18"/>
                <w:szCs w:val="18"/>
              </w:rPr>
            </w:pPr>
            <w:r w:rsidRPr="00FA424F">
              <w:rPr>
                <w:rFonts w:ascii="Arial" w:hAnsi="Arial" w:cs="Arial"/>
                <w:b/>
                <w:sz w:val="18"/>
                <w:szCs w:val="18"/>
              </w:rPr>
              <w:t>OCS applicables :</w:t>
            </w:r>
          </w:p>
          <w:p w14:paraId="613E7871" w14:textId="77777777" w:rsidR="00CE3768" w:rsidRPr="00FA424F" w:rsidRDefault="00CE3768" w:rsidP="00DD1E19">
            <w:pPr>
              <w:spacing w:after="0"/>
              <w:contextualSpacing/>
              <w:rPr>
                <w:rFonts w:ascii="Arial" w:hAnsi="Arial" w:cs="Arial"/>
                <w:b/>
                <w:sz w:val="18"/>
                <w:szCs w:val="18"/>
              </w:rPr>
            </w:pPr>
          </w:p>
          <w:p w14:paraId="7681C091" w14:textId="58551BCB" w:rsidR="00CE3768" w:rsidRPr="00FA424F" w:rsidRDefault="00CE3768" w:rsidP="00DD1E19">
            <w:pPr>
              <w:spacing w:after="0"/>
              <w:contextualSpacing/>
              <w:jc w:val="both"/>
              <w:rPr>
                <w:rFonts w:ascii="Arial" w:hAnsi="Arial" w:cs="Arial"/>
                <w:color w:val="0070C0"/>
                <w:sz w:val="18"/>
                <w:szCs w:val="18"/>
              </w:rPr>
            </w:pPr>
            <w:r w:rsidRPr="00FA424F">
              <w:rPr>
                <w:rFonts w:ascii="Arial" w:hAnsi="Arial" w:cs="Arial"/>
                <w:b/>
                <w:color w:val="0070C0"/>
                <w:sz w:val="18"/>
                <w:szCs w:val="18"/>
              </w:rPr>
              <w:t>Barèmes standards de coût unitaire</w:t>
            </w:r>
            <w:r w:rsidRPr="00FA424F">
              <w:rPr>
                <w:rFonts w:ascii="Arial" w:hAnsi="Arial" w:cs="Arial"/>
                <w:color w:val="0070C0"/>
                <w:sz w:val="18"/>
                <w:szCs w:val="18"/>
              </w:rPr>
              <w:t xml:space="preserve"> (BSCU) </w:t>
            </w:r>
            <w:r w:rsidRPr="00FA424F">
              <w:rPr>
                <w:rFonts w:ascii="Arial" w:hAnsi="Arial" w:cs="Arial"/>
                <w:b/>
                <w:color w:val="0070C0"/>
                <w:sz w:val="18"/>
                <w:szCs w:val="18"/>
              </w:rPr>
              <w:t xml:space="preserve">en application des articles 51, 53 et 94 du </w:t>
            </w:r>
            <w:r w:rsidR="00697804" w:rsidRPr="00FA424F">
              <w:rPr>
                <w:rFonts w:ascii="Arial" w:hAnsi="Arial" w:cs="Arial"/>
                <w:b/>
                <w:color w:val="0070C0"/>
                <w:sz w:val="18"/>
                <w:szCs w:val="18"/>
              </w:rPr>
              <w:t>R</w:t>
            </w:r>
            <w:r w:rsidR="0034747A" w:rsidRPr="00FA424F">
              <w:rPr>
                <w:rFonts w:ascii="Arial" w:hAnsi="Arial" w:cs="Arial"/>
                <w:b/>
                <w:color w:val="0070C0"/>
                <w:sz w:val="18"/>
                <w:szCs w:val="18"/>
              </w:rPr>
              <w:t xml:space="preserve">èglement (UE) </w:t>
            </w:r>
            <w:r w:rsidRPr="00FA424F">
              <w:rPr>
                <w:rFonts w:ascii="Arial" w:hAnsi="Arial" w:cs="Arial"/>
                <w:b/>
                <w:color w:val="0070C0"/>
                <w:sz w:val="18"/>
                <w:szCs w:val="18"/>
              </w:rPr>
              <w:t>n° 2021</w:t>
            </w:r>
            <w:r w:rsidR="00FA424F" w:rsidRPr="00FA424F">
              <w:rPr>
                <w:rFonts w:ascii="Arial" w:hAnsi="Arial" w:cs="Arial"/>
                <w:b/>
                <w:color w:val="0070C0"/>
                <w:sz w:val="18"/>
                <w:szCs w:val="18"/>
              </w:rPr>
              <w:t xml:space="preserve"> </w:t>
            </w:r>
            <w:r w:rsidRPr="00FA424F">
              <w:rPr>
                <w:rFonts w:ascii="Arial" w:hAnsi="Arial" w:cs="Arial"/>
                <w:b/>
                <w:color w:val="0070C0"/>
                <w:sz w:val="18"/>
                <w:szCs w:val="18"/>
              </w:rPr>
              <w:t>/</w:t>
            </w:r>
            <w:r w:rsidR="00FA424F" w:rsidRPr="00FA424F">
              <w:rPr>
                <w:rFonts w:ascii="Arial" w:hAnsi="Arial" w:cs="Arial"/>
                <w:b/>
                <w:color w:val="0070C0"/>
                <w:sz w:val="18"/>
                <w:szCs w:val="18"/>
              </w:rPr>
              <w:t xml:space="preserve"> </w:t>
            </w:r>
            <w:r w:rsidRPr="00FA424F">
              <w:rPr>
                <w:rFonts w:ascii="Arial" w:hAnsi="Arial" w:cs="Arial"/>
                <w:b/>
                <w:color w:val="0070C0"/>
                <w:sz w:val="18"/>
                <w:szCs w:val="18"/>
              </w:rPr>
              <w:t xml:space="preserve">1060 </w:t>
            </w:r>
            <w:r w:rsidR="0034747A" w:rsidRPr="00FA424F">
              <w:rPr>
                <w:rFonts w:ascii="Arial" w:hAnsi="Arial" w:cs="Arial"/>
                <w:b/>
                <w:color w:val="0070C0"/>
                <w:sz w:val="18"/>
                <w:szCs w:val="18"/>
              </w:rPr>
              <w:t>du Parleme</w:t>
            </w:r>
            <w:r w:rsidR="00697804" w:rsidRPr="00FA424F">
              <w:rPr>
                <w:rFonts w:ascii="Arial" w:hAnsi="Arial" w:cs="Arial"/>
                <w:b/>
                <w:color w:val="0070C0"/>
                <w:sz w:val="18"/>
                <w:szCs w:val="18"/>
              </w:rPr>
              <w:t>n</w:t>
            </w:r>
            <w:r w:rsidR="0034747A" w:rsidRPr="00FA424F">
              <w:rPr>
                <w:rFonts w:ascii="Arial" w:hAnsi="Arial" w:cs="Arial"/>
                <w:b/>
                <w:color w:val="0070C0"/>
                <w:sz w:val="18"/>
                <w:szCs w:val="18"/>
              </w:rPr>
              <w:t xml:space="preserve">t européen et du Conseil </w:t>
            </w:r>
            <w:r w:rsidRPr="00FA424F">
              <w:rPr>
                <w:rFonts w:ascii="Arial" w:hAnsi="Arial" w:cs="Arial"/>
                <w:b/>
                <w:color w:val="0070C0"/>
                <w:sz w:val="18"/>
                <w:szCs w:val="18"/>
              </w:rPr>
              <w:t>du 24</w:t>
            </w:r>
            <w:r w:rsidR="0034747A" w:rsidRPr="00FA424F">
              <w:rPr>
                <w:rFonts w:ascii="Arial" w:hAnsi="Arial" w:cs="Arial"/>
                <w:b/>
                <w:color w:val="0070C0"/>
                <w:sz w:val="18"/>
                <w:szCs w:val="18"/>
              </w:rPr>
              <w:t xml:space="preserve"> juin </w:t>
            </w:r>
            <w:r w:rsidRPr="00FA424F">
              <w:rPr>
                <w:rFonts w:ascii="Arial" w:hAnsi="Arial" w:cs="Arial"/>
                <w:b/>
                <w:color w:val="0070C0"/>
                <w:sz w:val="18"/>
                <w:szCs w:val="18"/>
              </w:rPr>
              <w:t>2021</w:t>
            </w:r>
            <w:r w:rsidR="0034747A" w:rsidRPr="00FA424F">
              <w:rPr>
                <w:rFonts w:ascii="Arial" w:hAnsi="Arial" w:cs="Arial"/>
                <w:b/>
                <w:color w:val="0070C0"/>
                <w:sz w:val="18"/>
                <w:szCs w:val="18"/>
              </w:rPr>
              <w:t xml:space="preserve"> portant dispositions communes</w:t>
            </w:r>
            <w:r w:rsidRPr="00FA424F">
              <w:rPr>
                <w:rFonts w:ascii="Arial" w:hAnsi="Arial" w:cs="Arial"/>
                <w:color w:val="0070C0"/>
                <w:sz w:val="18"/>
                <w:szCs w:val="18"/>
              </w:rPr>
              <w:t xml:space="preserve">, avec évaluation </w:t>
            </w:r>
            <w:r w:rsidRPr="00FA424F">
              <w:rPr>
                <w:rFonts w:ascii="Arial" w:hAnsi="Arial" w:cs="Arial"/>
                <w:i/>
                <w:color w:val="0070C0"/>
                <w:sz w:val="18"/>
                <w:szCs w:val="18"/>
              </w:rPr>
              <w:t>ex ante</w:t>
            </w:r>
            <w:r w:rsidRPr="00FA424F">
              <w:rPr>
                <w:rFonts w:ascii="Arial" w:hAnsi="Arial" w:cs="Arial"/>
                <w:color w:val="0070C0"/>
                <w:sz w:val="18"/>
                <w:szCs w:val="18"/>
              </w:rPr>
              <w:t xml:space="preserve"> de la Commission interministérielle de coordination des contrôles (CICC) :</w:t>
            </w:r>
          </w:p>
          <w:p w14:paraId="29AD974F" w14:textId="77777777" w:rsidR="00DD1E19" w:rsidRPr="00FA424F" w:rsidRDefault="00DD1E19" w:rsidP="00DD1E19">
            <w:pPr>
              <w:spacing w:after="0"/>
              <w:contextualSpacing/>
              <w:jc w:val="both"/>
              <w:rPr>
                <w:rFonts w:ascii="Arial" w:hAnsi="Arial" w:cs="Arial"/>
                <w:color w:val="0070C0"/>
                <w:sz w:val="18"/>
                <w:szCs w:val="18"/>
              </w:rPr>
            </w:pPr>
          </w:p>
          <w:p w14:paraId="325BBA44" w14:textId="0E78824F" w:rsidR="00CE3768" w:rsidRPr="00FA424F" w:rsidRDefault="00CE3768" w:rsidP="00DD1E19">
            <w:pPr>
              <w:pStyle w:val="Paragraphedeliste"/>
              <w:numPr>
                <w:ilvl w:val="0"/>
                <w:numId w:val="26"/>
              </w:numPr>
              <w:spacing w:after="0" w:line="240" w:lineRule="auto"/>
              <w:jc w:val="both"/>
              <w:rPr>
                <w:rFonts w:ascii="Arial" w:hAnsi="Arial" w:cs="Arial"/>
                <w:color w:val="0070C0"/>
                <w:sz w:val="18"/>
                <w:szCs w:val="18"/>
              </w:rPr>
            </w:pPr>
            <w:r w:rsidRPr="00FA424F">
              <w:rPr>
                <w:rFonts w:ascii="Arial" w:hAnsi="Arial" w:cs="Arial"/>
                <w:color w:val="0070C0"/>
                <w:sz w:val="18"/>
                <w:szCs w:val="18"/>
              </w:rPr>
              <w:t>Coûts moyens homogènes déterminés à partir de données historiques, objectives et statistiques répondant aux exigences réglementaires de justesse, d’équité et de véracité</w:t>
            </w:r>
            <w:r w:rsidR="00FA424F" w:rsidRPr="00FA424F">
              <w:rPr>
                <w:rFonts w:ascii="Arial" w:hAnsi="Arial" w:cs="Arial"/>
                <w:color w:val="0070C0"/>
                <w:sz w:val="18"/>
                <w:szCs w:val="18"/>
              </w:rPr>
              <w:t>,</w:t>
            </w:r>
          </w:p>
          <w:p w14:paraId="04059281" w14:textId="6B9E20CC" w:rsidR="00CE3768" w:rsidRPr="00FA424F" w:rsidRDefault="00CE3768" w:rsidP="00DD1E19">
            <w:pPr>
              <w:pStyle w:val="Paragraphedeliste"/>
              <w:numPr>
                <w:ilvl w:val="0"/>
                <w:numId w:val="26"/>
              </w:numPr>
              <w:spacing w:after="0" w:line="240" w:lineRule="auto"/>
              <w:jc w:val="both"/>
              <w:rPr>
                <w:rFonts w:ascii="Arial" w:hAnsi="Arial" w:cs="Arial"/>
                <w:color w:val="0070C0"/>
                <w:sz w:val="18"/>
                <w:szCs w:val="18"/>
              </w:rPr>
            </w:pPr>
            <w:r w:rsidRPr="00FA424F">
              <w:rPr>
                <w:rFonts w:ascii="Arial" w:hAnsi="Arial" w:cs="Arial"/>
                <w:color w:val="0070C0"/>
                <w:sz w:val="18"/>
                <w:szCs w:val="18"/>
              </w:rPr>
              <w:t>Coûts majorés d’un taux d’échec (12,23 %) inhérent aux parcours ne p</w:t>
            </w:r>
            <w:r w:rsidR="00F44A42" w:rsidRPr="00FA424F">
              <w:rPr>
                <w:rFonts w:ascii="Arial" w:hAnsi="Arial" w:cs="Arial"/>
                <w:color w:val="0070C0"/>
                <w:sz w:val="18"/>
                <w:szCs w:val="18"/>
              </w:rPr>
              <w:t>ouvant être assujettis aux BSCU</w:t>
            </w:r>
            <w:r w:rsidR="00FA424F" w:rsidRPr="00FA424F">
              <w:rPr>
                <w:rFonts w:ascii="Arial" w:hAnsi="Arial" w:cs="Arial"/>
                <w:color w:val="0070C0"/>
                <w:sz w:val="18"/>
                <w:szCs w:val="18"/>
              </w:rPr>
              <w:t>,</w:t>
            </w:r>
          </w:p>
          <w:p w14:paraId="64D2237F" w14:textId="402BCB71" w:rsidR="00CE3768" w:rsidRPr="00FA424F" w:rsidRDefault="00CE3768" w:rsidP="00DD1E19">
            <w:pPr>
              <w:pStyle w:val="Paragraphedeliste"/>
              <w:numPr>
                <w:ilvl w:val="0"/>
                <w:numId w:val="26"/>
              </w:numPr>
              <w:spacing w:after="0" w:line="240" w:lineRule="auto"/>
              <w:jc w:val="both"/>
              <w:rPr>
                <w:rFonts w:ascii="Arial" w:hAnsi="Arial" w:cs="Arial"/>
                <w:color w:val="0070C0"/>
                <w:sz w:val="18"/>
                <w:szCs w:val="18"/>
              </w:rPr>
            </w:pPr>
            <w:r w:rsidRPr="00FA424F">
              <w:rPr>
                <w:rFonts w:ascii="Arial" w:hAnsi="Arial" w:cs="Arial"/>
                <w:color w:val="0070C0"/>
                <w:sz w:val="18"/>
                <w:szCs w:val="18"/>
              </w:rPr>
              <w:t>Coût</w:t>
            </w:r>
            <w:r w:rsidR="00F44A42" w:rsidRPr="00FA424F">
              <w:rPr>
                <w:rFonts w:ascii="Arial" w:hAnsi="Arial" w:cs="Arial"/>
                <w:color w:val="0070C0"/>
                <w:sz w:val="18"/>
                <w:szCs w:val="18"/>
              </w:rPr>
              <w:t>s</w:t>
            </w:r>
            <w:r w:rsidRPr="00FA424F">
              <w:rPr>
                <w:rFonts w:ascii="Arial" w:hAnsi="Arial" w:cs="Arial"/>
                <w:color w:val="0070C0"/>
                <w:sz w:val="18"/>
                <w:szCs w:val="18"/>
              </w:rPr>
              <w:t xml:space="preserve"> assujettis aux modalités d’adaptation des montants prévues à l’item 2 de l'annexe IX du </w:t>
            </w:r>
            <w:r w:rsidR="00697804" w:rsidRPr="00FA424F">
              <w:rPr>
                <w:rFonts w:ascii="Arial" w:hAnsi="Arial" w:cs="Arial"/>
                <w:color w:val="0070C0"/>
                <w:sz w:val="18"/>
                <w:szCs w:val="18"/>
              </w:rPr>
              <w:t>R</w:t>
            </w:r>
            <w:r w:rsidR="0034747A" w:rsidRPr="00FA424F">
              <w:rPr>
                <w:rFonts w:ascii="Arial" w:hAnsi="Arial" w:cs="Arial"/>
                <w:color w:val="0070C0"/>
                <w:sz w:val="18"/>
                <w:szCs w:val="18"/>
              </w:rPr>
              <w:t xml:space="preserve">èglement </w:t>
            </w:r>
            <w:r w:rsidRPr="00FA424F">
              <w:rPr>
                <w:rFonts w:ascii="Arial" w:hAnsi="Arial" w:cs="Arial"/>
                <w:color w:val="0070C0"/>
                <w:sz w:val="18"/>
                <w:szCs w:val="18"/>
              </w:rPr>
              <w:t xml:space="preserve">délégué (UE) </w:t>
            </w:r>
            <w:r w:rsidR="0034747A" w:rsidRPr="00FA424F">
              <w:rPr>
                <w:rFonts w:ascii="Arial" w:hAnsi="Arial" w:cs="Arial"/>
                <w:color w:val="0070C0"/>
                <w:sz w:val="18"/>
                <w:szCs w:val="18"/>
              </w:rPr>
              <w:t xml:space="preserve">n° 2021 / 702 </w:t>
            </w:r>
            <w:r w:rsidRPr="00FA424F">
              <w:rPr>
                <w:rFonts w:ascii="Arial" w:hAnsi="Arial" w:cs="Arial"/>
                <w:color w:val="0070C0"/>
                <w:sz w:val="18"/>
                <w:szCs w:val="18"/>
              </w:rPr>
              <w:t>de la Commission du 10</w:t>
            </w:r>
            <w:r w:rsidR="0034747A" w:rsidRPr="00FA424F">
              <w:rPr>
                <w:rFonts w:ascii="Arial" w:hAnsi="Arial" w:cs="Arial"/>
                <w:color w:val="0070C0"/>
                <w:sz w:val="18"/>
                <w:szCs w:val="18"/>
              </w:rPr>
              <w:t xml:space="preserve"> décembre </w:t>
            </w:r>
            <w:r w:rsidRPr="00FA424F">
              <w:rPr>
                <w:rFonts w:ascii="Arial" w:hAnsi="Arial" w:cs="Arial"/>
                <w:color w:val="0070C0"/>
                <w:sz w:val="18"/>
                <w:szCs w:val="18"/>
              </w:rPr>
              <w:t>2020</w:t>
            </w:r>
            <w:r w:rsidR="00FA424F" w:rsidRPr="00FA424F">
              <w:rPr>
                <w:rFonts w:ascii="Arial" w:hAnsi="Arial" w:cs="Arial"/>
                <w:color w:val="0070C0"/>
                <w:sz w:val="18"/>
                <w:szCs w:val="18"/>
              </w:rPr>
              <w:t>,</w:t>
            </w:r>
          </w:p>
          <w:p w14:paraId="6CA8A7A9" w14:textId="68C63C52" w:rsidR="00CE3768" w:rsidRPr="00FA424F" w:rsidRDefault="00CE3768" w:rsidP="00DD1E19">
            <w:pPr>
              <w:pStyle w:val="Paragraphedeliste"/>
              <w:numPr>
                <w:ilvl w:val="0"/>
                <w:numId w:val="26"/>
              </w:numPr>
              <w:spacing w:after="0" w:line="240" w:lineRule="auto"/>
              <w:jc w:val="both"/>
              <w:rPr>
                <w:rFonts w:ascii="Arial" w:hAnsi="Arial" w:cs="Arial"/>
                <w:color w:val="0070C0"/>
                <w:sz w:val="18"/>
                <w:szCs w:val="18"/>
              </w:rPr>
            </w:pPr>
            <w:r w:rsidRPr="00FA424F">
              <w:rPr>
                <w:rFonts w:ascii="Arial" w:hAnsi="Arial" w:cs="Arial"/>
                <w:color w:val="0070C0"/>
                <w:sz w:val="18"/>
                <w:szCs w:val="18"/>
              </w:rPr>
              <w:t xml:space="preserve">Indicateur et unité de mesure : </w:t>
            </w:r>
            <w:r w:rsidRPr="00FA424F">
              <w:rPr>
                <w:rFonts w:ascii="Arial" w:hAnsi="Arial" w:cs="Arial"/>
                <w:i/>
                <w:color w:val="0070C0"/>
                <w:sz w:val="18"/>
                <w:szCs w:val="18"/>
              </w:rPr>
              <w:t>« Nombre</w:t>
            </w:r>
            <w:r w:rsidR="00FA424F" w:rsidRPr="00FA424F">
              <w:rPr>
                <w:rFonts w:ascii="Arial" w:hAnsi="Arial" w:cs="Arial"/>
                <w:i/>
                <w:color w:val="0070C0"/>
                <w:sz w:val="18"/>
                <w:szCs w:val="18"/>
              </w:rPr>
              <w:t xml:space="preserve"> de p</w:t>
            </w:r>
            <w:r w:rsidRPr="00FA424F">
              <w:rPr>
                <w:rFonts w:ascii="Arial" w:hAnsi="Arial" w:cs="Arial"/>
                <w:i/>
                <w:color w:val="0070C0"/>
                <w:sz w:val="18"/>
                <w:szCs w:val="18"/>
              </w:rPr>
              <w:t xml:space="preserve">articipant ayant </w:t>
            </w:r>
            <w:r w:rsidR="00F44A42" w:rsidRPr="00FA424F">
              <w:rPr>
                <w:rFonts w:ascii="Arial" w:hAnsi="Arial" w:cs="Arial"/>
                <w:i/>
                <w:color w:val="0070C0"/>
                <w:sz w:val="18"/>
                <w:szCs w:val="18"/>
              </w:rPr>
              <w:t>achevé</w:t>
            </w:r>
            <w:r w:rsidRPr="00FA424F">
              <w:rPr>
                <w:rFonts w:ascii="Arial" w:hAnsi="Arial" w:cs="Arial"/>
                <w:i/>
                <w:color w:val="0070C0"/>
                <w:sz w:val="18"/>
                <w:szCs w:val="18"/>
              </w:rPr>
              <w:t xml:space="preserve"> son parcours de formation</w:t>
            </w:r>
            <w:r w:rsidR="00FA424F" w:rsidRPr="00FA424F">
              <w:rPr>
                <w:rFonts w:ascii="Arial" w:hAnsi="Arial" w:cs="Arial"/>
                <w:i/>
                <w:color w:val="0070C0"/>
                <w:sz w:val="18"/>
                <w:szCs w:val="18"/>
              </w:rPr>
              <w:t> »</w:t>
            </w:r>
            <w:r w:rsidRPr="00FA424F">
              <w:rPr>
                <w:rFonts w:ascii="Arial" w:hAnsi="Arial" w:cs="Arial"/>
                <w:color w:val="0070C0"/>
                <w:sz w:val="18"/>
                <w:szCs w:val="18"/>
              </w:rPr>
              <w:t xml:space="preserve">, avec une </w:t>
            </w:r>
            <w:r w:rsidR="00276B67" w:rsidRPr="00FA424F">
              <w:rPr>
                <w:rFonts w:ascii="Arial" w:hAnsi="Arial" w:cs="Arial"/>
                <w:color w:val="0070C0"/>
                <w:sz w:val="18"/>
                <w:szCs w:val="18"/>
              </w:rPr>
              <w:t xml:space="preserve">unique </w:t>
            </w:r>
            <w:r w:rsidRPr="00FA424F">
              <w:rPr>
                <w:rFonts w:ascii="Arial" w:hAnsi="Arial" w:cs="Arial"/>
                <w:color w:val="0070C0"/>
                <w:sz w:val="18"/>
                <w:szCs w:val="18"/>
              </w:rPr>
              <w:t xml:space="preserve">typologie </w:t>
            </w:r>
            <w:r w:rsidR="00276B67" w:rsidRPr="00FA424F">
              <w:rPr>
                <w:rFonts w:ascii="Arial" w:hAnsi="Arial" w:cs="Arial"/>
                <w:color w:val="0070C0"/>
                <w:sz w:val="18"/>
                <w:szCs w:val="18"/>
              </w:rPr>
              <w:t>de sortie positive</w:t>
            </w:r>
            <w:r w:rsidR="00FA424F" w:rsidRPr="00FA424F">
              <w:rPr>
                <w:rFonts w:ascii="Arial" w:hAnsi="Arial" w:cs="Arial"/>
                <w:color w:val="0070C0"/>
                <w:sz w:val="18"/>
                <w:szCs w:val="18"/>
              </w:rPr>
              <w:t>,</w:t>
            </w:r>
          </w:p>
          <w:p w14:paraId="0C786B52" w14:textId="75259C02" w:rsidR="00F44A42" w:rsidRPr="00FA424F" w:rsidRDefault="00F44A42" w:rsidP="00DD1E19">
            <w:pPr>
              <w:pStyle w:val="Paragraphedeliste"/>
              <w:numPr>
                <w:ilvl w:val="0"/>
                <w:numId w:val="26"/>
              </w:numPr>
              <w:spacing w:after="0" w:line="240" w:lineRule="auto"/>
              <w:jc w:val="both"/>
              <w:rPr>
                <w:rFonts w:ascii="Arial" w:hAnsi="Arial" w:cs="Arial"/>
                <w:color w:val="0070C0"/>
                <w:sz w:val="18"/>
                <w:szCs w:val="18"/>
              </w:rPr>
            </w:pPr>
            <w:r w:rsidRPr="00FA424F">
              <w:rPr>
                <w:rFonts w:ascii="Arial" w:hAnsi="Arial" w:cs="Arial"/>
                <w:color w:val="0070C0"/>
                <w:sz w:val="18"/>
                <w:szCs w:val="18"/>
              </w:rPr>
              <w:t xml:space="preserve">Justificatifs principaux de réalisation de l’unité de mesure : attestation de fin de formation et liste des participants par action générée </w:t>
            </w:r>
            <w:r w:rsidR="00276B67" w:rsidRPr="00FA424F">
              <w:rPr>
                <w:rFonts w:ascii="Arial" w:hAnsi="Arial" w:cs="Arial"/>
                <w:color w:val="0070C0"/>
                <w:sz w:val="18"/>
                <w:szCs w:val="18"/>
              </w:rPr>
              <w:t>dans</w:t>
            </w:r>
            <w:r w:rsidRPr="00FA424F">
              <w:rPr>
                <w:rFonts w:ascii="Arial" w:hAnsi="Arial" w:cs="Arial"/>
                <w:color w:val="0070C0"/>
                <w:sz w:val="18"/>
                <w:szCs w:val="18"/>
              </w:rPr>
              <w:t xml:space="preserve"> </w:t>
            </w:r>
            <w:r w:rsidR="00FA424F" w:rsidRPr="00FA424F">
              <w:rPr>
                <w:rFonts w:ascii="Arial" w:hAnsi="Arial" w:cs="Arial"/>
                <w:color w:val="0070C0"/>
                <w:sz w:val="18"/>
                <w:szCs w:val="18"/>
              </w:rPr>
              <w:t xml:space="preserve">l’Extranet </w:t>
            </w:r>
            <w:r w:rsidRPr="00FA424F">
              <w:rPr>
                <w:rFonts w:ascii="Arial" w:hAnsi="Arial" w:cs="Arial"/>
                <w:color w:val="0070C0"/>
                <w:sz w:val="18"/>
                <w:szCs w:val="18"/>
              </w:rPr>
              <w:t xml:space="preserve">de gestion sur la base des </w:t>
            </w:r>
            <w:r w:rsidR="00FA424F" w:rsidRPr="00FA424F">
              <w:rPr>
                <w:rFonts w:ascii="Arial" w:hAnsi="Arial" w:cs="Arial"/>
                <w:color w:val="0070C0"/>
                <w:sz w:val="18"/>
                <w:szCs w:val="18"/>
              </w:rPr>
              <w:t>télé déclarations</w:t>
            </w:r>
            <w:r w:rsidRPr="00FA424F">
              <w:rPr>
                <w:rFonts w:ascii="Arial" w:hAnsi="Arial" w:cs="Arial"/>
                <w:color w:val="0070C0"/>
                <w:sz w:val="18"/>
                <w:szCs w:val="18"/>
              </w:rPr>
              <w:t xml:space="preserve"> des organismes de formation</w:t>
            </w:r>
            <w:r w:rsidR="00FA424F" w:rsidRPr="00FA424F">
              <w:rPr>
                <w:rFonts w:ascii="Arial" w:hAnsi="Arial" w:cs="Arial"/>
                <w:color w:val="0070C0"/>
                <w:sz w:val="18"/>
                <w:szCs w:val="18"/>
              </w:rPr>
              <w:t>.</w:t>
            </w:r>
          </w:p>
          <w:p w14:paraId="5F67DF7F" w14:textId="77777777" w:rsidR="00F44A42" w:rsidRPr="00FA424F" w:rsidRDefault="00F44A42" w:rsidP="00DD1E19">
            <w:pPr>
              <w:tabs>
                <w:tab w:val="center" w:pos="0"/>
                <w:tab w:val="center" w:pos="350"/>
                <w:tab w:val="left" w:pos="676"/>
              </w:tabs>
              <w:spacing w:after="0"/>
              <w:ind w:right="3594"/>
              <w:rPr>
                <w:rFonts w:ascii="Arial" w:hAnsi="Arial" w:cs="Arial"/>
                <w:color w:val="0070C0"/>
                <w:sz w:val="18"/>
                <w:szCs w:val="18"/>
              </w:rPr>
            </w:pPr>
          </w:p>
          <w:p w14:paraId="774AA059" w14:textId="5635EE53" w:rsidR="00F44A42" w:rsidRPr="00FA424F" w:rsidRDefault="00DD1E19" w:rsidP="00DD1E19">
            <w:pPr>
              <w:spacing w:after="0"/>
              <w:contextualSpacing/>
              <w:jc w:val="both"/>
              <w:rPr>
                <w:rFonts w:ascii="Arial" w:hAnsi="Arial" w:cs="Arial"/>
                <w:color w:val="0070C0"/>
                <w:sz w:val="18"/>
                <w:szCs w:val="18"/>
              </w:rPr>
            </w:pPr>
            <w:r w:rsidRPr="00FA424F">
              <w:rPr>
                <w:rFonts w:ascii="Arial" w:hAnsi="Arial" w:cs="Arial"/>
                <w:color w:val="0070C0"/>
                <w:sz w:val="18"/>
                <w:szCs w:val="18"/>
                <w:u w:val="single"/>
              </w:rPr>
              <w:t>BSCU Formation professionnelle</w:t>
            </w:r>
            <w:r w:rsidRPr="00FA424F">
              <w:rPr>
                <w:rFonts w:ascii="Arial" w:hAnsi="Arial" w:cs="Arial"/>
                <w:color w:val="0070C0"/>
                <w:sz w:val="18"/>
                <w:szCs w:val="18"/>
              </w:rPr>
              <w:t xml:space="preserve"> (base 2021)</w:t>
            </w:r>
          </w:p>
          <w:p w14:paraId="35424B42" w14:textId="77777777" w:rsidR="00F44A42" w:rsidRPr="00FA424F" w:rsidRDefault="00F44A42" w:rsidP="00DD1E19">
            <w:pPr>
              <w:tabs>
                <w:tab w:val="center" w:pos="0"/>
                <w:tab w:val="center" w:pos="350"/>
                <w:tab w:val="left" w:pos="676"/>
              </w:tabs>
              <w:spacing w:after="0"/>
              <w:ind w:right="3594"/>
              <w:rPr>
                <w:rFonts w:ascii="Arial" w:hAnsi="Arial" w:cs="Arial"/>
                <w:sz w:val="18"/>
                <w:szCs w:val="18"/>
              </w:rPr>
            </w:pPr>
          </w:p>
          <w:p w14:paraId="780B1E66" w14:textId="484D1D33" w:rsidR="00F44A42" w:rsidRPr="00FA424F" w:rsidRDefault="00DD1E19" w:rsidP="00FA424F">
            <w:pPr>
              <w:tabs>
                <w:tab w:val="center" w:pos="0"/>
                <w:tab w:val="center" w:pos="350"/>
                <w:tab w:val="left" w:pos="676"/>
              </w:tabs>
              <w:spacing w:after="0"/>
              <w:ind w:right="3594"/>
              <w:rPr>
                <w:rFonts w:ascii="Arial" w:hAnsi="Arial" w:cs="Arial"/>
                <w:b/>
                <w:bCs/>
                <w:i/>
                <w:color w:val="000000" w:themeColor="text1"/>
                <w:sz w:val="18"/>
                <w:szCs w:val="18"/>
              </w:rPr>
            </w:pPr>
            <w:bookmarkStart w:id="0" w:name="_GoBack"/>
            <w:r w:rsidRPr="00FA424F">
              <w:rPr>
                <w:rFonts w:ascii="Arial" w:hAnsi="Arial" w:cs="Arial"/>
                <w:noProof/>
                <w:sz w:val="18"/>
                <w:szCs w:val="18"/>
                <w:lang w:eastAsia="fr-FR"/>
              </w:rPr>
              <w:drawing>
                <wp:inline distT="0" distB="0" distL="0" distR="0" wp14:anchorId="35FF9089" wp14:editId="7455A393">
                  <wp:extent cx="3061335" cy="15494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1335" cy="1549400"/>
                          </a:xfrm>
                          <a:prstGeom prst="rect">
                            <a:avLst/>
                          </a:prstGeom>
                        </pic:spPr>
                      </pic:pic>
                    </a:graphicData>
                  </a:graphic>
                </wp:inline>
              </w:drawing>
            </w:r>
            <w:bookmarkEnd w:id="0"/>
          </w:p>
        </w:tc>
      </w:tr>
    </w:tbl>
    <w:p w14:paraId="7E51F27D" w14:textId="77777777" w:rsidR="003C72EC" w:rsidRPr="00FA424F" w:rsidRDefault="003C72EC" w:rsidP="00DD1E19">
      <w:pPr>
        <w:tabs>
          <w:tab w:val="left" w:pos="1276"/>
          <w:tab w:val="center" w:pos="4762"/>
        </w:tabs>
        <w:spacing w:after="0"/>
        <w:jc w:val="both"/>
        <w:rPr>
          <w:rFonts w:ascii="Arial" w:hAnsi="Arial" w:cs="Arial"/>
          <w:b/>
          <w:bCs/>
          <w:i/>
          <w:color w:val="000000" w:themeColor="text1"/>
          <w:sz w:val="18"/>
          <w:szCs w:val="18"/>
        </w:rPr>
      </w:pPr>
      <w:r w:rsidRPr="00FA424F">
        <w:rPr>
          <w:rFonts w:ascii="Arial" w:hAnsi="Arial" w:cs="Arial"/>
          <w:b/>
          <w:bCs/>
          <w:i/>
          <w:color w:val="000000" w:themeColor="text1"/>
          <w:sz w:val="18"/>
          <w:szCs w:val="18"/>
          <w:u w:val="single"/>
        </w:rPr>
        <w:t>Commentaires et motivation</w:t>
      </w:r>
      <w:r w:rsidRPr="00FA424F">
        <w:rPr>
          <w:rFonts w:ascii="Arial" w:hAnsi="Arial" w:cs="Arial"/>
          <w:b/>
          <w:bCs/>
          <w:i/>
          <w:color w:val="000000" w:themeColor="text1"/>
          <w:sz w:val="18"/>
          <w:szCs w:val="18"/>
        </w:rPr>
        <w:t xml:space="preserve"> :  </w:t>
      </w:r>
    </w:p>
    <w:p w14:paraId="6C39AD84" w14:textId="3ECAE847" w:rsidR="00BF00F8" w:rsidRPr="00FA424F" w:rsidRDefault="00BF00F8" w:rsidP="00DD1E19">
      <w:pPr>
        <w:tabs>
          <w:tab w:val="left" w:pos="1276"/>
          <w:tab w:val="center" w:pos="4762"/>
        </w:tabs>
        <w:spacing w:after="0"/>
        <w:jc w:val="both"/>
        <w:rPr>
          <w:rFonts w:ascii="Arial" w:hAnsi="Arial" w:cs="Arial"/>
          <w:bCs/>
          <w:color w:val="000000" w:themeColor="text1"/>
          <w:sz w:val="18"/>
          <w:szCs w:val="18"/>
        </w:rPr>
      </w:pPr>
    </w:p>
    <w:p w14:paraId="23FCB9D3" w14:textId="1311B3AF" w:rsidR="00BF00F8" w:rsidRPr="00FA424F" w:rsidRDefault="00BF00F8" w:rsidP="00BF00F8">
      <w:pPr>
        <w:tabs>
          <w:tab w:val="left" w:pos="1276"/>
          <w:tab w:val="center" w:pos="4762"/>
        </w:tabs>
        <w:spacing w:after="0"/>
        <w:jc w:val="both"/>
        <w:rPr>
          <w:rFonts w:ascii="Arial" w:hAnsi="Arial" w:cs="Arial"/>
          <w:bCs/>
          <w:color w:val="0070C0"/>
          <w:sz w:val="18"/>
          <w:szCs w:val="18"/>
        </w:rPr>
      </w:pPr>
      <w:r w:rsidRPr="00FA424F">
        <w:rPr>
          <w:rFonts w:ascii="Arial" w:hAnsi="Arial" w:cs="Arial"/>
          <w:bCs/>
          <w:color w:val="0070C0"/>
          <w:sz w:val="18"/>
          <w:szCs w:val="18"/>
        </w:rPr>
        <w:t xml:space="preserve">Suite à l’évaluation </w:t>
      </w:r>
      <w:r w:rsidRPr="00FA424F">
        <w:rPr>
          <w:rFonts w:ascii="Arial" w:hAnsi="Arial" w:cs="Arial"/>
          <w:bCs/>
          <w:i/>
          <w:color w:val="0070C0"/>
          <w:sz w:val="18"/>
          <w:szCs w:val="18"/>
        </w:rPr>
        <w:t>ex ante</w:t>
      </w:r>
      <w:r w:rsidRPr="00FA424F">
        <w:rPr>
          <w:rFonts w:ascii="Arial" w:hAnsi="Arial" w:cs="Arial"/>
          <w:bCs/>
          <w:color w:val="0070C0"/>
          <w:sz w:val="18"/>
          <w:szCs w:val="18"/>
        </w:rPr>
        <w:t xml:space="preserve"> (EEA) favorable de la Commission interministérielle de coordination des contrôles (CICC), Autorité d’audit (AA) nationale (</w:t>
      </w:r>
      <w:r w:rsidR="006A6C42" w:rsidRPr="00FA424F">
        <w:rPr>
          <w:rFonts w:ascii="Arial" w:hAnsi="Arial" w:cs="Arial"/>
          <w:bCs/>
          <w:color w:val="0070C0"/>
          <w:sz w:val="18"/>
          <w:szCs w:val="18"/>
        </w:rPr>
        <w:t xml:space="preserve">courrier CICC n° UJ/2023/01/3923 du 25 janvier 2023 à l’attention de la Directrice générale des services, </w:t>
      </w:r>
      <w:r w:rsidRPr="00FA424F">
        <w:rPr>
          <w:rFonts w:ascii="Arial" w:hAnsi="Arial" w:cs="Arial"/>
          <w:bCs/>
          <w:color w:val="0070C0"/>
          <w:sz w:val="18"/>
          <w:szCs w:val="18"/>
        </w:rPr>
        <w:t>rapport du 26</w:t>
      </w:r>
      <w:r w:rsidR="006A6C42" w:rsidRPr="00FA424F">
        <w:rPr>
          <w:rFonts w:ascii="Arial" w:hAnsi="Arial" w:cs="Arial"/>
          <w:bCs/>
          <w:color w:val="0070C0"/>
          <w:sz w:val="18"/>
          <w:szCs w:val="18"/>
        </w:rPr>
        <w:t xml:space="preserve"> janvier </w:t>
      </w:r>
      <w:r w:rsidRPr="00FA424F">
        <w:rPr>
          <w:rFonts w:ascii="Arial" w:hAnsi="Arial" w:cs="Arial"/>
          <w:bCs/>
          <w:color w:val="0070C0"/>
          <w:sz w:val="18"/>
          <w:szCs w:val="18"/>
        </w:rPr>
        <w:t xml:space="preserve">2023), il est proposé la présente modification du </w:t>
      </w:r>
      <w:r w:rsidR="0034747A" w:rsidRPr="00FA424F">
        <w:rPr>
          <w:rFonts w:ascii="Arial" w:hAnsi="Arial" w:cs="Arial"/>
          <w:bCs/>
          <w:color w:val="0070C0"/>
          <w:sz w:val="18"/>
          <w:szCs w:val="18"/>
        </w:rPr>
        <w:t>Document de mise en œuvre</w:t>
      </w:r>
      <w:r w:rsidRPr="00FA424F">
        <w:rPr>
          <w:rFonts w:ascii="Arial" w:hAnsi="Arial" w:cs="Arial"/>
          <w:bCs/>
          <w:color w:val="0070C0"/>
          <w:sz w:val="18"/>
          <w:szCs w:val="18"/>
        </w:rPr>
        <w:t>.</w:t>
      </w:r>
    </w:p>
    <w:p w14:paraId="7E685F5B" w14:textId="77777777" w:rsidR="00BF00F8" w:rsidRPr="00FA424F" w:rsidRDefault="00BF00F8" w:rsidP="00DD1E19">
      <w:pPr>
        <w:tabs>
          <w:tab w:val="left" w:pos="1276"/>
          <w:tab w:val="center" w:pos="4762"/>
        </w:tabs>
        <w:spacing w:after="0"/>
        <w:jc w:val="both"/>
        <w:rPr>
          <w:rFonts w:ascii="Arial" w:hAnsi="Arial" w:cs="Arial"/>
          <w:bCs/>
          <w:color w:val="000000" w:themeColor="text1"/>
          <w:sz w:val="18"/>
          <w:szCs w:val="18"/>
        </w:rPr>
      </w:pPr>
    </w:p>
    <w:p w14:paraId="77D3EC71" w14:textId="185FA331" w:rsidR="00DD1E19" w:rsidRPr="00FA424F" w:rsidRDefault="00BF00F8" w:rsidP="00DD1E19">
      <w:pPr>
        <w:tabs>
          <w:tab w:val="left" w:pos="1276"/>
          <w:tab w:val="center" w:pos="4762"/>
        </w:tabs>
        <w:spacing w:after="0"/>
        <w:jc w:val="both"/>
        <w:rPr>
          <w:rFonts w:ascii="Arial" w:hAnsi="Arial" w:cs="Arial"/>
          <w:bCs/>
          <w:color w:val="0070C0"/>
          <w:sz w:val="18"/>
          <w:szCs w:val="18"/>
        </w:rPr>
      </w:pPr>
      <w:r w:rsidRPr="00FA424F">
        <w:rPr>
          <w:rFonts w:ascii="Arial" w:hAnsi="Arial" w:cs="Arial"/>
          <w:bCs/>
          <w:color w:val="0070C0"/>
          <w:sz w:val="18"/>
          <w:szCs w:val="18"/>
        </w:rPr>
        <w:t>Elle a pour finalité de simplifier</w:t>
      </w:r>
      <w:r w:rsidR="00DD1E19" w:rsidRPr="00FA424F">
        <w:rPr>
          <w:rFonts w:ascii="Arial" w:hAnsi="Arial" w:cs="Arial"/>
          <w:bCs/>
          <w:color w:val="0070C0"/>
          <w:sz w:val="18"/>
          <w:szCs w:val="18"/>
        </w:rPr>
        <w:t xml:space="preserve"> la gestion du FSE+ dans le cadre des marchés publics de formation professionnelle.</w:t>
      </w:r>
    </w:p>
    <w:p w14:paraId="0F55B52C" w14:textId="77777777" w:rsidR="00BF00F8" w:rsidRPr="00FA424F" w:rsidRDefault="00BF00F8" w:rsidP="00276B67">
      <w:pPr>
        <w:tabs>
          <w:tab w:val="left" w:pos="1276"/>
          <w:tab w:val="center" w:pos="4762"/>
        </w:tabs>
        <w:spacing w:after="0"/>
        <w:jc w:val="both"/>
        <w:rPr>
          <w:rFonts w:ascii="Arial" w:hAnsi="Arial" w:cs="Arial"/>
          <w:bCs/>
          <w:sz w:val="18"/>
          <w:szCs w:val="18"/>
        </w:rPr>
      </w:pPr>
    </w:p>
    <w:p w14:paraId="042BAFB4" w14:textId="12A60D24" w:rsidR="00276B67" w:rsidRPr="00FA424F" w:rsidRDefault="00BF00F8" w:rsidP="00276B67">
      <w:pPr>
        <w:tabs>
          <w:tab w:val="left" w:pos="1276"/>
          <w:tab w:val="center" w:pos="4762"/>
        </w:tabs>
        <w:spacing w:after="0"/>
        <w:jc w:val="both"/>
        <w:rPr>
          <w:rFonts w:ascii="Arial" w:hAnsi="Arial" w:cs="Arial"/>
          <w:bCs/>
          <w:color w:val="0070C0"/>
          <w:sz w:val="18"/>
          <w:szCs w:val="18"/>
        </w:rPr>
      </w:pPr>
      <w:r w:rsidRPr="00FA424F">
        <w:rPr>
          <w:rFonts w:ascii="Arial" w:hAnsi="Arial" w:cs="Arial"/>
          <w:bCs/>
          <w:color w:val="0070C0"/>
          <w:sz w:val="18"/>
          <w:szCs w:val="18"/>
        </w:rPr>
        <w:lastRenderedPageBreak/>
        <w:t>En effet, l</w:t>
      </w:r>
      <w:r w:rsidR="00DD1E19" w:rsidRPr="00FA424F">
        <w:rPr>
          <w:rFonts w:ascii="Arial" w:hAnsi="Arial" w:cs="Arial"/>
          <w:bCs/>
          <w:color w:val="0070C0"/>
          <w:sz w:val="18"/>
          <w:szCs w:val="18"/>
        </w:rPr>
        <w:t xml:space="preserve">’objectif est de remplacer les dépenses </w:t>
      </w:r>
      <w:r w:rsidR="006A6C42" w:rsidRPr="00FA424F">
        <w:rPr>
          <w:rFonts w:ascii="Arial" w:hAnsi="Arial" w:cs="Arial"/>
          <w:bCs/>
          <w:color w:val="0070C0"/>
          <w:sz w:val="18"/>
          <w:szCs w:val="18"/>
        </w:rPr>
        <w:t xml:space="preserve">réelles </w:t>
      </w:r>
      <w:r w:rsidR="00DD1E19" w:rsidRPr="00FA424F">
        <w:rPr>
          <w:rFonts w:ascii="Arial" w:hAnsi="Arial" w:cs="Arial"/>
          <w:bCs/>
          <w:color w:val="0070C0"/>
          <w:sz w:val="18"/>
          <w:szCs w:val="18"/>
        </w:rPr>
        <w:t>et leurs modalités de justification et de contrôle</w:t>
      </w:r>
      <w:r w:rsidR="00276B67" w:rsidRPr="00FA424F">
        <w:rPr>
          <w:rFonts w:ascii="Arial" w:hAnsi="Arial" w:cs="Arial"/>
          <w:bCs/>
          <w:color w:val="0070C0"/>
          <w:sz w:val="18"/>
          <w:szCs w:val="18"/>
        </w:rPr>
        <w:t xml:space="preserve"> (</w:t>
      </w:r>
      <w:r w:rsidR="00DD1E19" w:rsidRPr="00FA424F">
        <w:rPr>
          <w:rFonts w:ascii="Arial" w:hAnsi="Arial" w:cs="Arial"/>
          <w:bCs/>
          <w:color w:val="0070C0"/>
          <w:sz w:val="18"/>
          <w:szCs w:val="18"/>
        </w:rPr>
        <w:t>factur</w:t>
      </w:r>
      <w:r w:rsidR="006A6C42" w:rsidRPr="00FA424F">
        <w:rPr>
          <w:rFonts w:ascii="Arial" w:hAnsi="Arial" w:cs="Arial"/>
          <w:bCs/>
          <w:color w:val="0070C0"/>
          <w:sz w:val="18"/>
          <w:szCs w:val="18"/>
        </w:rPr>
        <w:t xml:space="preserve">es relatives aux avances, aux acomptes et aux soldes, </w:t>
      </w:r>
      <w:r w:rsidR="00276B67" w:rsidRPr="00FA424F">
        <w:rPr>
          <w:rFonts w:ascii="Arial" w:hAnsi="Arial" w:cs="Arial"/>
          <w:bCs/>
          <w:color w:val="0070C0"/>
          <w:sz w:val="18"/>
          <w:szCs w:val="18"/>
        </w:rPr>
        <w:t>état</w:t>
      </w:r>
      <w:r w:rsidR="006A6C42" w:rsidRPr="00FA424F">
        <w:rPr>
          <w:rFonts w:ascii="Arial" w:hAnsi="Arial" w:cs="Arial"/>
          <w:bCs/>
          <w:color w:val="0070C0"/>
          <w:sz w:val="18"/>
          <w:szCs w:val="18"/>
        </w:rPr>
        <w:t>s</w:t>
      </w:r>
      <w:r w:rsidR="00276B67" w:rsidRPr="00FA424F">
        <w:rPr>
          <w:rFonts w:ascii="Arial" w:hAnsi="Arial" w:cs="Arial"/>
          <w:bCs/>
          <w:color w:val="0070C0"/>
          <w:sz w:val="18"/>
          <w:szCs w:val="18"/>
        </w:rPr>
        <w:t xml:space="preserve"> récapitulatif</w:t>
      </w:r>
      <w:r w:rsidR="006A6C42" w:rsidRPr="00FA424F">
        <w:rPr>
          <w:rFonts w:ascii="Arial" w:hAnsi="Arial" w:cs="Arial"/>
          <w:bCs/>
          <w:color w:val="0070C0"/>
          <w:sz w:val="18"/>
          <w:szCs w:val="18"/>
        </w:rPr>
        <w:t>s</w:t>
      </w:r>
      <w:r w:rsidR="00276B67" w:rsidRPr="00FA424F">
        <w:rPr>
          <w:rFonts w:ascii="Arial" w:hAnsi="Arial" w:cs="Arial"/>
          <w:bCs/>
          <w:color w:val="0070C0"/>
          <w:sz w:val="18"/>
          <w:szCs w:val="18"/>
        </w:rPr>
        <w:t xml:space="preserve"> des dépenses acquittées certifié</w:t>
      </w:r>
      <w:r w:rsidR="006A6C42" w:rsidRPr="00FA424F">
        <w:rPr>
          <w:rFonts w:ascii="Arial" w:hAnsi="Arial" w:cs="Arial"/>
          <w:bCs/>
          <w:color w:val="0070C0"/>
          <w:sz w:val="18"/>
          <w:szCs w:val="18"/>
        </w:rPr>
        <w:t>s</w:t>
      </w:r>
      <w:r w:rsidR="00276B67" w:rsidRPr="00FA424F">
        <w:rPr>
          <w:rFonts w:ascii="Arial" w:hAnsi="Arial" w:cs="Arial"/>
          <w:bCs/>
          <w:color w:val="0070C0"/>
          <w:sz w:val="18"/>
          <w:szCs w:val="18"/>
        </w:rPr>
        <w:t xml:space="preserve"> par </w:t>
      </w:r>
      <w:r w:rsidR="0034747A" w:rsidRPr="00FA424F">
        <w:rPr>
          <w:rFonts w:ascii="Arial" w:hAnsi="Arial" w:cs="Arial"/>
          <w:bCs/>
          <w:color w:val="0070C0"/>
          <w:sz w:val="18"/>
          <w:szCs w:val="18"/>
        </w:rPr>
        <w:t xml:space="preserve">la Paierie </w:t>
      </w:r>
      <w:r w:rsidR="00276B67" w:rsidRPr="00FA424F">
        <w:rPr>
          <w:rFonts w:ascii="Arial" w:hAnsi="Arial" w:cs="Arial"/>
          <w:bCs/>
          <w:color w:val="0070C0"/>
          <w:sz w:val="18"/>
          <w:szCs w:val="18"/>
        </w:rPr>
        <w:t>régional</w:t>
      </w:r>
      <w:r w:rsidR="0034747A" w:rsidRPr="00FA424F">
        <w:rPr>
          <w:rFonts w:ascii="Arial" w:hAnsi="Arial" w:cs="Arial"/>
          <w:bCs/>
          <w:color w:val="0070C0"/>
          <w:sz w:val="18"/>
          <w:szCs w:val="18"/>
        </w:rPr>
        <w:t>e</w:t>
      </w:r>
      <w:r w:rsidR="00276B67" w:rsidRPr="00FA424F">
        <w:rPr>
          <w:rFonts w:ascii="Arial" w:hAnsi="Arial" w:cs="Arial"/>
          <w:bCs/>
          <w:color w:val="0070C0"/>
          <w:sz w:val="18"/>
          <w:szCs w:val="18"/>
        </w:rPr>
        <w:t>, états de présence</w:t>
      </w:r>
      <w:r w:rsidR="006A6C42" w:rsidRPr="00FA424F">
        <w:rPr>
          <w:rFonts w:ascii="Arial" w:hAnsi="Arial" w:cs="Arial"/>
          <w:bCs/>
          <w:color w:val="0070C0"/>
          <w:sz w:val="18"/>
          <w:szCs w:val="18"/>
        </w:rPr>
        <w:t>s</w:t>
      </w:r>
      <w:r w:rsidR="00276B67" w:rsidRPr="00FA424F">
        <w:rPr>
          <w:rFonts w:ascii="Arial" w:hAnsi="Arial" w:cs="Arial"/>
          <w:bCs/>
          <w:color w:val="0070C0"/>
          <w:sz w:val="18"/>
          <w:szCs w:val="18"/>
        </w:rPr>
        <w:t xml:space="preserve"> en centre</w:t>
      </w:r>
      <w:r w:rsidR="006A6C42" w:rsidRPr="00FA424F">
        <w:rPr>
          <w:rFonts w:ascii="Arial" w:hAnsi="Arial" w:cs="Arial"/>
          <w:bCs/>
          <w:color w:val="0070C0"/>
          <w:sz w:val="18"/>
          <w:szCs w:val="18"/>
        </w:rPr>
        <w:t>s</w:t>
      </w:r>
      <w:r w:rsidR="00276B67" w:rsidRPr="00FA424F">
        <w:rPr>
          <w:rFonts w:ascii="Arial" w:hAnsi="Arial" w:cs="Arial"/>
          <w:bCs/>
          <w:color w:val="0070C0"/>
          <w:sz w:val="18"/>
          <w:szCs w:val="18"/>
        </w:rPr>
        <w:t xml:space="preserve"> et en entreprise</w:t>
      </w:r>
      <w:r w:rsidR="006A6C42" w:rsidRPr="00FA424F">
        <w:rPr>
          <w:rFonts w:ascii="Arial" w:hAnsi="Arial" w:cs="Arial"/>
          <w:bCs/>
          <w:color w:val="0070C0"/>
          <w:sz w:val="18"/>
          <w:szCs w:val="18"/>
        </w:rPr>
        <w:t>s</w:t>
      </w:r>
      <w:r w:rsidR="00276B67" w:rsidRPr="00FA424F">
        <w:rPr>
          <w:rFonts w:ascii="Arial" w:hAnsi="Arial" w:cs="Arial"/>
          <w:bCs/>
          <w:color w:val="0070C0"/>
          <w:sz w:val="18"/>
          <w:szCs w:val="18"/>
        </w:rPr>
        <w:t xml:space="preserve">, réglementation </w:t>
      </w:r>
      <w:r w:rsidR="0034747A" w:rsidRPr="00FA424F">
        <w:rPr>
          <w:rFonts w:ascii="Arial" w:hAnsi="Arial" w:cs="Arial"/>
          <w:bCs/>
          <w:color w:val="0070C0"/>
          <w:sz w:val="18"/>
          <w:szCs w:val="18"/>
        </w:rPr>
        <w:t>relative à la c</w:t>
      </w:r>
      <w:r w:rsidR="00276B67" w:rsidRPr="00FA424F">
        <w:rPr>
          <w:rFonts w:ascii="Arial" w:hAnsi="Arial" w:cs="Arial"/>
          <w:bCs/>
          <w:color w:val="0070C0"/>
          <w:sz w:val="18"/>
          <w:szCs w:val="18"/>
        </w:rPr>
        <w:t>ommande publique…) par les coûts unitaires basés sur la réalisation de parcours de formation et la délivrance d’attestation de fin de formation.</w:t>
      </w:r>
    </w:p>
    <w:p w14:paraId="40A36460" w14:textId="6E296A37" w:rsidR="00276B67" w:rsidRPr="00FA424F" w:rsidRDefault="00276B67" w:rsidP="00276B67">
      <w:pPr>
        <w:tabs>
          <w:tab w:val="left" w:pos="1276"/>
          <w:tab w:val="center" w:pos="4762"/>
        </w:tabs>
        <w:spacing w:after="0"/>
        <w:jc w:val="both"/>
        <w:rPr>
          <w:rFonts w:ascii="Arial" w:hAnsi="Arial" w:cs="Arial"/>
          <w:bCs/>
          <w:sz w:val="18"/>
          <w:szCs w:val="18"/>
        </w:rPr>
      </w:pPr>
    </w:p>
    <w:p w14:paraId="45DCA908" w14:textId="3D130D75" w:rsidR="00276B67" w:rsidRDefault="00276B67" w:rsidP="00276B67">
      <w:pPr>
        <w:tabs>
          <w:tab w:val="left" w:pos="1276"/>
          <w:tab w:val="center" w:pos="4762"/>
        </w:tabs>
        <w:spacing w:after="0"/>
        <w:jc w:val="both"/>
        <w:rPr>
          <w:rFonts w:ascii="Arial" w:hAnsi="Arial" w:cs="Arial"/>
          <w:bCs/>
          <w:color w:val="0070C0"/>
          <w:sz w:val="18"/>
          <w:szCs w:val="18"/>
        </w:rPr>
      </w:pPr>
      <w:r w:rsidRPr="00FA424F">
        <w:rPr>
          <w:rFonts w:ascii="Arial" w:hAnsi="Arial" w:cs="Arial"/>
          <w:bCs/>
          <w:color w:val="0070C0"/>
          <w:sz w:val="18"/>
          <w:szCs w:val="18"/>
        </w:rPr>
        <w:t>Cette simplification permettra</w:t>
      </w:r>
      <w:r w:rsidR="006A6C42" w:rsidRPr="00FA424F">
        <w:rPr>
          <w:rFonts w:ascii="Arial" w:hAnsi="Arial" w:cs="Arial"/>
          <w:bCs/>
          <w:color w:val="0070C0"/>
          <w:sz w:val="18"/>
          <w:szCs w:val="18"/>
        </w:rPr>
        <w:t xml:space="preserve"> ainsi</w:t>
      </w:r>
      <w:r w:rsidRPr="00FA424F">
        <w:rPr>
          <w:rFonts w:ascii="Arial" w:hAnsi="Arial" w:cs="Arial"/>
          <w:bCs/>
          <w:color w:val="0070C0"/>
          <w:sz w:val="18"/>
          <w:szCs w:val="18"/>
        </w:rPr>
        <w:t xml:space="preserve"> de consacrer davantage de ressources au pilotage de la programmation et de la certification.</w:t>
      </w:r>
    </w:p>
    <w:p w14:paraId="1EF80936" w14:textId="77777777" w:rsidR="00FA424F" w:rsidRPr="00FA424F" w:rsidRDefault="00FA424F" w:rsidP="00276B67">
      <w:pPr>
        <w:tabs>
          <w:tab w:val="left" w:pos="1276"/>
          <w:tab w:val="center" w:pos="4762"/>
        </w:tabs>
        <w:spacing w:after="0"/>
        <w:jc w:val="both"/>
        <w:rPr>
          <w:rFonts w:ascii="Arial" w:hAnsi="Arial" w:cs="Arial"/>
          <w:bCs/>
          <w:sz w:val="18"/>
          <w:szCs w:val="18"/>
        </w:rPr>
      </w:pPr>
    </w:p>
    <w:sectPr w:rsidR="00FA424F" w:rsidRPr="00FA424F" w:rsidSect="004E789F">
      <w:head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7072" w14:textId="77777777" w:rsidR="00F40EAB" w:rsidRDefault="00F40EAB" w:rsidP="00F80ECC">
      <w:pPr>
        <w:spacing w:after="0" w:line="240" w:lineRule="auto"/>
      </w:pPr>
      <w:r>
        <w:separator/>
      </w:r>
    </w:p>
  </w:endnote>
  <w:endnote w:type="continuationSeparator" w:id="0">
    <w:p w14:paraId="1478F0FF" w14:textId="77777777" w:rsidR="00F40EAB" w:rsidRDefault="00F40EAB"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B5D8" w14:textId="77777777" w:rsidR="00F40EAB" w:rsidRDefault="00F40EAB" w:rsidP="00F80ECC">
      <w:pPr>
        <w:spacing w:after="0" w:line="240" w:lineRule="auto"/>
      </w:pPr>
      <w:r>
        <w:separator/>
      </w:r>
    </w:p>
  </w:footnote>
  <w:footnote w:type="continuationSeparator" w:id="0">
    <w:p w14:paraId="30235FC2" w14:textId="77777777" w:rsidR="00F40EAB" w:rsidRDefault="00F40EAB"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E34"/>
    <w:multiLevelType w:val="hybridMultilevel"/>
    <w:tmpl w:val="7DAE07A0"/>
    <w:lvl w:ilvl="0" w:tplc="8C5E62F8">
      <w:start w:val="1"/>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8"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5370DD"/>
    <w:multiLevelType w:val="hybridMultilevel"/>
    <w:tmpl w:val="2FE6D4A6"/>
    <w:lvl w:ilvl="0" w:tplc="A6440A5A">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1"/>
  </w:num>
  <w:num w:numId="4">
    <w:abstractNumId w:val="12"/>
  </w:num>
  <w:num w:numId="5">
    <w:abstractNumId w:val="5"/>
  </w:num>
  <w:num w:numId="6">
    <w:abstractNumId w:val="6"/>
  </w:num>
  <w:num w:numId="7">
    <w:abstractNumId w:val="0"/>
  </w:num>
  <w:num w:numId="8">
    <w:abstractNumId w:val="1"/>
  </w:num>
  <w:num w:numId="9">
    <w:abstractNumId w:val="9"/>
  </w:num>
  <w:num w:numId="10">
    <w:abstractNumId w:val="16"/>
  </w:num>
  <w:num w:numId="11">
    <w:abstractNumId w:val="19"/>
  </w:num>
  <w:num w:numId="12">
    <w:abstractNumId w:val="7"/>
  </w:num>
  <w:num w:numId="13">
    <w:abstractNumId w:val="2"/>
  </w:num>
  <w:num w:numId="14">
    <w:abstractNumId w:val="24"/>
  </w:num>
  <w:num w:numId="15">
    <w:abstractNumId w:val="18"/>
  </w:num>
  <w:num w:numId="16">
    <w:abstractNumId w:val="20"/>
  </w:num>
  <w:num w:numId="17">
    <w:abstractNumId w:val="4"/>
  </w:num>
  <w:num w:numId="18">
    <w:abstractNumId w:val="11"/>
  </w:num>
  <w:num w:numId="19">
    <w:abstractNumId w:val="13"/>
  </w:num>
  <w:num w:numId="20">
    <w:abstractNumId w:val="14"/>
  </w:num>
  <w:num w:numId="21">
    <w:abstractNumId w:val="22"/>
  </w:num>
  <w:num w:numId="22">
    <w:abstractNumId w:val="25"/>
  </w:num>
  <w:num w:numId="23">
    <w:abstractNumId w:val="10"/>
  </w:num>
  <w:num w:numId="24">
    <w:abstractNumId w:val="3"/>
  </w:num>
  <w:num w:numId="25">
    <w:abstractNumId w:val="17"/>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A027C"/>
    <w:rsid w:val="000A1775"/>
    <w:rsid w:val="000A41ED"/>
    <w:rsid w:val="000B1A34"/>
    <w:rsid w:val="000E760E"/>
    <w:rsid w:val="000E7E2D"/>
    <w:rsid w:val="000F4CDC"/>
    <w:rsid w:val="000F7EAD"/>
    <w:rsid w:val="0010294E"/>
    <w:rsid w:val="0011319C"/>
    <w:rsid w:val="00131D4A"/>
    <w:rsid w:val="00150F2A"/>
    <w:rsid w:val="00172962"/>
    <w:rsid w:val="00184090"/>
    <w:rsid w:val="00190B1D"/>
    <w:rsid w:val="001A2108"/>
    <w:rsid w:val="001A7C17"/>
    <w:rsid w:val="001B0ED6"/>
    <w:rsid w:val="001B41EC"/>
    <w:rsid w:val="001C0CAA"/>
    <w:rsid w:val="001C4243"/>
    <w:rsid w:val="001D4892"/>
    <w:rsid w:val="001D643C"/>
    <w:rsid w:val="00227AE9"/>
    <w:rsid w:val="00240932"/>
    <w:rsid w:val="00244610"/>
    <w:rsid w:val="00254239"/>
    <w:rsid w:val="00255EFD"/>
    <w:rsid w:val="00257D7A"/>
    <w:rsid w:val="00273699"/>
    <w:rsid w:val="00276B67"/>
    <w:rsid w:val="0029278D"/>
    <w:rsid w:val="002956EA"/>
    <w:rsid w:val="002C05DB"/>
    <w:rsid w:val="00312B56"/>
    <w:rsid w:val="00315B26"/>
    <w:rsid w:val="00336CD4"/>
    <w:rsid w:val="0034747A"/>
    <w:rsid w:val="00373E03"/>
    <w:rsid w:val="00387B42"/>
    <w:rsid w:val="003B7254"/>
    <w:rsid w:val="003C4004"/>
    <w:rsid w:val="003C72EC"/>
    <w:rsid w:val="003F7D4A"/>
    <w:rsid w:val="00406C8D"/>
    <w:rsid w:val="00424053"/>
    <w:rsid w:val="004D012B"/>
    <w:rsid w:val="004D18FB"/>
    <w:rsid w:val="004D3984"/>
    <w:rsid w:val="004E4666"/>
    <w:rsid w:val="004E6450"/>
    <w:rsid w:val="004E76B6"/>
    <w:rsid w:val="004E789F"/>
    <w:rsid w:val="00521226"/>
    <w:rsid w:val="0054162B"/>
    <w:rsid w:val="00553E6D"/>
    <w:rsid w:val="00560554"/>
    <w:rsid w:val="005728C9"/>
    <w:rsid w:val="00590BBE"/>
    <w:rsid w:val="005B256F"/>
    <w:rsid w:val="005E105F"/>
    <w:rsid w:val="0061262E"/>
    <w:rsid w:val="00632DEF"/>
    <w:rsid w:val="00640863"/>
    <w:rsid w:val="0064501E"/>
    <w:rsid w:val="00697804"/>
    <w:rsid w:val="006A6C42"/>
    <w:rsid w:val="006D3139"/>
    <w:rsid w:val="006E2576"/>
    <w:rsid w:val="006F0DFB"/>
    <w:rsid w:val="007039CB"/>
    <w:rsid w:val="007159CB"/>
    <w:rsid w:val="00726526"/>
    <w:rsid w:val="00736B01"/>
    <w:rsid w:val="00740470"/>
    <w:rsid w:val="00754324"/>
    <w:rsid w:val="0075607A"/>
    <w:rsid w:val="00763481"/>
    <w:rsid w:val="007639FA"/>
    <w:rsid w:val="007B10CF"/>
    <w:rsid w:val="007B5735"/>
    <w:rsid w:val="007C0EFF"/>
    <w:rsid w:val="00804B0D"/>
    <w:rsid w:val="00805645"/>
    <w:rsid w:val="00843308"/>
    <w:rsid w:val="00847040"/>
    <w:rsid w:val="00855673"/>
    <w:rsid w:val="008613F2"/>
    <w:rsid w:val="00887883"/>
    <w:rsid w:val="008944F5"/>
    <w:rsid w:val="0090063A"/>
    <w:rsid w:val="00926018"/>
    <w:rsid w:val="00937089"/>
    <w:rsid w:val="00975353"/>
    <w:rsid w:val="009B74E3"/>
    <w:rsid w:val="009C2F34"/>
    <w:rsid w:val="009D01D3"/>
    <w:rsid w:val="009D086C"/>
    <w:rsid w:val="009E1963"/>
    <w:rsid w:val="009E7B81"/>
    <w:rsid w:val="00A24AE4"/>
    <w:rsid w:val="00A42B2E"/>
    <w:rsid w:val="00A83496"/>
    <w:rsid w:val="00A871EB"/>
    <w:rsid w:val="00A928CF"/>
    <w:rsid w:val="00AB5925"/>
    <w:rsid w:val="00AE543F"/>
    <w:rsid w:val="00B141BC"/>
    <w:rsid w:val="00B20F7B"/>
    <w:rsid w:val="00B25D31"/>
    <w:rsid w:val="00B30B4C"/>
    <w:rsid w:val="00B351D6"/>
    <w:rsid w:val="00B35A1A"/>
    <w:rsid w:val="00B51BCA"/>
    <w:rsid w:val="00B83EB5"/>
    <w:rsid w:val="00B936B4"/>
    <w:rsid w:val="00BE5CA9"/>
    <w:rsid w:val="00BF00F8"/>
    <w:rsid w:val="00C17115"/>
    <w:rsid w:val="00C43C01"/>
    <w:rsid w:val="00C51C35"/>
    <w:rsid w:val="00C571A7"/>
    <w:rsid w:val="00C71897"/>
    <w:rsid w:val="00CB3F56"/>
    <w:rsid w:val="00CD33AE"/>
    <w:rsid w:val="00CE3768"/>
    <w:rsid w:val="00CF0A7A"/>
    <w:rsid w:val="00CF3378"/>
    <w:rsid w:val="00D10495"/>
    <w:rsid w:val="00D10571"/>
    <w:rsid w:val="00D15B1F"/>
    <w:rsid w:val="00D22DD5"/>
    <w:rsid w:val="00D23799"/>
    <w:rsid w:val="00D460C3"/>
    <w:rsid w:val="00D7501E"/>
    <w:rsid w:val="00D83DD2"/>
    <w:rsid w:val="00DA1917"/>
    <w:rsid w:val="00DB2AC3"/>
    <w:rsid w:val="00DC030D"/>
    <w:rsid w:val="00DC43DD"/>
    <w:rsid w:val="00DC732A"/>
    <w:rsid w:val="00DD1E19"/>
    <w:rsid w:val="00DD4C44"/>
    <w:rsid w:val="00E35F98"/>
    <w:rsid w:val="00E81ECE"/>
    <w:rsid w:val="00EC17ED"/>
    <w:rsid w:val="00EC2934"/>
    <w:rsid w:val="00F00D1E"/>
    <w:rsid w:val="00F11138"/>
    <w:rsid w:val="00F16791"/>
    <w:rsid w:val="00F222E0"/>
    <w:rsid w:val="00F40EAB"/>
    <w:rsid w:val="00F44A42"/>
    <w:rsid w:val="00F45AC3"/>
    <w:rsid w:val="00F5585C"/>
    <w:rsid w:val="00F80ECC"/>
    <w:rsid w:val="00F90548"/>
    <w:rsid w:val="00FA424F"/>
    <w:rsid w:val="00FB479C"/>
    <w:rsid w:val="00FC5F39"/>
    <w:rsid w:val="00FC6B6B"/>
    <w:rsid w:val="00FD0597"/>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CE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3</cp:revision>
  <cp:lastPrinted>2018-01-26T14:33:00Z</cp:lastPrinted>
  <dcterms:created xsi:type="dcterms:W3CDTF">2023-06-13T13:12:00Z</dcterms:created>
  <dcterms:modified xsi:type="dcterms:W3CDTF">2023-06-16T08:14:00Z</dcterms:modified>
</cp:coreProperties>
</file>