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51A57" w14:textId="534D22EF" w:rsidR="00F11138" w:rsidRDefault="00F11138">
      <w:pPr>
        <w:rPr>
          <w:rFonts w:ascii="Arial" w:hAnsi="Arial" w:cs="Arial"/>
          <w:sz w:val="20"/>
          <w:szCs w:val="20"/>
        </w:rPr>
      </w:pPr>
    </w:p>
    <w:p w14:paraId="514207E2" w14:textId="77777777" w:rsidR="004074B0" w:rsidRDefault="004074B0">
      <w:pPr>
        <w:rPr>
          <w:rFonts w:ascii="Arial" w:hAnsi="Arial" w:cs="Arial"/>
          <w:sz w:val="20"/>
          <w:szCs w:val="20"/>
        </w:rPr>
      </w:pPr>
    </w:p>
    <w:p w14:paraId="45961341" w14:textId="3F213FF9" w:rsidR="001A7C17" w:rsidRDefault="003C72EC" w:rsidP="003C72EC">
      <w:pPr>
        <w:tabs>
          <w:tab w:val="left" w:pos="1276"/>
          <w:tab w:val="center" w:pos="4762"/>
        </w:tabs>
        <w:jc w:val="center"/>
        <w:rPr>
          <w:rFonts w:ascii="Arial" w:hAnsi="Arial" w:cs="Arial"/>
          <w:b/>
          <w:bCs/>
          <w:color w:val="000000" w:themeColor="text1"/>
          <w:sz w:val="18"/>
          <w:szCs w:val="18"/>
        </w:rPr>
      </w:pPr>
      <w:r w:rsidRPr="003C72EC">
        <w:rPr>
          <w:rFonts w:ascii="Arial" w:hAnsi="Arial" w:cs="Arial"/>
          <w:b/>
          <w:bCs/>
          <w:color w:val="000000" w:themeColor="text1"/>
          <w:sz w:val="18"/>
          <w:szCs w:val="18"/>
        </w:rPr>
        <w:t>ANNEXE</w:t>
      </w:r>
    </w:p>
    <w:p w14:paraId="79A018AF" w14:textId="2EF80181" w:rsidR="003C72EC" w:rsidRDefault="003C72EC" w:rsidP="003C72EC">
      <w:pPr>
        <w:tabs>
          <w:tab w:val="left" w:pos="1276"/>
          <w:tab w:val="center" w:pos="4762"/>
        </w:tabs>
        <w:jc w:val="center"/>
        <w:rPr>
          <w:rFonts w:ascii="Arial" w:hAnsi="Arial" w:cs="Arial"/>
          <w:b/>
          <w:bCs/>
          <w:color w:val="000000" w:themeColor="text1"/>
          <w:sz w:val="18"/>
          <w:szCs w:val="18"/>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18CFE99B"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w:t>
      </w:r>
      <w:bookmarkStart w:id="0" w:name="_GoBack"/>
      <w:bookmarkEnd w:id="0"/>
      <w:r w:rsidR="00114ED2" w:rsidRPr="00AF6AB6">
        <w:rPr>
          <w:rFonts w:ascii="Arial" w:hAnsi="Arial" w:cs="Arial"/>
          <w:b/>
          <w:bCs/>
          <w:i/>
          <w:color w:val="000000" w:themeColor="text1"/>
          <w:sz w:val="18"/>
          <w:szCs w:val="18"/>
        </w:rPr>
        <w:t xml:space="preserve">au comité de suivi du </w:t>
      </w:r>
      <w:r w:rsidR="00AF6AB6" w:rsidRPr="00AF6AB6">
        <w:rPr>
          <w:rFonts w:ascii="Arial" w:hAnsi="Arial" w:cs="Arial"/>
          <w:b/>
          <w:bCs/>
          <w:i/>
          <w:color w:val="000000" w:themeColor="text1"/>
          <w:sz w:val="18"/>
          <w:szCs w:val="18"/>
        </w:rPr>
        <w:t>10/07</w:t>
      </w:r>
      <w:r w:rsidR="00114ED2" w:rsidRPr="00AF6AB6">
        <w:rPr>
          <w:rFonts w:ascii="Arial" w:hAnsi="Arial" w:cs="Arial"/>
          <w:b/>
          <w:bCs/>
          <w:i/>
          <w:color w:val="000000" w:themeColor="text1"/>
          <w:sz w:val="18"/>
          <w:szCs w:val="18"/>
        </w:rPr>
        <w:t>/2023</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41ED07A5" w:rsidR="003C72EC" w:rsidRDefault="003C72EC" w:rsidP="003C72EC">
      <w:pPr>
        <w:tabs>
          <w:tab w:val="left" w:pos="1276"/>
          <w:tab w:val="center" w:pos="4762"/>
        </w:tabs>
        <w:rPr>
          <w:rFonts w:ascii="Arial" w:hAnsi="Arial" w:cs="Arial"/>
          <w:b/>
          <w:bCs/>
          <w:i/>
          <w:color w:val="000000" w:themeColor="text1"/>
          <w:sz w:val="18"/>
          <w:szCs w:val="18"/>
        </w:rPr>
      </w:pPr>
    </w:p>
    <w:p w14:paraId="650A4CB4" w14:textId="5885D437" w:rsidR="003C72EC" w:rsidRPr="008428E9" w:rsidRDefault="003C72EC" w:rsidP="008428E9">
      <w:pPr>
        <w:tabs>
          <w:tab w:val="left" w:pos="1276"/>
          <w:tab w:val="center" w:pos="4762"/>
        </w:tabs>
        <w:rPr>
          <w:rFonts w:ascii="Arial" w:hAnsi="Arial" w:cs="Arial"/>
          <w:bCs/>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008428E9" w:rsidRPr="008428E9">
        <w:rPr>
          <w:rFonts w:ascii="Arial" w:hAnsi="Arial" w:cs="Arial"/>
          <w:bCs/>
          <w:color w:val="000000" w:themeColor="text1"/>
          <w:sz w:val="18"/>
          <w:szCs w:val="18"/>
        </w:rPr>
        <w:t xml:space="preserve">2 </w:t>
      </w:r>
      <w:r w:rsidR="00596945">
        <w:rPr>
          <w:rFonts w:ascii="Arial" w:hAnsi="Arial" w:cs="Arial"/>
          <w:bCs/>
          <w:color w:val="000000" w:themeColor="text1"/>
          <w:sz w:val="18"/>
          <w:szCs w:val="18"/>
        </w:rPr>
        <w:t>–</w:t>
      </w:r>
      <w:r w:rsidR="008428E9" w:rsidRPr="008428E9">
        <w:rPr>
          <w:rFonts w:ascii="Arial" w:hAnsi="Arial" w:cs="Arial"/>
          <w:bCs/>
          <w:color w:val="000000" w:themeColor="text1"/>
          <w:sz w:val="18"/>
          <w:szCs w:val="18"/>
        </w:rPr>
        <w:t xml:space="preserve"> Une</w:t>
      </w:r>
      <w:r w:rsidR="00596945">
        <w:rPr>
          <w:rFonts w:ascii="Arial" w:hAnsi="Arial" w:cs="Arial"/>
          <w:bCs/>
          <w:color w:val="000000" w:themeColor="text1"/>
          <w:sz w:val="18"/>
          <w:szCs w:val="18"/>
        </w:rPr>
        <w:t xml:space="preserve"> </w:t>
      </w:r>
      <w:r w:rsidR="008428E9" w:rsidRPr="008428E9">
        <w:rPr>
          <w:rFonts w:ascii="Arial" w:hAnsi="Arial" w:cs="Arial"/>
          <w:bCs/>
          <w:color w:val="000000" w:themeColor="text1"/>
          <w:sz w:val="18"/>
          <w:szCs w:val="18"/>
        </w:rPr>
        <w:t>Europe plus verte, résiliente et à faibles émissions de carbone évoluant vers une économie à zéro émission nette de carbone, par la promotion d’une transition énergétique propre et équitable, des investissements verts et bleus, de l’économie circulaire, de l’atténuation du changement climatique et de l’adaptation à celui-ci, de la prévention et de la gestion des risques, et d’une mobilité urbaine durable.</w:t>
      </w:r>
    </w:p>
    <w:p w14:paraId="572D7EF7" w14:textId="355B9988" w:rsidR="003C72EC" w:rsidRPr="003C72EC" w:rsidRDefault="003C72EC" w:rsidP="008428E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sidR="008428E9" w:rsidRPr="008428E9">
        <w:rPr>
          <w:rFonts w:ascii="Arial" w:hAnsi="Arial" w:cs="Arial"/>
          <w:bCs/>
          <w:color w:val="000000" w:themeColor="text1"/>
          <w:sz w:val="18"/>
          <w:szCs w:val="18"/>
        </w:rPr>
        <w:t xml:space="preserve">6 </w:t>
      </w:r>
      <w:r w:rsidR="008428E9">
        <w:rPr>
          <w:rFonts w:ascii="Arial" w:hAnsi="Arial" w:cs="Arial"/>
          <w:bCs/>
          <w:color w:val="000000" w:themeColor="text1"/>
          <w:sz w:val="18"/>
          <w:szCs w:val="18"/>
        </w:rPr>
        <w:t>–</w:t>
      </w:r>
      <w:r w:rsidR="008428E9">
        <w:rPr>
          <w:rFonts w:ascii="Arial" w:hAnsi="Arial" w:cs="Arial"/>
          <w:b/>
          <w:bCs/>
          <w:i/>
          <w:color w:val="000000" w:themeColor="text1"/>
          <w:sz w:val="18"/>
          <w:szCs w:val="18"/>
        </w:rPr>
        <w:t xml:space="preserve"> </w:t>
      </w:r>
      <w:r w:rsidR="008428E9" w:rsidRPr="008428E9">
        <w:rPr>
          <w:rFonts w:ascii="Arial" w:hAnsi="Arial" w:cs="Arial"/>
          <w:bCs/>
          <w:color w:val="000000" w:themeColor="text1"/>
          <w:sz w:val="18"/>
          <w:szCs w:val="18"/>
        </w:rPr>
        <w:t>Améliorer</w:t>
      </w:r>
      <w:r w:rsidR="008428E9">
        <w:rPr>
          <w:rFonts w:ascii="Arial" w:hAnsi="Arial" w:cs="Arial"/>
          <w:bCs/>
          <w:color w:val="000000" w:themeColor="text1"/>
          <w:sz w:val="18"/>
          <w:szCs w:val="18"/>
        </w:rPr>
        <w:t xml:space="preserve"> l’usage des transports, voyageurs et marchandises, dans une stratégie d’intermodalité, d’efficacité énergétique et de résilience face aux facteurs climatiques</w:t>
      </w:r>
    </w:p>
    <w:p w14:paraId="076CA0F3" w14:textId="72CA4D5A" w:rsidR="003C72EC" w:rsidRPr="008428E9" w:rsidRDefault="003C72EC" w:rsidP="008428E9">
      <w:pPr>
        <w:tabs>
          <w:tab w:val="left" w:pos="1276"/>
          <w:tab w:val="center" w:pos="4762"/>
        </w:tabs>
        <w:rPr>
          <w:rFonts w:ascii="Arial" w:hAnsi="Arial" w:cs="Arial"/>
          <w:bCs/>
          <w:color w:val="000000" w:themeColor="text1"/>
          <w:sz w:val="18"/>
          <w:szCs w:val="18"/>
        </w:rPr>
      </w:pPr>
      <w:r>
        <w:rPr>
          <w:rFonts w:ascii="Arial" w:hAnsi="Arial" w:cs="Arial"/>
          <w:b/>
          <w:bCs/>
          <w:i/>
          <w:color w:val="000000" w:themeColor="text1"/>
          <w:sz w:val="18"/>
          <w:szCs w:val="18"/>
        </w:rPr>
        <w:t xml:space="preserve">Objectif spécifique : </w:t>
      </w:r>
      <w:r w:rsidR="008428E9" w:rsidRPr="008428E9">
        <w:rPr>
          <w:rFonts w:ascii="Arial" w:hAnsi="Arial" w:cs="Arial"/>
          <w:bCs/>
          <w:color w:val="000000" w:themeColor="text1"/>
          <w:sz w:val="18"/>
          <w:szCs w:val="18"/>
        </w:rPr>
        <w:t xml:space="preserve">2.8 </w:t>
      </w:r>
      <w:r w:rsidR="00596945">
        <w:rPr>
          <w:rFonts w:ascii="Arial" w:hAnsi="Arial" w:cs="Arial"/>
          <w:bCs/>
          <w:color w:val="000000" w:themeColor="text1"/>
          <w:sz w:val="18"/>
          <w:szCs w:val="18"/>
        </w:rPr>
        <w:t>–</w:t>
      </w:r>
      <w:r w:rsidR="008428E9" w:rsidRPr="008428E9">
        <w:rPr>
          <w:rFonts w:ascii="Arial" w:hAnsi="Arial" w:cs="Arial"/>
          <w:bCs/>
          <w:color w:val="000000" w:themeColor="text1"/>
          <w:sz w:val="18"/>
          <w:szCs w:val="18"/>
        </w:rPr>
        <w:t xml:space="preserve"> Favoriser</w:t>
      </w:r>
      <w:r w:rsidR="00596945">
        <w:rPr>
          <w:rFonts w:ascii="Arial" w:hAnsi="Arial" w:cs="Arial"/>
          <w:bCs/>
          <w:color w:val="000000" w:themeColor="text1"/>
          <w:sz w:val="18"/>
          <w:szCs w:val="18"/>
        </w:rPr>
        <w:t xml:space="preserve"> </w:t>
      </w:r>
      <w:r w:rsidR="008428E9" w:rsidRPr="008428E9">
        <w:rPr>
          <w:rFonts w:ascii="Arial" w:hAnsi="Arial" w:cs="Arial"/>
          <w:bCs/>
          <w:color w:val="000000" w:themeColor="text1"/>
          <w:sz w:val="18"/>
          <w:szCs w:val="18"/>
        </w:rPr>
        <w:t>une mobilité urbaine multimodale durable, dans le cadre de la transition</w:t>
      </w:r>
      <w:r w:rsidR="008428E9">
        <w:rPr>
          <w:rFonts w:ascii="Arial" w:hAnsi="Arial" w:cs="Arial"/>
          <w:bCs/>
          <w:color w:val="000000" w:themeColor="text1"/>
          <w:sz w:val="18"/>
          <w:szCs w:val="18"/>
        </w:rPr>
        <w:t xml:space="preserve"> </w:t>
      </w:r>
      <w:r w:rsidR="008428E9" w:rsidRPr="008428E9">
        <w:rPr>
          <w:rFonts w:ascii="Arial" w:hAnsi="Arial" w:cs="Arial"/>
          <w:bCs/>
          <w:color w:val="000000" w:themeColor="text1"/>
          <w:sz w:val="18"/>
          <w:szCs w:val="18"/>
        </w:rPr>
        <w:t>vers une économie à zéro émission nette de carbone</w:t>
      </w:r>
    </w:p>
    <w:p w14:paraId="090784E7" w14:textId="05072DC8" w:rsidR="00BF65AD" w:rsidRDefault="00BF65AD" w:rsidP="00923E25">
      <w:pPr>
        <w:pStyle w:val="Titre2"/>
      </w:pPr>
      <w:r>
        <w:t>Modification 1</w:t>
      </w:r>
      <w:r w:rsidR="00635C88">
        <w:t xml:space="preserve"> - </w:t>
      </w:r>
      <w:r w:rsidR="00635C88" w:rsidRPr="00635C88">
        <w:t>Dépenses exclues</w:t>
      </w:r>
      <w:r>
        <w:t> :</w:t>
      </w:r>
    </w:p>
    <w:p w14:paraId="7BEBFDD2" w14:textId="64401236" w:rsidR="00F23318"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w:t>
      </w:r>
      <w:r w:rsidR="002A1DE4">
        <w:rPr>
          <w:rFonts w:ascii="Arial" w:hAnsi="Arial" w:cs="Arial"/>
          <w:b/>
          <w:bCs/>
          <w:i/>
          <w:color w:val="000000" w:themeColor="text1"/>
          <w:sz w:val="18"/>
          <w:szCs w:val="18"/>
        </w:rPr>
        <w:t>s</w:t>
      </w:r>
      <w:r>
        <w:rPr>
          <w:rFonts w:ascii="Arial" w:hAnsi="Arial" w:cs="Arial"/>
          <w:b/>
          <w:bCs/>
          <w:i/>
          <w:color w:val="000000" w:themeColor="text1"/>
          <w:sz w:val="18"/>
          <w:szCs w:val="18"/>
        </w:rPr>
        <w:t>-action concernée</w:t>
      </w:r>
      <w:r w:rsidR="00F23318">
        <w:rPr>
          <w:rFonts w:ascii="Arial" w:hAnsi="Arial" w:cs="Arial"/>
          <w:b/>
          <w:bCs/>
          <w:i/>
          <w:color w:val="000000" w:themeColor="text1"/>
          <w:sz w:val="18"/>
          <w:szCs w:val="18"/>
        </w:rPr>
        <w:t>s</w:t>
      </w:r>
      <w:r w:rsidRPr="003C72EC">
        <w:rPr>
          <w:rFonts w:ascii="Arial" w:hAnsi="Arial" w:cs="Arial"/>
          <w:b/>
          <w:bCs/>
          <w:i/>
          <w:color w:val="000000" w:themeColor="text1"/>
          <w:sz w:val="18"/>
          <w:szCs w:val="18"/>
        </w:rPr>
        <w:t> :</w:t>
      </w:r>
    </w:p>
    <w:p w14:paraId="6CFBB9ED" w14:textId="23FCDBA0" w:rsidR="00F23318" w:rsidRDefault="00FD2CC3" w:rsidP="002A3845">
      <w:pPr>
        <w:pStyle w:val="Paragraphedeliste"/>
        <w:numPr>
          <w:ilvl w:val="0"/>
          <w:numId w:val="26"/>
        </w:numPr>
        <w:tabs>
          <w:tab w:val="left" w:pos="1276"/>
          <w:tab w:val="center" w:pos="4762"/>
        </w:tabs>
        <w:rPr>
          <w:rFonts w:ascii="Arial" w:hAnsi="Arial" w:cs="Arial"/>
          <w:bCs/>
          <w:color w:val="000000" w:themeColor="text1"/>
          <w:sz w:val="18"/>
          <w:szCs w:val="18"/>
        </w:rPr>
      </w:pPr>
      <w:r w:rsidRPr="00F23318">
        <w:rPr>
          <w:rFonts w:ascii="Arial" w:hAnsi="Arial" w:cs="Arial"/>
          <w:bCs/>
          <w:color w:val="000000" w:themeColor="text1"/>
          <w:sz w:val="18"/>
          <w:szCs w:val="18"/>
        </w:rPr>
        <w:t>Type d’action 1 – Accompagner les changements de comportement et accroître des modes alternatifs à la voiture individuelle afin de limiter l’impact écologique des déplacements quotidiens</w:t>
      </w:r>
      <w:r w:rsidR="00585EB7">
        <w:rPr>
          <w:rFonts w:ascii="Arial" w:hAnsi="Arial" w:cs="Arial"/>
          <w:bCs/>
          <w:color w:val="000000" w:themeColor="text1"/>
          <w:sz w:val="18"/>
          <w:szCs w:val="18"/>
        </w:rPr>
        <w:t> ;</w:t>
      </w:r>
    </w:p>
    <w:p w14:paraId="6D674E3C" w14:textId="261E9015" w:rsidR="003C72EC" w:rsidRDefault="00FD2CC3" w:rsidP="002A3845">
      <w:pPr>
        <w:pStyle w:val="Paragraphedeliste"/>
        <w:numPr>
          <w:ilvl w:val="0"/>
          <w:numId w:val="26"/>
        </w:numPr>
        <w:tabs>
          <w:tab w:val="left" w:pos="1276"/>
          <w:tab w:val="center" w:pos="4762"/>
        </w:tabs>
        <w:rPr>
          <w:rFonts w:ascii="Arial" w:hAnsi="Arial" w:cs="Arial"/>
          <w:bCs/>
          <w:color w:val="000000" w:themeColor="text1"/>
          <w:sz w:val="18"/>
          <w:szCs w:val="18"/>
        </w:rPr>
      </w:pPr>
      <w:r w:rsidRPr="00F23318">
        <w:rPr>
          <w:rFonts w:ascii="Arial" w:hAnsi="Arial" w:cs="Arial"/>
          <w:bCs/>
          <w:color w:val="000000" w:themeColor="text1"/>
          <w:sz w:val="18"/>
          <w:szCs w:val="18"/>
        </w:rPr>
        <w:t>Type d’action 2 – Augmenter l’usage des transports durables, voyageurs et marchandises dans une stratégie d’intermodalité et de réduction des pollutions</w:t>
      </w:r>
      <w:r w:rsidR="00585EB7">
        <w:rPr>
          <w:rFonts w:ascii="Arial" w:hAnsi="Arial" w:cs="Arial"/>
          <w:bCs/>
          <w:color w:val="000000" w:themeColor="text1"/>
          <w:sz w:val="18"/>
          <w:szCs w:val="18"/>
        </w:rPr>
        <w:t> ;</w:t>
      </w:r>
    </w:p>
    <w:p w14:paraId="7D8A2E20" w14:textId="2508DDF3" w:rsidR="00585EB7" w:rsidRPr="00F23318" w:rsidRDefault="00585EB7" w:rsidP="002A3845">
      <w:pPr>
        <w:pStyle w:val="Paragraphedeliste"/>
        <w:numPr>
          <w:ilvl w:val="0"/>
          <w:numId w:val="26"/>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Type d’action 3 – </w:t>
      </w:r>
      <w:proofErr w:type="spellStart"/>
      <w:r>
        <w:rPr>
          <w:rFonts w:ascii="Arial" w:hAnsi="Arial" w:cs="Arial"/>
          <w:bCs/>
          <w:color w:val="000000" w:themeColor="text1"/>
          <w:sz w:val="18"/>
          <w:szCs w:val="18"/>
        </w:rPr>
        <w:t>Décarboner</w:t>
      </w:r>
      <w:proofErr w:type="spellEnd"/>
      <w:r>
        <w:rPr>
          <w:rFonts w:ascii="Arial" w:hAnsi="Arial" w:cs="Arial"/>
          <w:bCs/>
          <w:color w:val="000000" w:themeColor="text1"/>
          <w:sz w:val="18"/>
          <w:szCs w:val="18"/>
        </w:rPr>
        <w:t xml:space="preserve"> les transports.</w:t>
      </w:r>
    </w:p>
    <w:p w14:paraId="2F314A56"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3C72EC" w:rsidRPr="003C72EC" w14:paraId="3ADC493A" w14:textId="77777777" w:rsidTr="003C72EC">
        <w:tc>
          <w:tcPr>
            <w:tcW w:w="4815" w:type="dxa"/>
          </w:tcPr>
          <w:p w14:paraId="10FD8682"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691DE4B8"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3C72EC" w:rsidRPr="003C72EC" w14:paraId="5D9A1E2C" w14:textId="77777777" w:rsidTr="003C72EC">
        <w:tc>
          <w:tcPr>
            <w:tcW w:w="4815" w:type="dxa"/>
          </w:tcPr>
          <w:p w14:paraId="6D61D1FC" w14:textId="77777777" w:rsidR="00585EB7" w:rsidRPr="00585EB7" w:rsidRDefault="00585EB7" w:rsidP="00585EB7">
            <w:pPr>
              <w:tabs>
                <w:tab w:val="left" w:pos="1276"/>
                <w:tab w:val="center" w:pos="4762"/>
              </w:tabs>
              <w:rPr>
                <w:rFonts w:ascii="Arial" w:hAnsi="Arial" w:cs="Arial"/>
                <w:bCs/>
                <w:color w:val="000000" w:themeColor="text1"/>
                <w:sz w:val="18"/>
                <w:szCs w:val="18"/>
              </w:rPr>
            </w:pPr>
            <w:r w:rsidRPr="00585EB7">
              <w:rPr>
                <w:rFonts w:ascii="Arial" w:hAnsi="Arial" w:cs="Arial"/>
                <w:bCs/>
                <w:color w:val="000000" w:themeColor="text1"/>
                <w:sz w:val="18"/>
                <w:szCs w:val="18"/>
              </w:rPr>
              <w:t>Les dépenses suivantes sont exclues :</w:t>
            </w:r>
          </w:p>
          <w:p w14:paraId="30334483" w14:textId="77777777" w:rsidR="00F84FF3" w:rsidRDefault="00585EB7" w:rsidP="00BC1925">
            <w:pPr>
              <w:pStyle w:val="Paragraphedeliste"/>
              <w:numPr>
                <w:ilvl w:val="0"/>
                <w:numId w:val="30"/>
              </w:numPr>
              <w:tabs>
                <w:tab w:val="left" w:pos="1276"/>
                <w:tab w:val="center" w:pos="4762"/>
              </w:tabs>
              <w:rPr>
                <w:rFonts w:ascii="Arial" w:hAnsi="Arial" w:cs="Arial"/>
                <w:bCs/>
                <w:color w:val="000000" w:themeColor="text1"/>
                <w:sz w:val="18"/>
                <w:szCs w:val="18"/>
              </w:rPr>
            </w:pPr>
            <w:r w:rsidRPr="00F84FF3">
              <w:rPr>
                <w:rFonts w:ascii="Arial" w:hAnsi="Arial" w:cs="Arial"/>
                <w:bCs/>
                <w:color w:val="000000" w:themeColor="text1"/>
                <w:sz w:val="18"/>
                <w:szCs w:val="18"/>
              </w:rPr>
              <w:t>Dépenses relatives à la rénovation sans nouvelles fonctionnalités ou l’entretien d’ouvrages ou d’itinéraires existants ;</w:t>
            </w:r>
          </w:p>
          <w:p w14:paraId="0C2E268A" w14:textId="637C70BF" w:rsidR="005E0D3C" w:rsidRPr="00F84FF3" w:rsidRDefault="00585EB7" w:rsidP="00BC1925">
            <w:pPr>
              <w:pStyle w:val="Paragraphedeliste"/>
              <w:numPr>
                <w:ilvl w:val="0"/>
                <w:numId w:val="30"/>
              </w:numPr>
              <w:tabs>
                <w:tab w:val="left" w:pos="1276"/>
                <w:tab w:val="center" w:pos="4762"/>
              </w:tabs>
              <w:rPr>
                <w:rFonts w:ascii="Arial" w:hAnsi="Arial" w:cs="Arial"/>
                <w:bCs/>
                <w:color w:val="000000" w:themeColor="text1"/>
                <w:sz w:val="18"/>
                <w:szCs w:val="18"/>
              </w:rPr>
            </w:pPr>
            <w:r w:rsidRPr="00F84FF3">
              <w:rPr>
                <w:rFonts w:ascii="Arial" w:hAnsi="Arial" w:cs="Arial"/>
                <w:bCs/>
                <w:color w:val="000000" w:themeColor="text1"/>
                <w:sz w:val="18"/>
                <w:szCs w:val="18"/>
              </w:rPr>
              <w:t>Dépenses relatives à des travaux règlementaires de dépollution ou des travaux de démolition (proto-aménagement) ;</w:t>
            </w:r>
          </w:p>
          <w:p w14:paraId="08E2CE16" w14:textId="77777777" w:rsidR="00BF65AD" w:rsidRDefault="00BF65AD" w:rsidP="00585EB7">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w:t>
            </w:r>
          </w:p>
          <w:p w14:paraId="152B6ECA" w14:textId="71E32B0D" w:rsidR="00F84FF3" w:rsidRPr="00F84FF3" w:rsidRDefault="00F84FF3" w:rsidP="00F84FF3">
            <w:pPr>
              <w:pStyle w:val="Paragraphedeliste"/>
              <w:numPr>
                <w:ilvl w:val="0"/>
                <w:numId w:val="28"/>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Dépenses relatives à la sécurisation et au gardiennage d’un site ;</w:t>
            </w:r>
          </w:p>
        </w:tc>
        <w:tc>
          <w:tcPr>
            <w:tcW w:w="4961" w:type="dxa"/>
          </w:tcPr>
          <w:p w14:paraId="68FB870E" w14:textId="77777777" w:rsidR="00585EB7" w:rsidRPr="00585EB7" w:rsidRDefault="00585EB7" w:rsidP="00585EB7">
            <w:pPr>
              <w:tabs>
                <w:tab w:val="left" w:pos="1276"/>
                <w:tab w:val="center" w:pos="4762"/>
              </w:tabs>
              <w:rPr>
                <w:rFonts w:ascii="Arial" w:hAnsi="Arial" w:cs="Arial"/>
                <w:bCs/>
                <w:color w:val="000000" w:themeColor="text1"/>
                <w:sz w:val="18"/>
                <w:szCs w:val="18"/>
              </w:rPr>
            </w:pPr>
            <w:r w:rsidRPr="00585EB7">
              <w:rPr>
                <w:rFonts w:ascii="Arial" w:hAnsi="Arial" w:cs="Arial"/>
                <w:bCs/>
                <w:color w:val="000000" w:themeColor="text1"/>
                <w:sz w:val="18"/>
                <w:szCs w:val="18"/>
              </w:rPr>
              <w:t>Les dépenses suivantes sont exclues :</w:t>
            </w:r>
          </w:p>
          <w:p w14:paraId="47396747" w14:textId="77777777" w:rsidR="00F84FF3" w:rsidRDefault="00585EB7" w:rsidP="00FB6F1A">
            <w:pPr>
              <w:pStyle w:val="Paragraphedeliste"/>
              <w:numPr>
                <w:ilvl w:val="0"/>
                <w:numId w:val="28"/>
              </w:numPr>
              <w:tabs>
                <w:tab w:val="left" w:pos="1276"/>
                <w:tab w:val="center" w:pos="4762"/>
              </w:tabs>
              <w:rPr>
                <w:rFonts w:ascii="Arial" w:hAnsi="Arial" w:cs="Arial"/>
                <w:bCs/>
                <w:color w:val="000000" w:themeColor="text1"/>
                <w:sz w:val="18"/>
                <w:szCs w:val="18"/>
              </w:rPr>
            </w:pPr>
            <w:r w:rsidRPr="00F84FF3">
              <w:rPr>
                <w:rFonts w:ascii="Arial" w:hAnsi="Arial" w:cs="Arial"/>
                <w:bCs/>
                <w:color w:val="000000" w:themeColor="text1"/>
                <w:sz w:val="18"/>
                <w:szCs w:val="18"/>
              </w:rPr>
              <w:t>Dépenses relatives à la rénovation sans nouvelles fonctionnalités ou l’entretien d’ouvrages ou d’itinéraires existants ;</w:t>
            </w:r>
          </w:p>
          <w:p w14:paraId="1D47D4B4" w14:textId="52B8CBDF" w:rsidR="003C72EC" w:rsidRPr="00F84FF3" w:rsidRDefault="00585EB7" w:rsidP="00FB6F1A">
            <w:pPr>
              <w:pStyle w:val="Paragraphedeliste"/>
              <w:numPr>
                <w:ilvl w:val="0"/>
                <w:numId w:val="28"/>
              </w:numPr>
              <w:tabs>
                <w:tab w:val="left" w:pos="1276"/>
                <w:tab w:val="center" w:pos="4762"/>
              </w:tabs>
              <w:rPr>
                <w:rFonts w:ascii="Arial" w:hAnsi="Arial" w:cs="Arial"/>
                <w:bCs/>
                <w:color w:val="000000" w:themeColor="text1"/>
                <w:sz w:val="18"/>
                <w:szCs w:val="18"/>
              </w:rPr>
            </w:pPr>
            <w:r w:rsidRPr="00F84FF3">
              <w:rPr>
                <w:rFonts w:ascii="Arial" w:hAnsi="Arial" w:cs="Arial"/>
                <w:bCs/>
                <w:color w:val="000000" w:themeColor="text1"/>
                <w:sz w:val="18"/>
                <w:szCs w:val="18"/>
              </w:rPr>
              <w:t xml:space="preserve">Dépenses relatives à des travaux règlementaires de dépollution ou des travaux de démolition (proto-aménagement) </w:t>
            </w:r>
            <w:r w:rsidRPr="00F84FF3">
              <w:rPr>
                <w:rFonts w:ascii="Arial" w:hAnsi="Arial" w:cs="Arial"/>
                <w:bCs/>
                <w:color w:val="FF0000"/>
                <w:sz w:val="18"/>
                <w:szCs w:val="18"/>
              </w:rPr>
              <w:t xml:space="preserve">n’étant pas indispensable à la réalisation du projet </w:t>
            </w:r>
            <w:r w:rsidRPr="00F84FF3">
              <w:rPr>
                <w:rFonts w:ascii="Arial" w:hAnsi="Arial" w:cs="Arial"/>
                <w:bCs/>
                <w:color w:val="000000" w:themeColor="text1"/>
                <w:sz w:val="18"/>
                <w:szCs w:val="18"/>
              </w:rPr>
              <w:t>;</w:t>
            </w:r>
          </w:p>
          <w:p w14:paraId="3939E16E" w14:textId="77777777" w:rsidR="00F84FF3" w:rsidRDefault="00BF65AD" w:rsidP="00F84FF3">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w:t>
            </w:r>
          </w:p>
          <w:p w14:paraId="780B1E66" w14:textId="62D52BA7" w:rsidR="00BF65AD" w:rsidRPr="00F84FF3" w:rsidRDefault="00F84FF3" w:rsidP="00F84FF3">
            <w:pPr>
              <w:pStyle w:val="Paragraphedeliste"/>
              <w:numPr>
                <w:ilvl w:val="0"/>
                <w:numId w:val="28"/>
              </w:numPr>
              <w:tabs>
                <w:tab w:val="left" w:pos="1276"/>
                <w:tab w:val="center" w:pos="4762"/>
              </w:tabs>
              <w:rPr>
                <w:rFonts w:ascii="Arial" w:hAnsi="Arial" w:cs="Arial"/>
                <w:bCs/>
                <w:color w:val="000000" w:themeColor="text1"/>
                <w:sz w:val="18"/>
                <w:szCs w:val="18"/>
              </w:rPr>
            </w:pPr>
            <w:r w:rsidRPr="00F84FF3">
              <w:rPr>
                <w:rFonts w:ascii="Arial" w:hAnsi="Arial" w:cs="Arial"/>
                <w:bCs/>
                <w:color w:val="000000" w:themeColor="text1"/>
                <w:sz w:val="18"/>
                <w:szCs w:val="18"/>
              </w:rPr>
              <w:t xml:space="preserve">Dépenses relatives </w:t>
            </w:r>
            <w:r w:rsidRPr="00F84FF3">
              <w:rPr>
                <w:rFonts w:ascii="Arial" w:hAnsi="Arial" w:cs="Arial"/>
                <w:bCs/>
                <w:strike/>
                <w:color w:val="FF0000"/>
                <w:sz w:val="18"/>
                <w:szCs w:val="18"/>
              </w:rPr>
              <w:t>à la sécurisation et</w:t>
            </w:r>
            <w:r w:rsidRPr="00F84FF3">
              <w:rPr>
                <w:rFonts w:ascii="Arial" w:hAnsi="Arial" w:cs="Arial"/>
                <w:bCs/>
                <w:color w:val="FF0000"/>
                <w:sz w:val="18"/>
                <w:szCs w:val="18"/>
              </w:rPr>
              <w:t xml:space="preserve"> </w:t>
            </w:r>
            <w:r w:rsidRPr="00F84FF3">
              <w:rPr>
                <w:rFonts w:ascii="Arial" w:hAnsi="Arial" w:cs="Arial"/>
                <w:bCs/>
                <w:color w:val="000000" w:themeColor="text1"/>
                <w:sz w:val="18"/>
                <w:szCs w:val="18"/>
              </w:rPr>
              <w:t>au gardiennage d’un site ;</w:t>
            </w:r>
          </w:p>
        </w:tc>
      </w:tr>
    </w:tbl>
    <w:p w14:paraId="7C846635"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E51F27D" w14:textId="2BFA7EB1" w:rsidR="003C72EC" w:rsidRDefault="003C72EC" w:rsidP="003C72EC">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013541EA" w14:textId="4981AB1A" w:rsidR="00D7275F" w:rsidRPr="00D43C56" w:rsidRDefault="00F84FF3" w:rsidP="003C72EC">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Relativement à la première modification, d</w:t>
      </w:r>
      <w:r w:rsidR="00B823D5" w:rsidRPr="00D43C56">
        <w:rPr>
          <w:rFonts w:ascii="Arial" w:hAnsi="Arial" w:cs="Arial"/>
          <w:bCs/>
          <w:color w:val="000000" w:themeColor="text1"/>
          <w:sz w:val="18"/>
          <w:szCs w:val="18"/>
        </w:rPr>
        <w:t>ans sa version actuelle, le DOMO n’est</w:t>
      </w:r>
      <w:r w:rsidR="00D7275F" w:rsidRPr="00D43C56">
        <w:rPr>
          <w:rFonts w:ascii="Arial" w:hAnsi="Arial" w:cs="Arial"/>
          <w:bCs/>
          <w:color w:val="000000" w:themeColor="text1"/>
          <w:sz w:val="18"/>
          <w:szCs w:val="18"/>
        </w:rPr>
        <w:t xml:space="preserve"> pas suffisamment précis sur l’exclusion des dépenses de </w:t>
      </w:r>
      <w:r w:rsidR="00D43C56">
        <w:rPr>
          <w:rFonts w:ascii="Arial" w:hAnsi="Arial" w:cs="Arial"/>
          <w:bCs/>
          <w:color w:val="000000" w:themeColor="text1"/>
          <w:sz w:val="18"/>
          <w:szCs w:val="18"/>
        </w:rPr>
        <w:t xml:space="preserve">démolition ou </w:t>
      </w:r>
      <w:r w:rsidR="00D7275F" w:rsidRPr="00D43C56">
        <w:rPr>
          <w:rFonts w:ascii="Arial" w:hAnsi="Arial" w:cs="Arial"/>
          <w:bCs/>
          <w:color w:val="000000" w:themeColor="text1"/>
          <w:sz w:val="18"/>
          <w:szCs w:val="18"/>
        </w:rPr>
        <w:t>proto-aménagement. En effet, la rédaction pourrait porter à croire que toutes les dépenses liées à des travaux de démolition sont exclues. Hors les dépenses de démolition en vue de créer l’infrastructure sont éligibles dans la mesure où elles sont indispensables à la réalisation de l’infrastructure.</w:t>
      </w:r>
    </w:p>
    <w:p w14:paraId="0F40E0C1" w14:textId="1A19361F" w:rsidR="00D7275F" w:rsidRDefault="00D7275F" w:rsidP="003C72EC">
      <w:pPr>
        <w:tabs>
          <w:tab w:val="left" w:pos="1276"/>
          <w:tab w:val="center" w:pos="4762"/>
        </w:tabs>
        <w:jc w:val="both"/>
        <w:rPr>
          <w:rFonts w:ascii="Arial" w:hAnsi="Arial" w:cs="Arial"/>
          <w:bCs/>
          <w:color w:val="000000" w:themeColor="text1"/>
          <w:sz w:val="18"/>
          <w:szCs w:val="18"/>
        </w:rPr>
      </w:pPr>
      <w:r w:rsidRPr="00D43C56">
        <w:rPr>
          <w:rFonts w:ascii="Arial" w:hAnsi="Arial" w:cs="Arial"/>
          <w:bCs/>
          <w:color w:val="000000" w:themeColor="text1"/>
          <w:sz w:val="18"/>
          <w:szCs w:val="18"/>
        </w:rPr>
        <w:lastRenderedPageBreak/>
        <w:t>Cette exclusion a été introduite afin d’éviter toutes opérations de proto-</w:t>
      </w:r>
      <w:r w:rsidR="00D43C56" w:rsidRPr="00D43C56">
        <w:rPr>
          <w:rFonts w:ascii="Arial" w:hAnsi="Arial" w:cs="Arial"/>
          <w:bCs/>
          <w:color w:val="000000" w:themeColor="text1"/>
          <w:sz w:val="18"/>
          <w:szCs w:val="18"/>
        </w:rPr>
        <w:t>aménagement</w:t>
      </w:r>
      <w:r w:rsidRPr="00D43C56">
        <w:rPr>
          <w:rFonts w:ascii="Arial" w:hAnsi="Arial" w:cs="Arial"/>
          <w:bCs/>
          <w:color w:val="000000" w:themeColor="text1"/>
          <w:sz w:val="18"/>
          <w:szCs w:val="18"/>
        </w:rPr>
        <w:t xml:space="preserve"> proprement dite. Ainsi, il convient d’être explicite sur le sujet afin qu’en cas de contrôle, les dépenses de démolition</w:t>
      </w:r>
      <w:r w:rsidR="00D43C56" w:rsidRPr="00D43C56">
        <w:rPr>
          <w:rFonts w:ascii="Arial" w:hAnsi="Arial" w:cs="Arial"/>
          <w:bCs/>
          <w:color w:val="000000" w:themeColor="text1"/>
          <w:sz w:val="18"/>
          <w:szCs w:val="18"/>
        </w:rPr>
        <w:t xml:space="preserve"> soient bien considérées comme des dépenses éligibles si elles sont indispensables à la réalisation du projet.</w:t>
      </w:r>
    </w:p>
    <w:p w14:paraId="580E85B9" w14:textId="2A34589F" w:rsidR="00F84FF3" w:rsidRPr="00D43C56" w:rsidRDefault="00F84FF3" w:rsidP="003C72EC">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 xml:space="preserve">Relativement à la seconde modification, </w:t>
      </w:r>
      <w:r w:rsidR="00D3385D">
        <w:rPr>
          <w:rFonts w:ascii="Arial" w:hAnsi="Arial" w:cs="Arial"/>
          <w:bCs/>
          <w:color w:val="000000" w:themeColor="text1"/>
          <w:sz w:val="18"/>
          <w:szCs w:val="18"/>
        </w:rPr>
        <w:t>il convient d’enlever l’exclusion des dépenses relatives à la sécurisation. En effet, les dépenses comme la sécurisation d’un parking par caméra ou encore la sécurisation d’une piste cyclable sont éligibles dans la mesure où elles sont indispensables au succès de l’opération. L’idée initiale étant bien d’exclure les dépenses de fonctionnement liées par exemple au gardiennage d’un chantier ou au gardiennage d’un parking.</w:t>
      </w:r>
    </w:p>
    <w:p w14:paraId="3D4B2D64" w14:textId="685A5120" w:rsidR="003C72EC" w:rsidRPr="00BF65AD" w:rsidRDefault="00BF65AD" w:rsidP="00923E25">
      <w:pPr>
        <w:pStyle w:val="Titre2"/>
      </w:pPr>
      <w:r>
        <w:t>Modification 2 </w:t>
      </w:r>
      <w:r w:rsidR="00635C88">
        <w:t xml:space="preserve">– </w:t>
      </w:r>
      <w:r w:rsidR="00E43B66">
        <w:t>Seuil minimal et c</w:t>
      </w:r>
      <w:r w:rsidR="00635C88">
        <w:t xml:space="preserve">ritères d’éligibilité </w:t>
      </w:r>
      <w:r>
        <w:t>:</w:t>
      </w:r>
    </w:p>
    <w:p w14:paraId="6D63BFDB" w14:textId="77777777" w:rsidR="00585EB7" w:rsidRDefault="00585EB7" w:rsidP="00585EB7">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Fiches-action concernées</w:t>
      </w:r>
      <w:r w:rsidRPr="003C72EC">
        <w:rPr>
          <w:rFonts w:ascii="Arial" w:hAnsi="Arial" w:cs="Arial"/>
          <w:b/>
          <w:bCs/>
          <w:i/>
          <w:color w:val="000000" w:themeColor="text1"/>
          <w:sz w:val="18"/>
          <w:szCs w:val="18"/>
        </w:rPr>
        <w:t> :</w:t>
      </w:r>
    </w:p>
    <w:p w14:paraId="43A4839A" w14:textId="11372E9C" w:rsidR="00585EB7" w:rsidRPr="003C72EC" w:rsidRDefault="00585EB7" w:rsidP="00BF65AD">
      <w:pPr>
        <w:pStyle w:val="Paragraphedeliste"/>
        <w:numPr>
          <w:ilvl w:val="0"/>
          <w:numId w:val="26"/>
        </w:numPr>
        <w:tabs>
          <w:tab w:val="left" w:pos="1276"/>
          <w:tab w:val="center" w:pos="4762"/>
        </w:tabs>
        <w:rPr>
          <w:rFonts w:ascii="Arial" w:hAnsi="Arial" w:cs="Arial"/>
          <w:b/>
          <w:bCs/>
          <w:i/>
          <w:color w:val="000000" w:themeColor="text1"/>
          <w:sz w:val="18"/>
          <w:szCs w:val="18"/>
        </w:rPr>
      </w:pPr>
      <w:r w:rsidRPr="00F23318">
        <w:rPr>
          <w:rFonts w:ascii="Arial" w:hAnsi="Arial" w:cs="Arial"/>
          <w:bCs/>
          <w:color w:val="000000" w:themeColor="text1"/>
          <w:sz w:val="18"/>
          <w:szCs w:val="18"/>
        </w:rPr>
        <w:t>Type d’action 1 – Accompagner les changements de comportement et accroître des modes alternatifs à la voiture individuelle afin de limiter l’impact écologique des déplacements quotidiens</w:t>
      </w:r>
      <w:r w:rsidR="00BF65AD">
        <w:rPr>
          <w:rFonts w:ascii="Arial" w:hAnsi="Arial" w:cs="Arial"/>
          <w:bCs/>
          <w:color w:val="000000" w:themeColor="text1"/>
          <w:sz w:val="18"/>
          <w:szCs w:val="18"/>
        </w:rPr>
        <w:t>.</w:t>
      </w:r>
      <w:r w:rsidR="00BF65AD" w:rsidRPr="003C72EC">
        <w:rPr>
          <w:rFonts w:ascii="Arial" w:hAnsi="Arial" w:cs="Arial"/>
          <w:b/>
          <w:bCs/>
          <w:i/>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585EB7" w:rsidRPr="003C72EC" w14:paraId="2F4CB027" w14:textId="77777777" w:rsidTr="009C0D7B">
        <w:tc>
          <w:tcPr>
            <w:tcW w:w="4815" w:type="dxa"/>
          </w:tcPr>
          <w:p w14:paraId="1959938C" w14:textId="77777777" w:rsidR="00585EB7" w:rsidRPr="003C72EC" w:rsidRDefault="00585EB7" w:rsidP="009C0D7B">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1C7E2B37" w14:textId="77777777" w:rsidR="00585EB7" w:rsidRPr="003C72EC" w:rsidRDefault="00585EB7" w:rsidP="009C0D7B">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DB7F94" w:rsidRPr="003C72EC" w14:paraId="154B7C12" w14:textId="77777777" w:rsidTr="00D8153E">
        <w:tc>
          <w:tcPr>
            <w:tcW w:w="9776" w:type="dxa"/>
            <w:gridSpan w:val="2"/>
          </w:tcPr>
          <w:p w14:paraId="49EC9CE3" w14:textId="00FB38D9" w:rsidR="00DB7F94" w:rsidRPr="00E43B66" w:rsidRDefault="00E43B66" w:rsidP="00BF65AD">
            <w:pPr>
              <w:tabs>
                <w:tab w:val="left" w:pos="1276"/>
                <w:tab w:val="center" w:pos="4762"/>
              </w:tabs>
              <w:rPr>
                <w:rFonts w:ascii="Arial" w:hAnsi="Arial" w:cs="Arial"/>
                <w:b/>
                <w:bCs/>
                <w:color w:val="000000" w:themeColor="text1"/>
                <w:sz w:val="18"/>
                <w:szCs w:val="18"/>
              </w:rPr>
            </w:pPr>
            <w:r w:rsidRPr="00E43B66">
              <w:rPr>
                <w:rFonts w:ascii="Arial" w:hAnsi="Arial" w:cs="Arial"/>
                <w:b/>
                <w:sz w:val="18"/>
                <w:szCs w:val="18"/>
              </w:rPr>
              <w:t>Seuil minimal des dépenses éligibles prévisionnelles</w:t>
            </w:r>
            <w:r>
              <w:rPr>
                <w:rFonts w:ascii="Arial" w:hAnsi="Arial" w:cs="Arial"/>
                <w:b/>
                <w:sz w:val="18"/>
                <w:szCs w:val="18"/>
              </w:rPr>
              <w:t> :</w:t>
            </w:r>
          </w:p>
        </w:tc>
      </w:tr>
      <w:tr w:rsidR="00DB7F94" w:rsidRPr="003C72EC" w14:paraId="20519266" w14:textId="77777777" w:rsidTr="009C0D7B">
        <w:tc>
          <w:tcPr>
            <w:tcW w:w="4815" w:type="dxa"/>
          </w:tcPr>
          <w:p w14:paraId="6187CF6B" w14:textId="2C6C37E9" w:rsidR="00E43B66" w:rsidRPr="00E43B66" w:rsidRDefault="00E43B66" w:rsidP="00E43B66">
            <w:pPr>
              <w:tabs>
                <w:tab w:val="left" w:pos="1276"/>
                <w:tab w:val="center" w:pos="4762"/>
              </w:tabs>
              <w:rPr>
                <w:rFonts w:ascii="Arial" w:hAnsi="Arial" w:cs="Arial"/>
                <w:bCs/>
                <w:color w:val="000000" w:themeColor="text1"/>
                <w:sz w:val="18"/>
                <w:szCs w:val="18"/>
              </w:rPr>
            </w:pPr>
            <w:r w:rsidRPr="00E43B66">
              <w:rPr>
                <w:rFonts w:ascii="Arial" w:hAnsi="Arial" w:cs="Arial"/>
                <w:bCs/>
                <w:color w:val="000000" w:themeColor="text1"/>
                <w:sz w:val="18"/>
                <w:szCs w:val="18"/>
              </w:rPr>
              <w:t xml:space="preserve">Seules les opérations présentant une assiette éligible </w:t>
            </w:r>
            <w:r>
              <w:rPr>
                <w:rFonts w:ascii="Arial" w:hAnsi="Arial" w:cs="Arial"/>
                <w:bCs/>
                <w:color w:val="000000" w:themeColor="text1"/>
                <w:sz w:val="18"/>
                <w:szCs w:val="18"/>
              </w:rPr>
              <w:t>s</w:t>
            </w:r>
            <w:r w:rsidRPr="00E43B66">
              <w:rPr>
                <w:rFonts w:ascii="Arial" w:hAnsi="Arial" w:cs="Arial"/>
                <w:bCs/>
                <w:color w:val="000000" w:themeColor="text1"/>
                <w:sz w:val="18"/>
                <w:szCs w:val="18"/>
              </w:rPr>
              <w:t>upérieure à</w:t>
            </w:r>
            <w:r>
              <w:rPr>
                <w:rFonts w:ascii="Arial" w:hAnsi="Arial" w:cs="Arial"/>
                <w:bCs/>
                <w:color w:val="000000" w:themeColor="text1"/>
                <w:sz w:val="18"/>
                <w:szCs w:val="18"/>
              </w:rPr>
              <w:t xml:space="preserve"> </w:t>
            </w:r>
            <w:r w:rsidRPr="00E43B66">
              <w:rPr>
                <w:rFonts w:ascii="Arial" w:hAnsi="Arial" w:cs="Arial"/>
                <w:bCs/>
                <w:color w:val="000000" w:themeColor="text1"/>
                <w:sz w:val="18"/>
                <w:szCs w:val="18"/>
              </w:rPr>
              <w:t>200</w:t>
            </w:r>
            <w:r>
              <w:rPr>
                <w:rFonts w:ascii="Arial" w:hAnsi="Arial" w:cs="Arial"/>
                <w:bCs/>
                <w:color w:val="000000" w:themeColor="text1"/>
                <w:sz w:val="18"/>
                <w:szCs w:val="18"/>
              </w:rPr>
              <w:t> 000,00 €</w:t>
            </w:r>
            <w:r w:rsidRPr="00E43B66">
              <w:rPr>
                <w:rFonts w:ascii="Arial" w:hAnsi="Arial" w:cs="Arial"/>
                <w:bCs/>
                <w:color w:val="000000" w:themeColor="text1"/>
                <w:sz w:val="18"/>
                <w:szCs w:val="18"/>
              </w:rPr>
              <w:t xml:space="preserve"> HT ou TTC selon le régime de TVA</w:t>
            </w:r>
            <w:r>
              <w:rPr>
                <w:rFonts w:ascii="Arial" w:hAnsi="Arial" w:cs="Arial"/>
                <w:bCs/>
                <w:color w:val="000000" w:themeColor="text1"/>
                <w:sz w:val="18"/>
                <w:szCs w:val="18"/>
              </w:rPr>
              <w:t xml:space="preserve"> applicable seront financées.</w:t>
            </w:r>
          </w:p>
          <w:p w14:paraId="4DBD1E64" w14:textId="5697E872" w:rsidR="00DB7F94" w:rsidRPr="00E43B66" w:rsidRDefault="00E43B66" w:rsidP="00E43B66">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Pour les aires de covoiturage et de plateformes de mobilité, ce seuil est fixé à 50 000 € HT ou TTC selon le régime de TVA applicable à l’opération.</w:t>
            </w:r>
          </w:p>
        </w:tc>
        <w:tc>
          <w:tcPr>
            <w:tcW w:w="4961" w:type="dxa"/>
          </w:tcPr>
          <w:p w14:paraId="74CA4D96" w14:textId="77777777" w:rsidR="00E43B66" w:rsidRPr="00E43B66" w:rsidRDefault="00E43B66" w:rsidP="00E43B66">
            <w:pPr>
              <w:tabs>
                <w:tab w:val="left" w:pos="1276"/>
                <w:tab w:val="center" w:pos="4762"/>
              </w:tabs>
              <w:rPr>
                <w:rFonts w:ascii="Arial" w:hAnsi="Arial" w:cs="Arial"/>
                <w:bCs/>
                <w:color w:val="000000" w:themeColor="text1"/>
                <w:sz w:val="18"/>
                <w:szCs w:val="18"/>
              </w:rPr>
            </w:pPr>
            <w:r w:rsidRPr="00E43B66">
              <w:rPr>
                <w:rFonts w:ascii="Arial" w:hAnsi="Arial" w:cs="Arial"/>
                <w:bCs/>
                <w:color w:val="000000" w:themeColor="text1"/>
                <w:sz w:val="18"/>
                <w:szCs w:val="18"/>
              </w:rPr>
              <w:t xml:space="preserve">Seules les opérations présentant une assiette éligible </w:t>
            </w:r>
            <w:r>
              <w:rPr>
                <w:rFonts w:ascii="Arial" w:hAnsi="Arial" w:cs="Arial"/>
                <w:bCs/>
                <w:color w:val="000000" w:themeColor="text1"/>
                <w:sz w:val="18"/>
                <w:szCs w:val="18"/>
              </w:rPr>
              <w:t>s</w:t>
            </w:r>
            <w:r w:rsidRPr="00E43B66">
              <w:rPr>
                <w:rFonts w:ascii="Arial" w:hAnsi="Arial" w:cs="Arial"/>
                <w:bCs/>
                <w:color w:val="000000" w:themeColor="text1"/>
                <w:sz w:val="18"/>
                <w:szCs w:val="18"/>
              </w:rPr>
              <w:t>upérieure à</w:t>
            </w:r>
            <w:r>
              <w:rPr>
                <w:rFonts w:ascii="Arial" w:hAnsi="Arial" w:cs="Arial"/>
                <w:bCs/>
                <w:color w:val="000000" w:themeColor="text1"/>
                <w:sz w:val="18"/>
                <w:szCs w:val="18"/>
              </w:rPr>
              <w:t xml:space="preserve"> </w:t>
            </w:r>
            <w:r w:rsidRPr="00E43B66">
              <w:rPr>
                <w:rFonts w:ascii="Arial" w:hAnsi="Arial" w:cs="Arial"/>
                <w:bCs/>
                <w:color w:val="000000" w:themeColor="text1"/>
                <w:sz w:val="18"/>
                <w:szCs w:val="18"/>
              </w:rPr>
              <w:t>200</w:t>
            </w:r>
            <w:r>
              <w:rPr>
                <w:rFonts w:ascii="Arial" w:hAnsi="Arial" w:cs="Arial"/>
                <w:bCs/>
                <w:color w:val="000000" w:themeColor="text1"/>
                <w:sz w:val="18"/>
                <w:szCs w:val="18"/>
              </w:rPr>
              <w:t> 000,00 €</w:t>
            </w:r>
            <w:r w:rsidRPr="00E43B66">
              <w:rPr>
                <w:rFonts w:ascii="Arial" w:hAnsi="Arial" w:cs="Arial"/>
                <w:bCs/>
                <w:color w:val="000000" w:themeColor="text1"/>
                <w:sz w:val="18"/>
                <w:szCs w:val="18"/>
              </w:rPr>
              <w:t xml:space="preserve"> HT ou TTC selon le régime de TVA</w:t>
            </w:r>
            <w:r>
              <w:rPr>
                <w:rFonts w:ascii="Arial" w:hAnsi="Arial" w:cs="Arial"/>
                <w:bCs/>
                <w:color w:val="000000" w:themeColor="text1"/>
                <w:sz w:val="18"/>
                <w:szCs w:val="18"/>
              </w:rPr>
              <w:t xml:space="preserve"> applicable seront financées.</w:t>
            </w:r>
          </w:p>
          <w:p w14:paraId="394DA54D" w14:textId="77777777" w:rsidR="00DB7F94" w:rsidRDefault="00E43B66" w:rsidP="00E43B66">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Pour </w:t>
            </w:r>
            <w:r w:rsidRPr="00E43B66">
              <w:rPr>
                <w:rFonts w:ascii="Arial" w:hAnsi="Arial" w:cs="Arial"/>
                <w:bCs/>
                <w:color w:val="FF0000"/>
                <w:sz w:val="18"/>
                <w:szCs w:val="18"/>
              </w:rPr>
              <w:t>les espaces de stationnement pour les vélos, les aires de covoiturage et les plateformes de mobilité</w:t>
            </w:r>
            <w:r>
              <w:rPr>
                <w:rFonts w:ascii="Arial" w:hAnsi="Arial" w:cs="Arial"/>
                <w:bCs/>
                <w:color w:val="000000" w:themeColor="text1"/>
                <w:sz w:val="18"/>
                <w:szCs w:val="18"/>
              </w:rPr>
              <w:t>, ce seuil est fixé à 50 000 € HT ou TTC selon le régime de TVA applicable à l’opération.</w:t>
            </w:r>
          </w:p>
          <w:p w14:paraId="6B43BA5E" w14:textId="114F4B8E" w:rsidR="002344E3" w:rsidRPr="00E43B66" w:rsidRDefault="002344E3" w:rsidP="00E43B66">
            <w:pPr>
              <w:tabs>
                <w:tab w:val="left" w:pos="1276"/>
                <w:tab w:val="center" w:pos="4762"/>
              </w:tabs>
              <w:rPr>
                <w:rFonts w:ascii="Arial" w:hAnsi="Arial" w:cs="Arial"/>
                <w:bCs/>
                <w:color w:val="000000" w:themeColor="text1"/>
                <w:sz w:val="18"/>
                <w:szCs w:val="18"/>
              </w:rPr>
            </w:pPr>
            <w:r w:rsidRPr="002344E3">
              <w:rPr>
                <w:rFonts w:ascii="Arial" w:hAnsi="Arial" w:cs="Arial"/>
                <w:bCs/>
                <w:color w:val="FF0000"/>
                <w:sz w:val="18"/>
                <w:szCs w:val="18"/>
              </w:rPr>
              <w:t>Pour les EPCI de moins de 100 000 habitants ou les communes appartenant à un EPCI de moins de 100 000 habitants</w:t>
            </w:r>
            <w:r>
              <w:rPr>
                <w:rFonts w:ascii="Arial" w:hAnsi="Arial" w:cs="Arial"/>
                <w:bCs/>
                <w:color w:val="FF0000"/>
                <w:sz w:val="18"/>
                <w:szCs w:val="18"/>
              </w:rPr>
              <w:t>, c</w:t>
            </w:r>
            <w:r w:rsidRPr="002344E3">
              <w:rPr>
                <w:rFonts w:ascii="Arial" w:hAnsi="Arial" w:cs="Arial"/>
                <w:bCs/>
                <w:color w:val="FF0000"/>
                <w:sz w:val="18"/>
                <w:szCs w:val="18"/>
              </w:rPr>
              <w:t>e seuil</w:t>
            </w:r>
            <w:r w:rsidRPr="002344E3">
              <w:rPr>
                <w:rFonts w:ascii="Arial" w:hAnsi="Arial" w:cs="Arial"/>
                <w:bCs/>
                <w:color w:val="000000" w:themeColor="text1"/>
                <w:sz w:val="18"/>
                <w:szCs w:val="18"/>
              </w:rPr>
              <w:t xml:space="preserve"> </w:t>
            </w:r>
            <w:r w:rsidRPr="002344E3">
              <w:rPr>
                <w:rFonts w:ascii="Arial" w:hAnsi="Arial" w:cs="Arial"/>
                <w:bCs/>
                <w:color w:val="FF0000"/>
                <w:sz w:val="18"/>
                <w:szCs w:val="18"/>
              </w:rPr>
              <w:t>est fixé à 50 000 € HT ou TTC selon le régime de TVA applicable à l’opération.</w:t>
            </w:r>
          </w:p>
        </w:tc>
      </w:tr>
      <w:tr w:rsidR="00DB7F94" w:rsidRPr="003C72EC" w14:paraId="5054D257" w14:textId="77777777" w:rsidTr="00BC28C9">
        <w:tc>
          <w:tcPr>
            <w:tcW w:w="9776" w:type="dxa"/>
            <w:gridSpan w:val="2"/>
          </w:tcPr>
          <w:p w14:paraId="51088EA3" w14:textId="1605C58C" w:rsidR="00DB7F94" w:rsidRPr="00E43B66" w:rsidRDefault="00E43B66" w:rsidP="00BF65AD">
            <w:pPr>
              <w:tabs>
                <w:tab w:val="left" w:pos="1276"/>
                <w:tab w:val="center" w:pos="4762"/>
              </w:tabs>
              <w:rPr>
                <w:rFonts w:ascii="Arial" w:hAnsi="Arial" w:cs="Arial"/>
                <w:b/>
                <w:bCs/>
                <w:color w:val="000000" w:themeColor="text1"/>
                <w:sz w:val="18"/>
                <w:szCs w:val="18"/>
              </w:rPr>
            </w:pPr>
            <w:r w:rsidRPr="00E43B66">
              <w:rPr>
                <w:rFonts w:ascii="Arial" w:hAnsi="Arial" w:cs="Arial"/>
                <w:b/>
                <w:bCs/>
                <w:color w:val="000000" w:themeColor="text1"/>
                <w:sz w:val="18"/>
                <w:szCs w:val="18"/>
              </w:rPr>
              <w:t>Critères d’éligibilité</w:t>
            </w:r>
            <w:r>
              <w:rPr>
                <w:rFonts w:ascii="Arial" w:hAnsi="Arial" w:cs="Arial"/>
                <w:b/>
                <w:bCs/>
                <w:color w:val="000000" w:themeColor="text1"/>
                <w:sz w:val="18"/>
                <w:szCs w:val="18"/>
              </w:rPr>
              <w:t> :</w:t>
            </w:r>
          </w:p>
        </w:tc>
      </w:tr>
      <w:tr w:rsidR="00585EB7" w:rsidRPr="003C72EC" w14:paraId="5A32DC7A" w14:textId="77777777" w:rsidTr="009C0D7B">
        <w:tc>
          <w:tcPr>
            <w:tcW w:w="4815" w:type="dxa"/>
          </w:tcPr>
          <w:p w14:paraId="22B36ADA" w14:textId="77777777" w:rsidR="00585EB7" w:rsidRDefault="00BF65AD" w:rsidP="00BF65AD">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L’ensemble des projets financés doivent :</w:t>
            </w:r>
          </w:p>
          <w:p w14:paraId="51581D0D" w14:textId="77777777" w:rsidR="00BF65AD" w:rsidRDefault="00BF65AD" w:rsidP="00BF65AD">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Être en cohérence avec les stratégies […]</w:t>
            </w:r>
          </w:p>
          <w:p w14:paraId="7C0880ED" w14:textId="77777777" w:rsidR="00BF65AD" w:rsidRDefault="00BF65AD" w:rsidP="00BF65AD">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S’inscrire dans un objectif […]</w:t>
            </w:r>
          </w:p>
          <w:p w14:paraId="11D80E79" w14:textId="1E9ED016" w:rsidR="00BF65AD" w:rsidRDefault="00BF65AD" w:rsidP="00BF65AD">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Être localisé dans une zone fonctionnelle urbaine (FUA Eurostat/INSEE) ou une unité urbaine (UU/INSEE), ou assurer une connexion entre ces zones ou unités urbaines.</w:t>
            </w:r>
          </w:p>
          <w:p w14:paraId="4DA19456" w14:textId="1E585629" w:rsidR="00B9172B" w:rsidRDefault="00B9172B" w:rsidP="00B9172B">
            <w:pPr>
              <w:tabs>
                <w:tab w:val="left" w:pos="1276"/>
                <w:tab w:val="center" w:pos="4762"/>
              </w:tabs>
              <w:rPr>
                <w:rFonts w:ascii="Arial" w:hAnsi="Arial" w:cs="Arial"/>
                <w:bCs/>
                <w:color w:val="000000" w:themeColor="text1"/>
                <w:sz w:val="18"/>
                <w:szCs w:val="18"/>
              </w:rPr>
            </w:pPr>
          </w:p>
          <w:p w14:paraId="3DEE3371" w14:textId="52E91E61" w:rsidR="00B9172B" w:rsidRDefault="00B9172B" w:rsidP="00B9172B">
            <w:pPr>
              <w:tabs>
                <w:tab w:val="left" w:pos="1276"/>
                <w:tab w:val="center" w:pos="4762"/>
              </w:tabs>
              <w:rPr>
                <w:rFonts w:ascii="Arial" w:hAnsi="Arial" w:cs="Arial"/>
                <w:bCs/>
                <w:color w:val="000000" w:themeColor="text1"/>
                <w:sz w:val="18"/>
                <w:szCs w:val="18"/>
              </w:rPr>
            </w:pPr>
          </w:p>
          <w:p w14:paraId="543F58F6" w14:textId="77777777" w:rsidR="00B9172B" w:rsidRPr="00B9172B" w:rsidRDefault="00B9172B" w:rsidP="00B9172B">
            <w:pPr>
              <w:tabs>
                <w:tab w:val="left" w:pos="1276"/>
                <w:tab w:val="center" w:pos="4762"/>
              </w:tabs>
              <w:rPr>
                <w:rFonts w:ascii="Arial" w:hAnsi="Arial" w:cs="Arial"/>
                <w:bCs/>
                <w:color w:val="000000" w:themeColor="text1"/>
                <w:sz w:val="18"/>
                <w:szCs w:val="18"/>
              </w:rPr>
            </w:pPr>
          </w:p>
          <w:p w14:paraId="159DB868" w14:textId="303ED7E9" w:rsidR="00C751D0" w:rsidRDefault="00C751D0" w:rsidP="00635C88">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Les projets d’aménagements cyclables et piétons doivent à la fois : </w:t>
            </w:r>
          </w:p>
          <w:p w14:paraId="137136A9" w14:textId="6E16A5B0" w:rsidR="000F3FDE" w:rsidRDefault="00C751D0" w:rsidP="000F3FDE">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Être inscrits au Schéma Régional des </w:t>
            </w:r>
            <w:proofErr w:type="spellStart"/>
            <w:r>
              <w:rPr>
                <w:rFonts w:ascii="Arial" w:hAnsi="Arial" w:cs="Arial"/>
                <w:bCs/>
                <w:color w:val="000000" w:themeColor="text1"/>
                <w:sz w:val="18"/>
                <w:szCs w:val="18"/>
              </w:rPr>
              <w:t>véloroutes</w:t>
            </w:r>
            <w:proofErr w:type="spellEnd"/>
            <w:r>
              <w:rPr>
                <w:rFonts w:ascii="Arial" w:hAnsi="Arial" w:cs="Arial"/>
                <w:bCs/>
                <w:color w:val="000000" w:themeColor="text1"/>
                <w:sz w:val="18"/>
                <w:szCs w:val="18"/>
              </w:rPr>
              <w:t xml:space="preserve"> voies vertes (SR3V) ou permettre sa connexion aux principaux pôles générateurs (antennes vers les gares et haltes, les principaux sites touristiques patrimoniaux ou naturels accueillant plus de 10 000 personnes par ans, les lycées et les centres de formation des apprentis, ou les zones d’emploi de plus de 500 salariés) ;</w:t>
            </w:r>
          </w:p>
          <w:p w14:paraId="75DF47D9" w14:textId="1EC2146D" w:rsidR="000F3FDE" w:rsidRDefault="000F3FDE" w:rsidP="000F3FDE">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Assurer la lisibilité, la linéarité, la continuité et la sécurité de l’itinéraire ;</w:t>
            </w:r>
          </w:p>
          <w:p w14:paraId="16965EC2" w14:textId="47865A88" w:rsidR="000F3FDE" w:rsidRDefault="000F3FDE" w:rsidP="000F3FDE">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lastRenderedPageBreak/>
              <w:t>Favoriser la desserte de pôles générateurs de flux ;</w:t>
            </w:r>
          </w:p>
          <w:p w14:paraId="084BEFCC" w14:textId="60F502F4" w:rsidR="000F3FDE" w:rsidRDefault="000F3FDE" w:rsidP="000F3FDE">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Le cas échéant, favoriser l’intermodalité avec les autres modes, en particulier les transports en commun ;</w:t>
            </w:r>
          </w:p>
          <w:p w14:paraId="1B514D7B" w14:textId="2EDEC79B" w:rsidR="000F3FDE" w:rsidRPr="00C21EA6" w:rsidRDefault="000F3FDE" w:rsidP="000F3FDE">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Être en site propre, autrement dit être physiquement séparés de la circulation automobile (piste cyclable séparée de la chaussée, voie rurale réservée sauf riverains et engins autorisés, couloir bus, voie verte, chemin de halage). Une tolérance peut être accordée aux itinéraires comprenant des tronçons ne pouvant pas être réalisés en site propre, après analyse des contraintes techniques inhérentes à la particularité de l’opération.</w:t>
            </w:r>
          </w:p>
          <w:p w14:paraId="121417F2" w14:textId="3559FE74" w:rsidR="000F3FDE" w:rsidRDefault="000F3FDE" w:rsidP="000F3FDE">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Dans le cadre des projets de résorptions de points durs cyclables et piétons, sont éligibles les dépenses relatives à l’aménagement d’itinéraires raccourcis, continus et </w:t>
            </w:r>
            <w:r w:rsidR="00C21EA6">
              <w:rPr>
                <w:rFonts w:ascii="Arial" w:hAnsi="Arial" w:cs="Arial"/>
                <w:bCs/>
                <w:color w:val="000000" w:themeColor="text1"/>
                <w:sz w:val="18"/>
                <w:szCs w:val="18"/>
              </w:rPr>
              <w:t>confortables</w:t>
            </w:r>
            <w:r>
              <w:rPr>
                <w:rFonts w:ascii="Arial" w:hAnsi="Arial" w:cs="Arial"/>
                <w:bCs/>
                <w:color w:val="000000" w:themeColor="text1"/>
                <w:sz w:val="18"/>
                <w:szCs w:val="18"/>
              </w:rPr>
              <w:t xml:space="preserve"> adaptés à l’usage des modes actifs. Sont concernés en particulier les investissements de type linéaire, ouvrages d’art, passerelles, rampes d’accès, aménagements de type </w:t>
            </w:r>
            <w:r w:rsidR="00C21EA6">
              <w:rPr>
                <w:rFonts w:ascii="Arial" w:hAnsi="Arial" w:cs="Arial"/>
                <w:bCs/>
                <w:color w:val="000000" w:themeColor="text1"/>
                <w:sz w:val="18"/>
                <w:szCs w:val="18"/>
              </w:rPr>
              <w:t>carrefours</w:t>
            </w:r>
            <w:r>
              <w:rPr>
                <w:rFonts w:ascii="Arial" w:hAnsi="Arial" w:cs="Arial"/>
                <w:bCs/>
                <w:color w:val="000000" w:themeColor="text1"/>
                <w:sz w:val="18"/>
                <w:szCs w:val="18"/>
              </w:rPr>
              <w:t xml:space="preserve">, permettant la suppression d’une </w:t>
            </w:r>
            <w:r w:rsidR="00C21EA6">
              <w:rPr>
                <w:rFonts w:ascii="Arial" w:hAnsi="Arial" w:cs="Arial"/>
                <w:bCs/>
                <w:color w:val="000000" w:themeColor="text1"/>
                <w:sz w:val="18"/>
                <w:szCs w:val="18"/>
              </w:rPr>
              <w:t>coupure</w:t>
            </w:r>
            <w:r>
              <w:rPr>
                <w:rFonts w:ascii="Arial" w:hAnsi="Arial" w:cs="Arial"/>
                <w:bCs/>
                <w:color w:val="000000" w:themeColor="text1"/>
                <w:sz w:val="18"/>
                <w:szCs w:val="18"/>
              </w:rPr>
              <w:t xml:space="preserve"> urbaine faisant </w:t>
            </w:r>
            <w:r w:rsidR="00C21EA6">
              <w:rPr>
                <w:rFonts w:ascii="Arial" w:hAnsi="Arial" w:cs="Arial"/>
                <w:bCs/>
                <w:color w:val="000000" w:themeColor="text1"/>
                <w:sz w:val="18"/>
                <w:szCs w:val="18"/>
              </w:rPr>
              <w:t>obstacle</w:t>
            </w:r>
            <w:r>
              <w:rPr>
                <w:rFonts w:ascii="Arial" w:hAnsi="Arial" w:cs="Arial"/>
                <w:bCs/>
                <w:color w:val="000000" w:themeColor="text1"/>
                <w:sz w:val="18"/>
                <w:szCs w:val="18"/>
              </w:rPr>
              <w:t xml:space="preserve"> à la </w:t>
            </w:r>
            <w:r w:rsidR="00C21EA6">
              <w:rPr>
                <w:rFonts w:ascii="Arial" w:hAnsi="Arial" w:cs="Arial"/>
                <w:bCs/>
                <w:color w:val="000000" w:themeColor="text1"/>
                <w:sz w:val="18"/>
                <w:szCs w:val="18"/>
              </w:rPr>
              <w:t>continuité</w:t>
            </w:r>
            <w:r>
              <w:rPr>
                <w:rFonts w:ascii="Arial" w:hAnsi="Arial" w:cs="Arial"/>
                <w:bCs/>
                <w:color w:val="000000" w:themeColor="text1"/>
                <w:sz w:val="18"/>
                <w:szCs w:val="18"/>
              </w:rPr>
              <w:t xml:space="preserve"> de l’itinéraire.</w:t>
            </w:r>
          </w:p>
          <w:p w14:paraId="58836D26" w14:textId="77777777" w:rsidR="00B9172B" w:rsidRDefault="00B9172B" w:rsidP="000F3FDE">
            <w:pPr>
              <w:tabs>
                <w:tab w:val="left" w:pos="1276"/>
                <w:tab w:val="center" w:pos="4762"/>
              </w:tabs>
              <w:rPr>
                <w:rFonts w:ascii="Arial" w:hAnsi="Arial" w:cs="Arial"/>
                <w:bCs/>
                <w:color w:val="000000" w:themeColor="text1"/>
                <w:sz w:val="18"/>
                <w:szCs w:val="18"/>
              </w:rPr>
            </w:pPr>
          </w:p>
          <w:p w14:paraId="5F2D9BBC" w14:textId="73FD9442" w:rsidR="004138A8" w:rsidRDefault="00635C88" w:rsidP="00635C88">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w:t>
            </w:r>
            <w:r w:rsidR="004138A8">
              <w:rPr>
                <w:rFonts w:ascii="Arial" w:hAnsi="Arial" w:cs="Arial"/>
                <w:bCs/>
                <w:color w:val="000000" w:themeColor="text1"/>
                <w:sz w:val="18"/>
                <w:szCs w:val="18"/>
              </w:rPr>
              <w:t>]</w:t>
            </w:r>
          </w:p>
          <w:p w14:paraId="7610EA63" w14:textId="77777777" w:rsidR="004138A8" w:rsidRDefault="004138A8" w:rsidP="004138A8">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Les aires de covoiturage doivent répondre aux critères d’opportunité suivants :</w:t>
            </w:r>
          </w:p>
          <w:p w14:paraId="01FCD027" w14:textId="77777777" w:rsidR="004138A8" w:rsidRDefault="004138A8" w:rsidP="004138A8">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L’aire est dite « structurante » […] </w:t>
            </w:r>
          </w:p>
          <w:p w14:paraId="5ACA2921" w14:textId="77777777" w:rsidR="004138A8" w:rsidRDefault="004138A8" w:rsidP="004138A8">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L’aire est complémentaire et non concurrentielle aux réseaux de transport en commun existants et/ou à d’autres modes de transports (logique de chaîne d’intermodalité). Cet aspect doit être argumenté sur l’usage attendu de l’aire par rapport à l’offre de transports en commun existant à proximité.</w:t>
            </w:r>
          </w:p>
          <w:p w14:paraId="130EFBA9" w14:textId="1898C357" w:rsidR="004138A8" w:rsidRPr="00635C88" w:rsidRDefault="004138A8" w:rsidP="004138A8">
            <w:pPr>
              <w:tabs>
                <w:tab w:val="left" w:pos="1276"/>
                <w:tab w:val="center" w:pos="4762"/>
              </w:tabs>
              <w:rPr>
                <w:rFonts w:ascii="Arial" w:hAnsi="Arial" w:cs="Arial"/>
                <w:bCs/>
                <w:color w:val="000000" w:themeColor="text1"/>
                <w:sz w:val="18"/>
                <w:szCs w:val="18"/>
              </w:rPr>
            </w:pPr>
            <w:r w:rsidRPr="00635C88">
              <w:rPr>
                <w:rFonts w:ascii="Arial" w:hAnsi="Arial" w:cs="Arial"/>
                <w:bCs/>
                <w:color w:val="000000" w:themeColor="text1"/>
                <w:sz w:val="18"/>
                <w:szCs w:val="18"/>
              </w:rPr>
              <w:t>[…]</w:t>
            </w:r>
          </w:p>
        </w:tc>
        <w:tc>
          <w:tcPr>
            <w:tcW w:w="4961" w:type="dxa"/>
          </w:tcPr>
          <w:p w14:paraId="4F9C0428" w14:textId="77777777" w:rsidR="00BF65AD" w:rsidRDefault="00BF65AD" w:rsidP="00BF65AD">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lastRenderedPageBreak/>
              <w:t>L’ensemble des projets financés doivent :</w:t>
            </w:r>
          </w:p>
          <w:p w14:paraId="2F585C7B" w14:textId="77777777" w:rsidR="00BF65AD" w:rsidRDefault="00BF65AD" w:rsidP="00BF65AD">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Être en cohérence avec les stratégies […]</w:t>
            </w:r>
          </w:p>
          <w:p w14:paraId="135C7DC0" w14:textId="77777777" w:rsidR="00BF65AD" w:rsidRDefault="00BF65AD" w:rsidP="00BF65AD">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S’inscrire dans un objectif […]</w:t>
            </w:r>
          </w:p>
          <w:p w14:paraId="3A5673E1" w14:textId="44671C45" w:rsidR="00585EB7" w:rsidRDefault="00BF65AD" w:rsidP="00BF65AD">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Être localisé dans une zone fonctionnelle urbaine (FUA Eurostat/INSEE) ou une unité urbaine (UU/INSEE)</w:t>
            </w:r>
            <w:r w:rsidRPr="00BF65AD">
              <w:rPr>
                <w:rFonts w:ascii="Arial" w:hAnsi="Arial" w:cs="Arial"/>
                <w:bCs/>
                <w:strike/>
                <w:color w:val="FF0000"/>
                <w:sz w:val="18"/>
                <w:szCs w:val="18"/>
              </w:rPr>
              <w:t>, ou assurer une connexion entre ces zones ou unités urbaines</w:t>
            </w:r>
            <w:r w:rsidRPr="00BF65AD">
              <w:rPr>
                <w:rFonts w:ascii="Arial" w:hAnsi="Arial" w:cs="Arial"/>
                <w:bCs/>
                <w:color w:val="000000" w:themeColor="text1"/>
                <w:sz w:val="18"/>
                <w:szCs w:val="18"/>
              </w:rPr>
              <w:t>.</w:t>
            </w:r>
          </w:p>
          <w:p w14:paraId="0A432A1A" w14:textId="61F4B58A" w:rsidR="00BF65AD" w:rsidRDefault="00BF65AD" w:rsidP="00BF65AD">
            <w:pPr>
              <w:tabs>
                <w:tab w:val="left" w:pos="1276"/>
                <w:tab w:val="center" w:pos="4762"/>
              </w:tabs>
              <w:rPr>
                <w:rFonts w:ascii="Arial" w:hAnsi="Arial" w:cs="Arial"/>
                <w:bCs/>
                <w:color w:val="FF0000"/>
                <w:sz w:val="18"/>
                <w:szCs w:val="18"/>
              </w:rPr>
            </w:pPr>
            <w:r w:rsidRPr="00BF65AD">
              <w:rPr>
                <w:rFonts w:ascii="Arial" w:hAnsi="Arial" w:cs="Arial"/>
                <w:bCs/>
                <w:color w:val="FF0000"/>
                <w:sz w:val="18"/>
                <w:szCs w:val="18"/>
              </w:rPr>
              <w:t>Une tolérance pourra être accordée aux itinéraires dont la majorité du linéaire est en zone fonctionnelle urbaine ou une unité urbaine.</w:t>
            </w:r>
          </w:p>
          <w:p w14:paraId="03E565E6" w14:textId="77777777" w:rsidR="00B9172B" w:rsidRDefault="00B9172B" w:rsidP="00BF65AD">
            <w:pPr>
              <w:tabs>
                <w:tab w:val="left" w:pos="1276"/>
                <w:tab w:val="center" w:pos="4762"/>
              </w:tabs>
              <w:rPr>
                <w:rFonts w:ascii="Arial" w:hAnsi="Arial" w:cs="Arial"/>
                <w:bCs/>
                <w:color w:val="FF0000"/>
                <w:sz w:val="18"/>
                <w:szCs w:val="18"/>
              </w:rPr>
            </w:pPr>
          </w:p>
          <w:p w14:paraId="5D3100D9" w14:textId="77758493" w:rsidR="00C751D0" w:rsidRDefault="00C751D0" w:rsidP="00C751D0">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Les projets d’aménagements cyclables et piétons </w:t>
            </w:r>
            <w:r w:rsidR="00690CDB" w:rsidRPr="00690CDB">
              <w:rPr>
                <w:rFonts w:ascii="Arial" w:hAnsi="Arial" w:cs="Arial"/>
                <w:bCs/>
                <w:color w:val="FF0000"/>
                <w:sz w:val="18"/>
                <w:szCs w:val="18"/>
              </w:rPr>
              <w:t>et les projets de résorption de point durs cyclables et piétons</w:t>
            </w:r>
            <w:r w:rsidR="00690CDB">
              <w:rPr>
                <w:rFonts w:ascii="Arial" w:hAnsi="Arial" w:cs="Arial"/>
                <w:bCs/>
                <w:color w:val="FF0000"/>
                <w:sz w:val="18"/>
                <w:szCs w:val="18"/>
              </w:rPr>
              <w:t xml:space="preserve"> </w:t>
            </w:r>
            <w:r>
              <w:rPr>
                <w:rFonts w:ascii="Arial" w:hAnsi="Arial" w:cs="Arial"/>
                <w:bCs/>
                <w:color w:val="000000" w:themeColor="text1"/>
                <w:sz w:val="18"/>
                <w:szCs w:val="18"/>
              </w:rPr>
              <w:t xml:space="preserve">doivent à la fois : </w:t>
            </w:r>
          </w:p>
          <w:p w14:paraId="2054BA0B" w14:textId="77777777" w:rsidR="00690CDB" w:rsidRDefault="00690CDB" w:rsidP="00690CDB">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Assurer la lisibilité, la linéarité, la continuité et la sécurité de l’itinéraire ;</w:t>
            </w:r>
          </w:p>
          <w:p w14:paraId="6D720877" w14:textId="77777777" w:rsidR="00690CDB" w:rsidRDefault="00690CDB" w:rsidP="00690CDB">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Favoriser la desserte de pôles générateurs de flux ;</w:t>
            </w:r>
          </w:p>
          <w:p w14:paraId="4ABBC094" w14:textId="77777777" w:rsidR="00690CDB" w:rsidRDefault="00690CDB" w:rsidP="00690CDB">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Le cas échéant, favoriser l’intermodalité avec les autres modes, en particulier les transports en commun ;</w:t>
            </w:r>
          </w:p>
          <w:p w14:paraId="1FD7D7A4" w14:textId="77777777" w:rsidR="00690CDB" w:rsidRPr="00C21EA6" w:rsidRDefault="00690CDB" w:rsidP="00690CDB">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Être en site propre, autrement dit être physiquement séparés de la circulation automobile </w:t>
            </w:r>
            <w:r>
              <w:rPr>
                <w:rFonts w:ascii="Arial" w:hAnsi="Arial" w:cs="Arial"/>
                <w:bCs/>
                <w:color w:val="000000" w:themeColor="text1"/>
                <w:sz w:val="18"/>
                <w:szCs w:val="18"/>
              </w:rPr>
              <w:lastRenderedPageBreak/>
              <w:t>(piste cyclable séparée de la chaussée, voie rurale réservée sauf riverains et engins autorisés, couloir bus, voie verte, chemin de halage). Une tolérance peut être accordée aux itinéraires comprenant des tronçons ne pouvant pas être réalisés en site propre, après analyse des contraintes techniques inhérentes à la particularité de l’opération.</w:t>
            </w:r>
          </w:p>
          <w:p w14:paraId="36787B4E" w14:textId="40051C86" w:rsidR="00690CDB" w:rsidRDefault="00690CDB" w:rsidP="00690CDB">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Dans le cadre des projets de résorptions de points durs cyclables et piétons, sont éligibles les dépenses relatives à l’aménagement d’itinéraires raccourcis, continus et confortables adaptés à l’usage des modes actifs. Sont concernés en particulier les investissements de type linéaire, ouvrages d’art, passerelles, rampes d’accès, aménagements de type carrefours, permettant la suppression d’une coupure urbaine faisant obstacle à la continuité de l’itinéraire.</w:t>
            </w:r>
          </w:p>
          <w:p w14:paraId="57A0E517" w14:textId="18A9B775" w:rsidR="00690CDB" w:rsidRPr="00AA5953" w:rsidRDefault="00690CDB" w:rsidP="00690CDB">
            <w:pPr>
              <w:tabs>
                <w:tab w:val="left" w:pos="1276"/>
                <w:tab w:val="center" w:pos="4762"/>
              </w:tabs>
              <w:rPr>
                <w:rFonts w:ascii="Arial" w:hAnsi="Arial" w:cs="Arial"/>
                <w:bCs/>
                <w:color w:val="000000" w:themeColor="text1"/>
                <w:sz w:val="18"/>
                <w:szCs w:val="18"/>
              </w:rPr>
            </w:pPr>
            <w:r w:rsidRPr="00AA5953">
              <w:rPr>
                <w:rFonts w:ascii="Arial" w:hAnsi="Arial" w:cs="Arial"/>
                <w:bCs/>
                <w:color w:val="FF0000"/>
                <w:sz w:val="18"/>
                <w:szCs w:val="18"/>
              </w:rPr>
              <w:t xml:space="preserve">Dans le cadre des projets de création d’itinéraires structurants en site propre réservés aux modes actifs, ceux-ci doivent être inscrits au Schéma Régional des </w:t>
            </w:r>
            <w:proofErr w:type="spellStart"/>
            <w:r w:rsidRPr="00AA5953">
              <w:rPr>
                <w:rFonts w:ascii="Arial" w:hAnsi="Arial" w:cs="Arial"/>
                <w:bCs/>
                <w:color w:val="FF0000"/>
                <w:sz w:val="18"/>
                <w:szCs w:val="18"/>
              </w:rPr>
              <w:t>véloroutes</w:t>
            </w:r>
            <w:proofErr w:type="spellEnd"/>
            <w:r w:rsidRPr="00AA5953">
              <w:rPr>
                <w:rFonts w:ascii="Arial" w:hAnsi="Arial" w:cs="Arial"/>
                <w:bCs/>
                <w:color w:val="FF0000"/>
                <w:sz w:val="18"/>
                <w:szCs w:val="18"/>
              </w:rPr>
              <w:t xml:space="preserve"> voies vertes (SR3V) ou permettre la connexion de celui-ci aux principaux pôles générateurs (antennes vers les gares et haltes, les principaux sites touristiques patrimoniaux ou naturels accueillant plus de 10 000 personnes par an, les lycées et les centres de formation des apprentis, ou les zones d’emploi de plus de 500 salariés).</w:t>
            </w:r>
          </w:p>
          <w:p w14:paraId="0931C242" w14:textId="415EB154" w:rsidR="00635C88" w:rsidRDefault="00635C88" w:rsidP="00BF65AD">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w:t>
            </w:r>
          </w:p>
          <w:p w14:paraId="7A1B0CE2" w14:textId="77777777" w:rsidR="004138A8" w:rsidRDefault="004138A8" w:rsidP="004138A8">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Les aires de covoiturage doivent répondre aux critères d’opportunité suivants :</w:t>
            </w:r>
          </w:p>
          <w:p w14:paraId="7ACA26F8" w14:textId="77777777" w:rsidR="004138A8" w:rsidRDefault="004138A8" w:rsidP="004138A8">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L’aire est dite « structurante » […] </w:t>
            </w:r>
          </w:p>
          <w:p w14:paraId="3845F573" w14:textId="77777777" w:rsidR="004138A8" w:rsidRDefault="004138A8" w:rsidP="004138A8">
            <w:pPr>
              <w:pStyle w:val="Paragraphedeliste"/>
              <w:numPr>
                <w:ilvl w:val="0"/>
                <w:numId w:val="27"/>
              </w:num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 xml:space="preserve">L’aire est </w:t>
            </w:r>
            <w:r w:rsidRPr="000C108B">
              <w:rPr>
                <w:rFonts w:ascii="Arial" w:hAnsi="Arial" w:cs="Arial"/>
                <w:bCs/>
                <w:strike/>
                <w:color w:val="FF0000"/>
                <w:sz w:val="18"/>
                <w:szCs w:val="18"/>
              </w:rPr>
              <w:t>complémentaire et</w:t>
            </w:r>
            <w:r w:rsidRPr="000C108B">
              <w:rPr>
                <w:rFonts w:ascii="Arial" w:hAnsi="Arial" w:cs="Arial"/>
                <w:bCs/>
                <w:color w:val="FF0000"/>
                <w:sz w:val="18"/>
                <w:szCs w:val="18"/>
              </w:rPr>
              <w:t xml:space="preserve"> </w:t>
            </w:r>
            <w:r>
              <w:rPr>
                <w:rFonts w:ascii="Arial" w:hAnsi="Arial" w:cs="Arial"/>
                <w:bCs/>
                <w:color w:val="000000" w:themeColor="text1"/>
                <w:sz w:val="18"/>
                <w:szCs w:val="18"/>
              </w:rPr>
              <w:t>non concurrentielle aux réseaux de transport en commun existants et/ou à d’autres modes de transports (logique de chaîne d’intermodalité). Cet aspect doit être argumenté sur l’usage attendu de l’aire par rapport à l’offre de transports en commun existant à proximité.</w:t>
            </w:r>
          </w:p>
          <w:p w14:paraId="27BEB502" w14:textId="73B5C359" w:rsidR="004138A8" w:rsidRPr="00BF65AD" w:rsidRDefault="004138A8" w:rsidP="00BF65AD">
            <w:pPr>
              <w:tabs>
                <w:tab w:val="left" w:pos="1276"/>
                <w:tab w:val="center" w:pos="4762"/>
              </w:tabs>
              <w:rPr>
                <w:rFonts w:ascii="Arial" w:hAnsi="Arial" w:cs="Arial"/>
                <w:bCs/>
                <w:color w:val="000000" w:themeColor="text1"/>
                <w:sz w:val="18"/>
                <w:szCs w:val="18"/>
              </w:rPr>
            </w:pPr>
            <w:r>
              <w:rPr>
                <w:rFonts w:ascii="Arial" w:hAnsi="Arial" w:cs="Arial"/>
                <w:bCs/>
                <w:color w:val="000000" w:themeColor="text1"/>
                <w:sz w:val="18"/>
                <w:szCs w:val="18"/>
              </w:rPr>
              <w:t>[…]</w:t>
            </w:r>
          </w:p>
        </w:tc>
      </w:tr>
    </w:tbl>
    <w:p w14:paraId="6C410A7C" w14:textId="77777777" w:rsidR="00585EB7" w:rsidRPr="003C72EC" w:rsidRDefault="00585EB7" w:rsidP="00585EB7">
      <w:pPr>
        <w:tabs>
          <w:tab w:val="left" w:pos="1276"/>
          <w:tab w:val="center" w:pos="4762"/>
        </w:tabs>
        <w:jc w:val="center"/>
        <w:rPr>
          <w:rFonts w:ascii="Arial" w:hAnsi="Arial" w:cs="Arial"/>
          <w:b/>
          <w:bCs/>
          <w:i/>
          <w:color w:val="000000" w:themeColor="text1"/>
          <w:sz w:val="18"/>
          <w:szCs w:val="18"/>
        </w:rPr>
      </w:pPr>
    </w:p>
    <w:p w14:paraId="163C32E8" w14:textId="77777777" w:rsidR="00585EB7" w:rsidRDefault="00585EB7" w:rsidP="00585EB7">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1FB14C6A" w14:textId="6BAA6D00" w:rsidR="000B2680" w:rsidRDefault="000B2680" w:rsidP="00585EB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 xml:space="preserve">La </w:t>
      </w:r>
      <w:r w:rsidR="004F48C4">
        <w:rPr>
          <w:rFonts w:ascii="Arial" w:hAnsi="Arial" w:cs="Arial"/>
          <w:bCs/>
          <w:color w:val="000000" w:themeColor="text1"/>
          <w:sz w:val="18"/>
          <w:szCs w:val="18"/>
        </w:rPr>
        <w:t xml:space="preserve">première </w:t>
      </w:r>
      <w:r>
        <w:rPr>
          <w:rFonts w:ascii="Arial" w:hAnsi="Arial" w:cs="Arial"/>
          <w:bCs/>
          <w:color w:val="000000" w:themeColor="text1"/>
          <w:sz w:val="18"/>
          <w:szCs w:val="18"/>
        </w:rPr>
        <w:t xml:space="preserve">modification concernant le </w:t>
      </w:r>
      <w:r w:rsidRPr="00E5764A">
        <w:rPr>
          <w:rFonts w:ascii="Arial" w:hAnsi="Arial" w:cs="Arial"/>
          <w:b/>
          <w:bCs/>
          <w:color w:val="000000" w:themeColor="text1"/>
          <w:sz w:val="18"/>
          <w:szCs w:val="18"/>
        </w:rPr>
        <w:t>seuil minimal</w:t>
      </w:r>
      <w:r>
        <w:rPr>
          <w:rFonts w:ascii="Arial" w:hAnsi="Arial" w:cs="Arial"/>
          <w:bCs/>
          <w:color w:val="000000" w:themeColor="text1"/>
          <w:sz w:val="18"/>
          <w:szCs w:val="18"/>
        </w:rPr>
        <w:t xml:space="preserve"> vient baisser le seuil </w:t>
      </w:r>
      <w:r w:rsidR="00E5764A">
        <w:rPr>
          <w:rFonts w:ascii="Arial" w:hAnsi="Arial" w:cs="Arial"/>
          <w:bCs/>
          <w:color w:val="000000" w:themeColor="text1"/>
          <w:sz w:val="18"/>
          <w:szCs w:val="18"/>
        </w:rPr>
        <w:t xml:space="preserve">minimal de financement </w:t>
      </w:r>
      <w:r>
        <w:rPr>
          <w:rFonts w:ascii="Arial" w:hAnsi="Arial" w:cs="Arial"/>
          <w:bCs/>
          <w:color w:val="000000" w:themeColor="text1"/>
          <w:sz w:val="18"/>
          <w:szCs w:val="18"/>
        </w:rPr>
        <w:t>pour les espaces de stationnement vélos à 50 000 €HT contre 200</w:t>
      </w:r>
      <w:r w:rsidR="00E5764A">
        <w:rPr>
          <w:rFonts w:ascii="Arial" w:hAnsi="Arial" w:cs="Arial"/>
          <w:bCs/>
          <w:color w:val="000000" w:themeColor="text1"/>
          <w:sz w:val="18"/>
          <w:szCs w:val="18"/>
        </w:rPr>
        <w:t> </w:t>
      </w:r>
      <w:r>
        <w:rPr>
          <w:rFonts w:ascii="Arial" w:hAnsi="Arial" w:cs="Arial"/>
          <w:bCs/>
          <w:color w:val="000000" w:themeColor="text1"/>
          <w:sz w:val="18"/>
          <w:szCs w:val="18"/>
        </w:rPr>
        <w:t>000</w:t>
      </w:r>
      <w:r w:rsidR="00E5764A">
        <w:rPr>
          <w:rFonts w:ascii="Arial" w:hAnsi="Arial" w:cs="Arial"/>
          <w:bCs/>
          <w:color w:val="000000" w:themeColor="text1"/>
          <w:sz w:val="18"/>
          <w:szCs w:val="18"/>
        </w:rPr>
        <w:t> </w:t>
      </w:r>
      <w:r>
        <w:rPr>
          <w:rFonts w:ascii="Arial" w:hAnsi="Arial" w:cs="Arial"/>
          <w:bCs/>
          <w:color w:val="000000" w:themeColor="text1"/>
          <w:sz w:val="18"/>
          <w:szCs w:val="18"/>
        </w:rPr>
        <w:t>€HT dans la version actuelle du DOMO. Cette modification intervient suite à une volonté interne DIMCSNE afin de</w:t>
      </w:r>
      <w:r w:rsidR="008579D6">
        <w:rPr>
          <w:rFonts w:ascii="Arial" w:hAnsi="Arial" w:cs="Arial"/>
          <w:bCs/>
          <w:color w:val="000000" w:themeColor="text1"/>
          <w:sz w:val="18"/>
          <w:szCs w:val="18"/>
        </w:rPr>
        <w:t xml:space="preserve"> pouvoir</w:t>
      </w:r>
      <w:r>
        <w:rPr>
          <w:rFonts w:ascii="Arial" w:hAnsi="Arial" w:cs="Arial"/>
          <w:bCs/>
          <w:color w:val="000000" w:themeColor="text1"/>
          <w:sz w:val="18"/>
          <w:szCs w:val="18"/>
        </w:rPr>
        <w:t xml:space="preserve"> financer notamment les espaces de stationnement qui devront voir le jour dans le cadre de la LOM.</w:t>
      </w:r>
    </w:p>
    <w:p w14:paraId="44F7CAD7" w14:textId="1615E064" w:rsidR="004F48C4" w:rsidRDefault="004F48C4" w:rsidP="00585EB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 xml:space="preserve">La seconde modification concernant le </w:t>
      </w:r>
      <w:r w:rsidRPr="00E5764A">
        <w:rPr>
          <w:rFonts w:ascii="Arial" w:hAnsi="Arial" w:cs="Arial"/>
          <w:b/>
          <w:bCs/>
          <w:color w:val="000000" w:themeColor="text1"/>
          <w:sz w:val="18"/>
          <w:szCs w:val="18"/>
        </w:rPr>
        <w:t>seuil minimal</w:t>
      </w:r>
      <w:r>
        <w:rPr>
          <w:rFonts w:ascii="Arial" w:hAnsi="Arial" w:cs="Arial"/>
          <w:bCs/>
          <w:color w:val="000000" w:themeColor="text1"/>
          <w:sz w:val="18"/>
          <w:szCs w:val="18"/>
        </w:rPr>
        <w:t xml:space="preserve"> vient baisser le seuil minimal de financement pour toutes les opérations de l’action 1 à 50 000 €HT contre 200 000 €HT dans la version actuelle du DOMO. Cette modification intervient suite à une volonté interne DIMCSNE afin de pouvoir financer des projets identifiés aujourd’hui, en parfaite adéquation avec le DOMO mais rendus inéligibles au vue de leur faible montant.</w:t>
      </w:r>
    </w:p>
    <w:p w14:paraId="5B27BC08" w14:textId="381F7D66" w:rsidR="0001136D" w:rsidRPr="004C1703" w:rsidRDefault="0001136D" w:rsidP="00585EB7">
      <w:pPr>
        <w:tabs>
          <w:tab w:val="left" w:pos="1276"/>
          <w:tab w:val="center" w:pos="4762"/>
        </w:tabs>
        <w:jc w:val="both"/>
        <w:rPr>
          <w:rFonts w:ascii="Arial" w:hAnsi="Arial" w:cs="Arial"/>
          <w:bCs/>
          <w:color w:val="000000" w:themeColor="text1"/>
          <w:sz w:val="18"/>
          <w:szCs w:val="18"/>
        </w:rPr>
      </w:pPr>
      <w:r w:rsidRPr="004C1703">
        <w:rPr>
          <w:rFonts w:ascii="Arial" w:hAnsi="Arial" w:cs="Arial"/>
          <w:bCs/>
          <w:color w:val="000000" w:themeColor="text1"/>
          <w:sz w:val="18"/>
          <w:szCs w:val="18"/>
        </w:rPr>
        <w:t>Suite à l’atelier autour du type d’action 1 lors de l’évènement de mobilité, plusieurs remarques ont été formulées sur le DOMO auxquelles il convient de répondre par une mise à jour apportant des précisions sur la rédaction actuelle</w:t>
      </w:r>
      <w:r w:rsidR="00E5764A">
        <w:rPr>
          <w:rFonts w:ascii="Arial" w:hAnsi="Arial" w:cs="Arial"/>
          <w:bCs/>
          <w:color w:val="000000" w:themeColor="text1"/>
          <w:sz w:val="18"/>
          <w:szCs w:val="18"/>
        </w:rPr>
        <w:t xml:space="preserve"> des </w:t>
      </w:r>
      <w:r w:rsidR="00E5764A" w:rsidRPr="00E5764A">
        <w:rPr>
          <w:rFonts w:ascii="Arial" w:hAnsi="Arial" w:cs="Arial"/>
          <w:b/>
          <w:bCs/>
          <w:color w:val="000000" w:themeColor="text1"/>
          <w:sz w:val="18"/>
          <w:szCs w:val="18"/>
        </w:rPr>
        <w:t>critères d’éligibilité</w:t>
      </w:r>
      <w:r w:rsidR="00E5764A">
        <w:rPr>
          <w:rFonts w:ascii="Arial" w:hAnsi="Arial" w:cs="Arial"/>
          <w:bCs/>
          <w:color w:val="000000" w:themeColor="text1"/>
          <w:sz w:val="18"/>
          <w:szCs w:val="18"/>
        </w:rPr>
        <w:t> :</w:t>
      </w:r>
    </w:p>
    <w:p w14:paraId="6538BF8B" w14:textId="693BADAC" w:rsidR="0001136D" w:rsidRPr="004C1703" w:rsidRDefault="0001136D" w:rsidP="00585EB7">
      <w:pPr>
        <w:tabs>
          <w:tab w:val="left" w:pos="1276"/>
          <w:tab w:val="center" w:pos="4762"/>
        </w:tabs>
        <w:jc w:val="both"/>
        <w:rPr>
          <w:rFonts w:ascii="Arial" w:hAnsi="Arial" w:cs="Arial"/>
          <w:bCs/>
          <w:color w:val="000000" w:themeColor="text1"/>
          <w:sz w:val="18"/>
          <w:szCs w:val="18"/>
        </w:rPr>
      </w:pPr>
      <w:r w:rsidRPr="004C1703">
        <w:rPr>
          <w:rFonts w:ascii="Arial" w:hAnsi="Arial" w:cs="Arial"/>
          <w:bCs/>
          <w:color w:val="000000" w:themeColor="text1"/>
          <w:sz w:val="18"/>
          <w:szCs w:val="18"/>
        </w:rPr>
        <w:t xml:space="preserve">La première modification concerne les itinéraires qui ne sont pas totalement en zone urbaine. Dans la rédaction actuelle, une interprétation brute pourrait conduire à rendre éligible un itinéraire qui relierait deux zones urbaines éloignées de 50km. Ainsi </w:t>
      </w:r>
      <w:r w:rsidRPr="004C1703">
        <w:rPr>
          <w:rFonts w:ascii="Arial" w:hAnsi="Arial" w:cs="Arial"/>
          <w:bCs/>
          <w:color w:val="000000" w:themeColor="text1"/>
          <w:sz w:val="18"/>
          <w:szCs w:val="18"/>
        </w:rPr>
        <w:lastRenderedPageBreak/>
        <w:t>l’itinéraire serait majoritairement en zone non urbaine et ne correspondrait pas à l’esprit du Programme Régional centré sur la mobilité urbaine. Ainsi il convient de retirer une possible connexion entre deux zones urbaines pour ne laisser qu’une tolérance pour les itinéraires qui traverseraient de manière minoritaire une zone non urbaine.</w:t>
      </w:r>
    </w:p>
    <w:p w14:paraId="31828B88" w14:textId="59B8E006" w:rsidR="0001136D" w:rsidRDefault="0001136D" w:rsidP="00585EB7">
      <w:pPr>
        <w:tabs>
          <w:tab w:val="left" w:pos="1276"/>
          <w:tab w:val="center" w:pos="4762"/>
        </w:tabs>
        <w:jc w:val="both"/>
        <w:rPr>
          <w:rFonts w:ascii="Arial" w:hAnsi="Arial" w:cs="Arial"/>
          <w:bCs/>
          <w:color w:val="000000" w:themeColor="text1"/>
          <w:sz w:val="18"/>
          <w:szCs w:val="18"/>
        </w:rPr>
      </w:pPr>
      <w:r w:rsidRPr="004C1703">
        <w:rPr>
          <w:rFonts w:ascii="Arial" w:hAnsi="Arial" w:cs="Arial"/>
          <w:bCs/>
          <w:color w:val="000000" w:themeColor="text1"/>
          <w:sz w:val="18"/>
          <w:szCs w:val="18"/>
        </w:rPr>
        <w:t>La seconde modification vient préciser le pronom « sa »</w:t>
      </w:r>
      <w:r w:rsidR="00AA5953">
        <w:rPr>
          <w:rFonts w:ascii="Arial" w:hAnsi="Arial" w:cs="Arial"/>
          <w:bCs/>
          <w:color w:val="000000" w:themeColor="text1"/>
          <w:sz w:val="18"/>
          <w:szCs w:val="18"/>
        </w:rPr>
        <w:t xml:space="preserve"> (dans « sa connexion »)</w:t>
      </w:r>
      <w:r w:rsidRPr="004C1703">
        <w:rPr>
          <w:rFonts w:ascii="Arial" w:hAnsi="Arial" w:cs="Arial"/>
          <w:bCs/>
          <w:color w:val="000000" w:themeColor="text1"/>
          <w:sz w:val="18"/>
          <w:szCs w:val="18"/>
        </w:rPr>
        <w:t xml:space="preserve"> qui peut être interprété d’une manière différente de ce dont était l’intention initiale. En effet, la rédaction actuelle pourrait porter à rendre éligible des itinéraires qui permettraient une connexion entre des pôles générateurs de flux. Hors il s’agit bien de rendre éligible les itinéraires dit du dernier kilomètre qui visent à connecter le réseau des itinéraires inscrits au SR3V aux différents pôles générateurs de flux. </w:t>
      </w:r>
      <w:r w:rsidR="00AA5953">
        <w:rPr>
          <w:rFonts w:ascii="Arial" w:hAnsi="Arial" w:cs="Arial"/>
          <w:bCs/>
          <w:color w:val="000000" w:themeColor="text1"/>
          <w:sz w:val="18"/>
          <w:szCs w:val="18"/>
        </w:rPr>
        <w:t>Ainsi, pour une meilleure clarté, il convient de séparer les dispositions communes d’une part et celles spécifiques aux deux types de projets (itinéraires inscrits au SR3V et itinéraires raccourcis) d’autre part.</w:t>
      </w:r>
    </w:p>
    <w:p w14:paraId="3CB51056" w14:textId="330BBEDB" w:rsidR="00585EB7" w:rsidRDefault="004C1703" w:rsidP="00585EB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La troisième modification vient corriger une confusion possible. En effet, le terme « complémentaire » peut faire référence au niveau 2 des schémas des aires de covoiturage des départements, le niveau 1 étant « structurant ». Il demeure toutefois important de préciser que l’aire ne doit pas être concurrentiel</w:t>
      </w:r>
      <w:r w:rsidR="006F188F">
        <w:rPr>
          <w:rFonts w:ascii="Arial" w:hAnsi="Arial" w:cs="Arial"/>
          <w:bCs/>
          <w:color w:val="000000" w:themeColor="text1"/>
          <w:sz w:val="18"/>
          <w:szCs w:val="18"/>
        </w:rPr>
        <w:t>le</w:t>
      </w:r>
      <w:r>
        <w:rPr>
          <w:rFonts w:ascii="Arial" w:hAnsi="Arial" w:cs="Arial"/>
          <w:bCs/>
          <w:color w:val="000000" w:themeColor="text1"/>
          <w:sz w:val="18"/>
          <w:szCs w:val="18"/>
        </w:rPr>
        <w:t xml:space="preserve"> avec les transports en commun.</w:t>
      </w:r>
    </w:p>
    <w:p w14:paraId="64A5AEEC" w14:textId="77777777" w:rsidR="005D53C9" w:rsidRDefault="005D53C9" w:rsidP="00585EB7">
      <w:pPr>
        <w:tabs>
          <w:tab w:val="left" w:pos="1276"/>
          <w:tab w:val="center" w:pos="4762"/>
        </w:tabs>
        <w:jc w:val="both"/>
        <w:rPr>
          <w:rFonts w:ascii="Arial" w:hAnsi="Arial" w:cs="Arial"/>
          <w:bCs/>
          <w:color w:val="000000" w:themeColor="text1"/>
          <w:sz w:val="18"/>
          <w:szCs w:val="18"/>
        </w:rPr>
      </w:pPr>
    </w:p>
    <w:p w14:paraId="7620E6E3" w14:textId="1A138A54" w:rsidR="005D53C9" w:rsidRPr="00BF65AD" w:rsidRDefault="005D53C9" w:rsidP="005D53C9">
      <w:pPr>
        <w:pStyle w:val="Titre2"/>
      </w:pPr>
      <w:r>
        <w:t>Modification 3 – Seuil minimal et critères d’éligibilité :</w:t>
      </w:r>
    </w:p>
    <w:p w14:paraId="67468806" w14:textId="77777777" w:rsidR="005D53C9" w:rsidRDefault="005D53C9" w:rsidP="005D53C9">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Fiches-action concernées</w:t>
      </w:r>
      <w:r w:rsidRPr="003C72EC">
        <w:rPr>
          <w:rFonts w:ascii="Arial" w:hAnsi="Arial" w:cs="Arial"/>
          <w:b/>
          <w:bCs/>
          <w:i/>
          <w:color w:val="000000" w:themeColor="text1"/>
          <w:sz w:val="18"/>
          <w:szCs w:val="18"/>
        </w:rPr>
        <w:t> :</w:t>
      </w:r>
    </w:p>
    <w:p w14:paraId="53533814" w14:textId="77777777" w:rsidR="005D53C9" w:rsidRDefault="005D53C9" w:rsidP="005D53C9">
      <w:pPr>
        <w:pStyle w:val="Paragraphedeliste"/>
        <w:numPr>
          <w:ilvl w:val="0"/>
          <w:numId w:val="26"/>
        </w:numPr>
        <w:tabs>
          <w:tab w:val="left" w:pos="1276"/>
          <w:tab w:val="center" w:pos="4762"/>
        </w:tabs>
        <w:rPr>
          <w:rFonts w:ascii="Arial" w:hAnsi="Arial" w:cs="Arial"/>
          <w:bCs/>
          <w:color w:val="000000" w:themeColor="text1"/>
          <w:sz w:val="18"/>
          <w:szCs w:val="18"/>
        </w:rPr>
      </w:pPr>
      <w:r w:rsidRPr="00F23318">
        <w:rPr>
          <w:rFonts w:ascii="Arial" w:hAnsi="Arial" w:cs="Arial"/>
          <w:bCs/>
          <w:color w:val="000000" w:themeColor="text1"/>
          <w:sz w:val="18"/>
          <w:szCs w:val="18"/>
        </w:rPr>
        <w:t>Type d’action 2 – Augmenter l’usage des transports durables, voyageurs et marchandises dans une stratégie d’intermodalité et de réduction des pollutions</w:t>
      </w:r>
      <w:r>
        <w:rPr>
          <w:rFonts w:ascii="Arial" w:hAnsi="Arial" w:cs="Arial"/>
          <w:bCs/>
          <w:color w:val="000000" w:themeColor="text1"/>
          <w:sz w:val="18"/>
          <w:szCs w:val="18"/>
        </w:rPr>
        <w:t> ;</w:t>
      </w:r>
    </w:p>
    <w:p w14:paraId="7F8AA3F8" w14:textId="2913B2F1" w:rsidR="005D53C9" w:rsidRDefault="005D53C9" w:rsidP="00585EB7">
      <w:pPr>
        <w:tabs>
          <w:tab w:val="left" w:pos="1276"/>
          <w:tab w:val="center" w:pos="4762"/>
        </w:tabs>
        <w:jc w:val="both"/>
        <w:rPr>
          <w:rFonts w:ascii="Arial" w:hAnsi="Arial" w:cs="Arial"/>
          <w:bCs/>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5D53C9" w:rsidRPr="003C72EC" w14:paraId="03D0399D" w14:textId="77777777" w:rsidTr="00022D72">
        <w:tc>
          <w:tcPr>
            <w:tcW w:w="4815" w:type="dxa"/>
          </w:tcPr>
          <w:p w14:paraId="20E5B579" w14:textId="77777777" w:rsidR="005D53C9" w:rsidRPr="003C72EC" w:rsidRDefault="005D53C9" w:rsidP="00022D72">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276FB71A" w14:textId="77777777" w:rsidR="005D53C9" w:rsidRPr="003C72EC" w:rsidRDefault="005D53C9" w:rsidP="00022D72">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5D53C9" w:rsidRPr="00E43B66" w14:paraId="18577C2D" w14:textId="77777777" w:rsidTr="00022D72">
        <w:tc>
          <w:tcPr>
            <w:tcW w:w="9776" w:type="dxa"/>
            <w:gridSpan w:val="2"/>
          </w:tcPr>
          <w:p w14:paraId="663EF55A" w14:textId="77777777" w:rsidR="005D53C9" w:rsidRPr="00E43B66" w:rsidRDefault="005D53C9" w:rsidP="00022D72">
            <w:pPr>
              <w:tabs>
                <w:tab w:val="left" w:pos="1276"/>
                <w:tab w:val="center" w:pos="4762"/>
              </w:tabs>
              <w:rPr>
                <w:rFonts w:ascii="Arial" w:hAnsi="Arial" w:cs="Arial"/>
                <w:b/>
                <w:bCs/>
                <w:color w:val="000000" w:themeColor="text1"/>
                <w:sz w:val="18"/>
                <w:szCs w:val="18"/>
              </w:rPr>
            </w:pPr>
            <w:r w:rsidRPr="00E43B66">
              <w:rPr>
                <w:rFonts w:ascii="Arial" w:hAnsi="Arial" w:cs="Arial"/>
                <w:b/>
                <w:sz w:val="18"/>
                <w:szCs w:val="18"/>
              </w:rPr>
              <w:t>Seuil minimal des dépenses éligibles prévisionnelles</w:t>
            </w:r>
            <w:r>
              <w:rPr>
                <w:rFonts w:ascii="Arial" w:hAnsi="Arial" w:cs="Arial"/>
                <w:b/>
                <w:sz w:val="18"/>
                <w:szCs w:val="18"/>
              </w:rPr>
              <w:t> :</w:t>
            </w:r>
          </w:p>
        </w:tc>
      </w:tr>
      <w:tr w:rsidR="005D53C9" w:rsidRPr="00E43B66" w14:paraId="4AE8504D" w14:textId="77777777" w:rsidTr="00022D72">
        <w:tc>
          <w:tcPr>
            <w:tcW w:w="4815" w:type="dxa"/>
          </w:tcPr>
          <w:p w14:paraId="0EBFB0FA" w14:textId="42D2C3B2" w:rsidR="005D53C9" w:rsidRPr="00E43B66" w:rsidRDefault="005D53C9" w:rsidP="005D53C9">
            <w:pPr>
              <w:tabs>
                <w:tab w:val="left" w:pos="1276"/>
                <w:tab w:val="center" w:pos="4762"/>
              </w:tabs>
              <w:rPr>
                <w:rFonts w:ascii="Arial" w:hAnsi="Arial" w:cs="Arial"/>
                <w:bCs/>
                <w:color w:val="000000" w:themeColor="text1"/>
                <w:sz w:val="18"/>
                <w:szCs w:val="18"/>
              </w:rPr>
            </w:pPr>
            <w:r w:rsidRPr="00E43B66">
              <w:rPr>
                <w:rFonts w:ascii="Arial" w:hAnsi="Arial" w:cs="Arial"/>
                <w:bCs/>
                <w:color w:val="000000" w:themeColor="text1"/>
                <w:sz w:val="18"/>
                <w:szCs w:val="18"/>
              </w:rPr>
              <w:t xml:space="preserve">Seules les opérations présentant une assiette éligible </w:t>
            </w:r>
            <w:r>
              <w:rPr>
                <w:rFonts w:ascii="Arial" w:hAnsi="Arial" w:cs="Arial"/>
                <w:bCs/>
                <w:color w:val="000000" w:themeColor="text1"/>
                <w:sz w:val="18"/>
                <w:szCs w:val="18"/>
              </w:rPr>
              <w:t>s</w:t>
            </w:r>
            <w:r w:rsidRPr="00E43B66">
              <w:rPr>
                <w:rFonts w:ascii="Arial" w:hAnsi="Arial" w:cs="Arial"/>
                <w:bCs/>
                <w:color w:val="000000" w:themeColor="text1"/>
                <w:sz w:val="18"/>
                <w:szCs w:val="18"/>
              </w:rPr>
              <w:t>upérieure à</w:t>
            </w:r>
            <w:r>
              <w:rPr>
                <w:rFonts w:ascii="Arial" w:hAnsi="Arial" w:cs="Arial"/>
                <w:bCs/>
                <w:color w:val="000000" w:themeColor="text1"/>
                <w:sz w:val="18"/>
                <w:szCs w:val="18"/>
              </w:rPr>
              <w:t xml:space="preserve"> </w:t>
            </w:r>
            <w:r w:rsidRPr="00E43B66">
              <w:rPr>
                <w:rFonts w:ascii="Arial" w:hAnsi="Arial" w:cs="Arial"/>
                <w:bCs/>
                <w:color w:val="000000" w:themeColor="text1"/>
                <w:sz w:val="18"/>
                <w:szCs w:val="18"/>
              </w:rPr>
              <w:t>200</w:t>
            </w:r>
            <w:r>
              <w:rPr>
                <w:rFonts w:ascii="Arial" w:hAnsi="Arial" w:cs="Arial"/>
                <w:bCs/>
                <w:color w:val="000000" w:themeColor="text1"/>
                <w:sz w:val="18"/>
                <w:szCs w:val="18"/>
              </w:rPr>
              <w:t> 000,00 €</w:t>
            </w:r>
            <w:r w:rsidRPr="00E43B66">
              <w:rPr>
                <w:rFonts w:ascii="Arial" w:hAnsi="Arial" w:cs="Arial"/>
                <w:bCs/>
                <w:color w:val="000000" w:themeColor="text1"/>
                <w:sz w:val="18"/>
                <w:szCs w:val="18"/>
              </w:rPr>
              <w:t xml:space="preserve"> HT ou TTC selon le régime de TVA</w:t>
            </w:r>
            <w:r>
              <w:rPr>
                <w:rFonts w:ascii="Arial" w:hAnsi="Arial" w:cs="Arial"/>
                <w:bCs/>
                <w:color w:val="000000" w:themeColor="text1"/>
                <w:sz w:val="18"/>
                <w:szCs w:val="18"/>
              </w:rPr>
              <w:t xml:space="preserve"> applicable seront financées.</w:t>
            </w:r>
          </w:p>
        </w:tc>
        <w:tc>
          <w:tcPr>
            <w:tcW w:w="4961" w:type="dxa"/>
          </w:tcPr>
          <w:p w14:paraId="1FC6609D" w14:textId="77777777" w:rsidR="005D53C9" w:rsidRDefault="005D53C9" w:rsidP="005D53C9">
            <w:pPr>
              <w:tabs>
                <w:tab w:val="left" w:pos="1276"/>
                <w:tab w:val="center" w:pos="4762"/>
              </w:tabs>
              <w:rPr>
                <w:rFonts w:ascii="Arial" w:hAnsi="Arial" w:cs="Arial"/>
                <w:bCs/>
                <w:color w:val="000000" w:themeColor="text1"/>
                <w:sz w:val="18"/>
                <w:szCs w:val="18"/>
              </w:rPr>
            </w:pPr>
            <w:r w:rsidRPr="00E43B66">
              <w:rPr>
                <w:rFonts w:ascii="Arial" w:hAnsi="Arial" w:cs="Arial"/>
                <w:bCs/>
                <w:color w:val="000000" w:themeColor="text1"/>
                <w:sz w:val="18"/>
                <w:szCs w:val="18"/>
              </w:rPr>
              <w:t xml:space="preserve">Seules les opérations présentant une assiette éligible </w:t>
            </w:r>
            <w:r>
              <w:rPr>
                <w:rFonts w:ascii="Arial" w:hAnsi="Arial" w:cs="Arial"/>
                <w:bCs/>
                <w:color w:val="000000" w:themeColor="text1"/>
                <w:sz w:val="18"/>
                <w:szCs w:val="18"/>
              </w:rPr>
              <w:t>s</w:t>
            </w:r>
            <w:r w:rsidRPr="00E43B66">
              <w:rPr>
                <w:rFonts w:ascii="Arial" w:hAnsi="Arial" w:cs="Arial"/>
                <w:bCs/>
                <w:color w:val="000000" w:themeColor="text1"/>
                <w:sz w:val="18"/>
                <w:szCs w:val="18"/>
              </w:rPr>
              <w:t>upérieure à</w:t>
            </w:r>
            <w:r>
              <w:rPr>
                <w:rFonts w:ascii="Arial" w:hAnsi="Arial" w:cs="Arial"/>
                <w:bCs/>
                <w:color w:val="000000" w:themeColor="text1"/>
                <w:sz w:val="18"/>
                <w:szCs w:val="18"/>
              </w:rPr>
              <w:t xml:space="preserve"> </w:t>
            </w:r>
            <w:r w:rsidRPr="00E43B66">
              <w:rPr>
                <w:rFonts w:ascii="Arial" w:hAnsi="Arial" w:cs="Arial"/>
                <w:bCs/>
                <w:color w:val="000000" w:themeColor="text1"/>
                <w:sz w:val="18"/>
                <w:szCs w:val="18"/>
              </w:rPr>
              <w:t>200</w:t>
            </w:r>
            <w:r>
              <w:rPr>
                <w:rFonts w:ascii="Arial" w:hAnsi="Arial" w:cs="Arial"/>
                <w:bCs/>
                <w:color w:val="000000" w:themeColor="text1"/>
                <w:sz w:val="18"/>
                <w:szCs w:val="18"/>
              </w:rPr>
              <w:t> 000,00 €</w:t>
            </w:r>
            <w:r w:rsidRPr="00E43B66">
              <w:rPr>
                <w:rFonts w:ascii="Arial" w:hAnsi="Arial" w:cs="Arial"/>
                <w:bCs/>
                <w:color w:val="000000" w:themeColor="text1"/>
                <w:sz w:val="18"/>
                <w:szCs w:val="18"/>
              </w:rPr>
              <w:t xml:space="preserve"> HT ou TTC selon le régime de TVA</w:t>
            </w:r>
            <w:r>
              <w:rPr>
                <w:rFonts w:ascii="Arial" w:hAnsi="Arial" w:cs="Arial"/>
                <w:bCs/>
                <w:color w:val="000000" w:themeColor="text1"/>
                <w:sz w:val="18"/>
                <w:szCs w:val="18"/>
              </w:rPr>
              <w:t xml:space="preserve"> applicable seront financées.</w:t>
            </w:r>
          </w:p>
          <w:p w14:paraId="7A813C04" w14:textId="0B9AA4E2" w:rsidR="005D53C9" w:rsidRPr="00E43B66" w:rsidRDefault="005D53C9" w:rsidP="005D53C9">
            <w:pPr>
              <w:tabs>
                <w:tab w:val="left" w:pos="1276"/>
                <w:tab w:val="center" w:pos="4762"/>
              </w:tabs>
              <w:rPr>
                <w:rFonts w:ascii="Arial" w:hAnsi="Arial" w:cs="Arial"/>
                <w:bCs/>
                <w:color w:val="000000" w:themeColor="text1"/>
                <w:sz w:val="18"/>
                <w:szCs w:val="18"/>
              </w:rPr>
            </w:pPr>
            <w:r w:rsidRPr="002344E3">
              <w:rPr>
                <w:rFonts w:ascii="Arial" w:hAnsi="Arial" w:cs="Arial"/>
                <w:bCs/>
                <w:color w:val="FF0000"/>
                <w:sz w:val="18"/>
                <w:szCs w:val="18"/>
              </w:rPr>
              <w:t>Pour les EPCI de moins de 100 000 habitants ou les communes appartenant à un EPCI de moins de 100 000 habitants</w:t>
            </w:r>
            <w:r>
              <w:rPr>
                <w:rFonts w:ascii="Arial" w:hAnsi="Arial" w:cs="Arial"/>
                <w:bCs/>
                <w:color w:val="FF0000"/>
                <w:sz w:val="18"/>
                <w:szCs w:val="18"/>
              </w:rPr>
              <w:t>, c</w:t>
            </w:r>
            <w:r w:rsidRPr="002344E3">
              <w:rPr>
                <w:rFonts w:ascii="Arial" w:hAnsi="Arial" w:cs="Arial"/>
                <w:bCs/>
                <w:color w:val="FF0000"/>
                <w:sz w:val="18"/>
                <w:szCs w:val="18"/>
              </w:rPr>
              <w:t>e seuil</w:t>
            </w:r>
            <w:r w:rsidRPr="002344E3">
              <w:rPr>
                <w:rFonts w:ascii="Arial" w:hAnsi="Arial" w:cs="Arial"/>
                <w:bCs/>
                <w:color w:val="000000" w:themeColor="text1"/>
                <w:sz w:val="18"/>
                <w:szCs w:val="18"/>
              </w:rPr>
              <w:t xml:space="preserve"> </w:t>
            </w:r>
            <w:r w:rsidRPr="002344E3">
              <w:rPr>
                <w:rFonts w:ascii="Arial" w:hAnsi="Arial" w:cs="Arial"/>
                <w:bCs/>
                <w:color w:val="FF0000"/>
                <w:sz w:val="18"/>
                <w:szCs w:val="18"/>
              </w:rPr>
              <w:t>est fixé à 50 000 € HT ou TTC selon le régime de TVA applicable à l’opération.</w:t>
            </w:r>
          </w:p>
        </w:tc>
      </w:tr>
    </w:tbl>
    <w:p w14:paraId="73C48C68" w14:textId="2E87ADE6" w:rsidR="005D53C9" w:rsidRDefault="005D53C9" w:rsidP="00585EB7">
      <w:pPr>
        <w:tabs>
          <w:tab w:val="left" w:pos="1276"/>
          <w:tab w:val="center" w:pos="4762"/>
        </w:tabs>
        <w:jc w:val="both"/>
        <w:rPr>
          <w:rFonts w:ascii="Arial" w:hAnsi="Arial" w:cs="Arial"/>
          <w:bCs/>
          <w:color w:val="000000" w:themeColor="text1"/>
          <w:sz w:val="18"/>
          <w:szCs w:val="18"/>
        </w:rPr>
      </w:pPr>
    </w:p>
    <w:p w14:paraId="4B58DC92" w14:textId="77777777" w:rsidR="00452937" w:rsidRDefault="00452937" w:rsidP="00452937">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262721A1" w14:textId="541B48AE" w:rsidR="00452937" w:rsidRPr="00873168" w:rsidRDefault="00452937" w:rsidP="00585EB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 xml:space="preserve">La modification concernant le </w:t>
      </w:r>
      <w:r w:rsidRPr="00E5764A">
        <w:rPr>
          <w:rFonts w:ascii="Arial" w:hAnsi="Arial" w:cs="Arial"/>
          <w:b/>
          <w:bCs/>
          <w:color w:val="000000" w:themeColor="text1"/>
          <w:sz w:val="18"/>
          <w:szCs w:val="18"/>
        </w:rPr>
        <w:t>seuil minimal</w:t>
      </w:r>
      <w:r>
        <w:rPr>
          <w:rFonts w:ascii="Arial" w:hAnsi="Arial" w:cs="Arial"/>
          <w:bCs/>
          <w:color w:val="000000" w:themeColor="text1"/>
          <w:sz w:val="18"/>
          <w:szCs w:val="18"/>
        </w:rPr>
        <w:t xml:space="preserve"> vient baisser le seuil minimal de financement pour les opérations de l’action 2 à 50 000 €HT contre 200 000 €HT dans la version actuelle du DOMO. Cette modification intervient suite à une volonté interne DIMCSNE afin de pouvoir financer des projets identifiés aujourd’hui, en parfaite adéquation avec le DOMO mais rendu</w:t>
      </w:r>
      <w:r w:rsidR="004F48C4">
        <w:rPr>
          <w:rFonts w:ascii="Arial" w:hAnsi="Arial" w:cs="Arial"/>
          <w:bCs/>
          <w:color w:val="000000" w:themeColor="text1"/>
          <w:sz w:val="18"/>
          <w:szCs w:val="18"/>
        </w:rPr>
        <w:t>s</w:t>
      </w:r>
      <w:r>
        <w:rPr>
          <w:rFonts w:ascii="Arial" w:hAnsi="Arial" w:cs="Arial"/>
          <w:bCs/>
          <w:color w:val="000000" w:themeColor="text1"/>
          <w:sz w:val="18"/>
          <w:szCs w:val="18"/>
        </w:rPr>
        <w:t xml:space="preserve"> inéligible</w:t>
      </w:r>
      <w:r w:rsidR="004F48C4">
        <w:rPr>
          <w:rFonts w:ascii="Arial" w:hAnsi="Arial" w:cs="Arial"/>
          <w:bCs/>
          <w:color w:val="000000" w:themeColor="text1"/>
          <w:sz w:val="18"/>
          <w:szCs w:val="18"/>
        </w:rPr>
        <w:t>s</w:t>
      </w:r>
      <w:r>
        <w:rPr>
          <w:rFonts w:ascii="Arial" w:hAnsi="Arial" w:cs="Arial"/>
          <w:bCs/>
          <w:color w:val="000000" w:themeColor="text1"/>
          <w:sz w:val="18"/>
          <w:szCs w:val="18"/>
        </w:rPr>
        <w:t xml:space="preserve"> au vue de leur faible montant.</w:t>
      </w:r>
    </w:p>
    <w:sectPr w:rsidR="00452937" w:rsidRPr="00873168" w:rsidSect="004E789F">
      <w:headerReference w:type="default" r:id="rId7"/>
      <w:footerReference w:type="default" r:id="rId8"/>
      <w:pgSz w:w="11906" w:h="16838" w:code="9"/>
      <w:pgMar w:top="851" w:right="851" w:bottom="73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A0E9" w14:textId="77777777" w:rsidR="00F80ECC" w:rsidRDefault="00F80ECC" w:rsidP="00F80ECC">
      <w:pPr>
        <w:spacing w:after="0" w:line="240" w:lineRule="auto"/>
      </w:pPr>
      <w:r>
        <w:separator/>
      </w:r>
    </w:p>
  </w:endnote>
  <w:endnote w:type="continuationSeparator" w:id="0">
    <w:p w14:paraId="5748D42E" w14:textId="77777777" w:rsidR="00F80ECC" w:rsidRDefault="00F80ECC"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EUAlbertina">
    <w:altName w:val="EU Albertin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4D012B" w:rsidRDefault="004D012B">
    <w:pPr>
      <w:pStyle w:val="Pieddepage"/>
    </w:pPr>
  </w:p>
  <w:tbl>
    <w:tblPr>
      <w:tblStyle w:val="Grilledutableau"/>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274"/>
      <w:gridCol w:w="1274"/>
      <w:gridCol w:w="1274"/>
      <w:gridCol w:w="1274"/>
      <w:gridCol w:w="1274"/>
      <w:gridCol w:w="1274"/>
      <w:gridCol w:w="1275"/>
      <w:gridCol w:w="1275"/>
    </w:tblGrid>
    <w:tr w:rsidR="004D012B" w14:paraId="7CC24A14" w14:textId="77777777" w:rsidTr="005E21EB">
      <w:tc>
        <w:tcPr>
          <w:tcW w:w="1274" w:type="dxa"/>
          <w:vAlign w:val="center"/>
        </w:tcPr>
        <w:p w14:paraId="2A850781" w14:textId="77777777" w:rsidR="004D012B" w:rsidRDefault="004D012B" w:rsidP="004D012B">
          <w:pPr>
            <w:pStyle w:val="Pieddepage"/>
            <w:jc w:val="right"/>
          </w:pPr>
          <w:r w:rsidRPr="00EE5F8C">
            <w:rPr>
              <w:rFonts w:ascii="Arial" w:hAnsi="Arial" w:cs="Arial"/>
              <w:sz w:val="18"/>
              <w:szCs w:val="18"/>
            </w:rPr>
            <w:t>Référence</w:t>
          </w:r>
        </w:p>
      </w:tc>
      <w:tc>
        <w:tcPr>
          <w:tcW w:w="1274" w:type="dxa"/>
          <w:vAlign w:val="center"/>
        </w:tcPr>
        <w:p w14:paraId="4C7D97AF" w14:textId="77C1A885" w:rsidR="004D012B" w:rsidRDefault="004D012B" w:rsidP="004D012B">
          <w:pPr>
            <w:pStyle w:val="Pieddepage"/>
            <w:jc w:val="center"/>
          </w:pPr>
        </w:p>
      </w:tc>
      <w:tc>
        <w:tcPr>
          <w:tcW w:w="1274" w:type="dxa"/>
          <w:vAlign w:val="center"/>
        </w:tcPr>
        <w:p w14:paraId="0930FAC8" w14:textId="77777777" w:rsidR="004D012B" w:rsidRDefault="004D012B" w:rsidP="004D012B">
          <w:pPr>
            <w:pStyle w:val="Pieddepage"/>
            <w:jc w:val="right"/>
          </w:pPr>
          <w:r w:rsidRPr="00EE5F8C">
            <w:rPr>
              <w:rFonts w:ascii="Arial" w:hAnsi="Arial" w:cs="Arial"/>
              <w:sz w:val="18"/>
              <w:szCs w:val="18"/>
            </w:rPr>
            <w:t>Version</w:t>
          </w:r>
        </w:p>
      </w:tc>
      <w:tc>
        <w:tcPr>
          <w:tcW w:w="1274" w:type="dxa"/>
          <w:vAlign w:val="center"/>
        </w:tcPr>
        <w:p w14:paraId="371174D7" w14:textId="5B6AF29F" w:rsidR="004D012B" w:rsidRDefault="004D012B" w:rsidP="004D012B">
          <w:pPr>
            <w:pStyle w:val="Pieddepage"/>
            <w:jc w:val="center"/>
          </w:pPr>
        </w:p>
      </w:tc>
      <w:tc>
        <w:tcPr>
          <w:tcW w:w="1274" w:type="dxa"/>
          <w:vAlign w:val="center"/>
        </w:tcPr>
        <w:p w14:paraId="33BC4010" w14:textId="77777777" w:rsidR="004D012B" w:rsidRDefault="004D012B" w:rsidP="004D012B">
          <w:pPr>
            <w:pStyle w:val="Pieddepage"/>
            <w:jc w:val="right"/>
          </w:pPr>
          <w:r w:rsidRPr="00EE5F8C">
            <w:rPr>
              <w:rFonts w:ascii="Arial" w:hAnsi="Arial" w:cs="Arial"/>
              <w:sz w:val="18"/>
              <w:szCs w:val="18"/>
            </w:rPr>
            <w:t>Date</w:t>
          </w:r>
        </w:p>
      </w:tc>
      <w:tc>
        <w:tcPr>
          <w:tcW w:w="1274" w:type="dxa"/>
          <w:vAlign w:val="center"/>
        </w:tcPr>
        <w:p w14:paraId="57F26520" w14:textId="30EAA4CA" w:rsidR="004D012B" w:rsidRDefault="004D012B" w:rsidP="004D012B">
          <w:pPr>
            <w:pStyle w:val="Pieddepage"/>
            <w:jc w:val="center"/>
          </w:pPr>
        </w:p>
      </w:tc>
      <w:tc>
        <w:tcPr>
          <w:tcW w:w="1275" w:type="dxa"/>
          <w:vAlign w:val="center"/>
        </w:tcPr>
        <w:p w14:paraId="091E6920" w14:textId="77777777" w:rsidR="004D012B" w:rsidRDefault="004D012B" w:rsidP="004D012B">
          <w:pPr>
            <w:pStyle w:val="Pieddepage"/>
            <w:jc w:val="right"/>
          </w:pPr>
          <w:r w:rsidRPr="00EE5F8C">
            <w:rPr>
              <w:rFonts w:ascii="Arial" w:hAnsi="Arial" w:cs="Arial"/>
              <w:sz w:val="18"/>
              <w:szCs w:val="18"/>
            </w:rPr>
            <w:t>Page</w:t>
          </w:r>
        </w:p>
      </w:tc>
      <w:tc>
        <w:tcPr>
          <w:tcW w:w="1275" w:type="dxa"/>
          <w:vAlign w:val="center"/>
        </w:tcPr>
        <w:p w14:paraId="6EB3A4B3" w14:textId="1D0C9541" w:rsidR="004D012B" w:rsidRPr="00131D4A" w:rsidRDefault="004D012B" w:rsidP="004D012B">
          <w:pPr>
            <w:pStyle w:val="Pieddepage"/>
            <w:jc w:val="center"/>
            <w:rPr>
              <w:b/>
            </w:rPr>
          </w:pPr>
          <w:r w:rsidRPr="00131D4A">
            <w:rPr>
              <w:rFonts w:ascii="Arial" w:hAnsi="Arial" w:cs="Arial"/>
              <w:b/>
              <w:sz w:val="18"/>
              <w:szCs w:val="18"/>
            </w:rPr>
            <w:fldChar w:fldCharType="begin"/>
          </w:r>
          <w:r w:rsidRPr="00131D4A">
            <w:rPr>
              <w:rFonts w:ascii="Arial" w:hAnsi="Arial" w:cs="Arial"/>
              <w:b/>
              <w:sz w:val="18"/>
              <w:szCs w:val="18"/>
            </w:rPr>
            <w:instrText xml:space="preserve"> PAGE </w:instrText>
          </w:r>
          <w:r w:rsidRPr="00131D4A">
            <w:rPr>
              <w:rFonts w:ascii="Arial" w:hAnsi="Arial" w:cs="Arial"/>
              <w:b/>
              <w:sz w:val="18"/>
              <w:szCs w:val="18"/>
            </w:rPr>
            <w:fldChar w:fldCharType="separate"/>
          </w:r>
          <w:r w:rsidR="00AF6AB6">
            <w:rPr>
              <w:rFonts w:ascii="Arial" w:hAnsi="Arial" w:cs="Arial"/>
              <w:b/>
              <w:noProof/>
              <w:sz w:val="18"/>
              <w:szCs w:val="18"/>
            </w:rPr>
            <w:t>4</w:t>
          </w:r>
          <w:r w:rsidRPr="00131D4A">
            <w:rPr>
              <w:rFonts w:ascii="Arial" w:hAnsi="Arial" w:cs="Arial"/>
              <w:b/>
              <w:sz w:val="18"/>
              <w:szCs w:val="18"/>
            </w:rPr>
            <w:fldChar w:fldCharType="end"/>
          </w:r>
          <w:r w:rsidRPr="00131D4A">
            <w:rPr>
              <w:rFonts w:ascii="Arial" w:hAnsi="Arial" w:cs="Arial"/>
              <w:b/>
              <w:sz w:val="18"/>
              <w:szCs w:val="18"/>
            </w:rPr>
            <w:t xml:space="preserve"> sur </w:t>
          </w:r>
          <w:r w:rsidRPr="00131D4A">
            <w:rPr>
              <w:rFonts w:ascii="Arial" w:hAnsi="Arial" w:cs="Arial"/>
              <w:b/>
              <w:sz w:val="18"/>
              <w:szCs w:val="18"/>
            </w:rPr>
            <w:fldChar w:fldCharType="begin"/>
          </w:r>
          <w:r w:rsidRPr="00131D4A">
            <w:rPr>
              <w:rFonts w:ascii="Arial" w:hAnsi="Arial" w:cs="Arial"/>
              <w:b/>
              <w:sz w:val="18"/>
              <w:szCs w:val="18"/>
            </w:rPr>
            <w:instrText xml:space="preserve"> NUMPAGES </w:instrText>
          </w:r>
          <w:r w:rsidRPr="00131D4A">
            <w:rPr>
              <w:rFonts w:ascii="Arial" w:hAnsi="Arial" w:cs="Arial"/>
              <w:b/>
              <w:sz w:val="18"/>
              <w:szCs w:val="18"/>
            </w:rPr>
            <w:fldChar w:fldCharType="separate"/>
          </w:r>
          <w:r w:rsidR="00AF6AB6">
            <w:rPr>
              <w:rFonts w:ascii="Arial" w:hAnsi="Arial" w:cs="Arial"/>
              <w:b/>
              <w:noProof/>
              <w:sz w:val="18"/>
              <w:szCs w:val="18"/>
            </w:rPr>
            <w:t>4</w:t>
          </w:r>
          <w:r w:rsidRPr="00131D4A">
            <w:rPr>
              <w:rFonts w:ascii="Arial" w:hAnsi="Arial" w:cs="Arial"/>
              <w:b/>
              <w:sz w:val="18"/>
              <w:szCs w:val="18"/>
            </w:rPr>
            <w:fldChar w:fldCharType="end"/>
          </w:r>
        </w:p>
      </w:tc>
    </w:tr>
  </w:tbl>
  <w:p w14:paraId="6A53C3A2" w14:textId="77777777" w:rsidR="004D012B" w:rsidRDefault="004D012B"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736D" w14:textId="77777777" w:rsidR="00F80ECC" w:rsidRDefault="00F80ECC" w:rsidP="00F80ECC">
      <w:pPr>
        <w:spacing w:after="0" w:line="240" w:lineRule="auto"/>
      </w:pPr>
      <w:r>
        <w:separator/>
      </w:r>
    </w:p>
  </w:footnote>
  <w:footnote w:type="continuationSeparator" w:id="0">
    <w:p w14:paraId="4152167A" w14:textId="77777777" w:rsidR="00F80ECC" w:rsidRDefault="00F80ECC"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jc w:val="center"/>
      <w:tblBorders>
        <w:top w:val="single" w:sz="4" w:space="0" w:color="0A3083"/>
        <w:left w:val="single" w:sz="4" w:space="0" w:color="0A3083"/>
        <w:bottom w:val="single" w:sz="4" w:space="0" w:color="0A3083"/>
        <w:right w:val="single" w:sz="4" w:space="0" w:color="0A3083"/>
        <w:insideH w:val="single" w:sz="4" w:space="0" w:color="0A3083"/>
        <w:insideV w:val="single" w:sz="4" w:space="0" w:color="0A3083"/>
      </w:tblBorders>
      <w:tblLayout w:type="fixed"/>
      <w:tblLook w:val="04A0" w:firstRow="1" w:lastRow="0" w:firstColumn="1" w:lastColumn="0" w:noHBand="0" w:noVBand="1"/>
    </w:tblPr>
    <w:tblGrid>
      <w:gridCol w:w="1418"/>
      <w:gridCol w:w="6654"/>
      <w:gridCol w:w="2281"/>
    </w:tblGrid>
    <w:tr w:rsidR="004D012B" w:rsidRPr="00BB4BE9" w14:paraId="5F0F1B3E" w14:textId="77777777" w:rsidTr="005E21EB">
      <w:trPr>
        <w:trHeight w:val="312"/>
        <w:jc w:val="center"/>
      </w:trPr>
      <w:tc>
        <w:tcPr>
          <w:tcW w:w="1418" w:type="dxa"/>
          <w:vMerge w:val="restart"/>
          <w:tc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tcBorders>
          <w:shd w:val="clear" w:color="auto" w:fill="auto"/>
          <w:vAlign w:val="center"/>
        </w:tcPr>
        <w:p w14:paraId="61D1820C" w14:textId="77777777" w:rsidR="004D012B" w:rsidRPr="0057068F" w:rsidRDefault="004D012B" w:rsidP="004D012B">
          <w:pPr>
            <w:spacing w:after="0"/>
            <w:jc w:val="center"/>
            <w:rPr>
              <w:rFonts w:cs="Arial"/>
              <w:szCs w:val="18"/>
            </w:rPr>
          </w:pPr>
          <w:r>
            <w:rPr>
              <w:rFonts w:cs="Arial"/>
              <w:noProof/>
              <w:szCs w:val="18"/>
              <w:lang w:eastAsia="fr-FR"/>
            </w:rPr>
            <w:drawing>
              <wp:inline distT="0" distB="0" distL="0" distR="0" wp14:anchorId="6B2795FB" wp14:editId="68B1B94A">
                <wp:extent cx="762000" cy="762000"/>
                <wp:effectExtent l="0" t="0" r="0" b="0"/>
                <wp:docPr id="7" name="Image 7" descr="Logo_NPdCP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PdCP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654" w:type="dxa"/>
          <w:tc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tcBorders>
          <w:vAlign w:val="center"/>
        </w:tcPr>
        <w:p w14:paraId="3D76FC12" w14:textId="1C671504" w:rsidR="004D012B" w:rsidRPr="003A2061" w:rsidRDefault="00C51C35" w:rsidP="007C0EFF">
          <w:pPr>
            <w:spacing w:after="0"/>
            <w:jc w:val="center"/>
            <w:rPr>
              <w:rFonts w:ascii="Arial" w:hAnsi="Arial" w:cs="Arial"/>
              <w:b/>
              <w:sz w:val="28"/>
              <w:szCs w:val="28"/>
            </w:rPr>
          </w:pPr>
          <w:r>
            <w:rPr>
              <w:rFonts w:ascii="Arial" w:hAnsi="Arial" w:cs="Arial"/>
              <w:b/>
              <w:sz w:val="28"/>
              <w:szCs w:val="28"/>
            </w:rPr>
            <w:t>Guide des procédures P</w:t>
          </w:r>
          <w:r w:rsidR="007C0EFF">
            <w:rPr>
              <w:rFonts w:ascii="Arial" w:hAnsi="Arial" w:cs="Arial"/>
              <w:b/>
              <w:sz w:val="28"/>
              <w:szCs w:val="28"/>
            </w:rPr>
            <w:t>R</w:t>
          </w:r>
          <w:r>
            <w:rPr>
              <w:rFonts w:ascii="Arial" w:hAnsi="Arial" w:cs="Arial"/>
              <w:b/>
              <w:sz w:val="28"/>
              <w:szCs w:val="28"/>
            </w:rPr>
            <w:t xml:space="preserve"> 21-27</w:t>
          </w:r>
        </w:p>
      </w:tc>
      <w:tc>
        <w:tcPr>
          <w:tcW w:w="2281" w:type="dxa"/>
          <w:vMerge w:val="restart"/>
          <w:tc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tcBorders>
          <w:vAlign w:val="center"/>
        </w:tcPr>
        <w:p w14:paraId="18B12618" w14:textId="1C2F7E4C" w:rsidR="004D012B" w:rsidRPr="00EE5F8C" w:rsidRDefault="007C0EFF" w:rsidP="004D012B">
          <w:pPr>
            <w:spacing w:after="0"/>
            <w:jc w:val="center"/>
            <w:rPr>
              <w:rFonts w:ascii="Arial" w:hAnsi="Arial" w:cs="Arial"/>
              <w:sz w:val="18"/>
              <w:szCs w:val="18"/>
            </w:rPr>
          </w:pPr>
          <w:r>
            <w:rPr>
              <w:rFonts w:ascii="Arial" w:hAnsi="Arial" w:cs="Arial"/>
              <w:b/>
              <w:noProof/>
              <w:sz w:val="28"/>
              <w:szCs w:val="28"/>
              <w:lang w:eastAsia="fr-FR"/>
            </w:rPr>
            <w:drawing>
              <wp:inline distT="0" distB="0" distL="0" distR="0" wp14:anchorId="3A250618" wp14:editId="74A6658E">
                <wp:extent cx="1048915" cy="817419"/>
                <wp:effectExtent l="0" t="0" r="0" b="1905"/>
                <wp:docPr id="1" name="Image 1" descr="C:\Users\mmolenda\AppData\Local\Microsoft\Windows\INetCache\Content.Word\Logo U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molenda\AppData\Local\Microsoft\Windows\INetCache\Content.Word\Logo UE H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774" cy="821206"/>
                        </a:xfrm>
                        <a:prstGeom prst="rect">
                          <a:avLst/>
                        </a:prstGeom>
                        <a:noFill/>
                        <a:ln>
                          <a:noFill/>
                        </a:ln>
                      </pic:spPr>
                    </pic:pic>
                  </a:graphicData>
                </a:graphic>
              </wp:inline>
            </w:drawing>
          </w:r>
        </w:p>
      </w:tc>
    </w:tr>
    <w:tr w:rsidR="004D012B" w:rsidRPr="00BB4BE9" w14:paraId="3B3E96AF" w14:textId="77777777" w:rsidTr="005E21EB">
      <w:trPr>
        <w:trHeight w:val="956"/>
        <w:jc w:val="center"/>
      </w:trPr>
      <w:tc>
        <w:tcPr>
          <w:tcW w:w="1418" w:type="dxa"/>
          <w:vMerge/>
          <w:tcBorders>
            <w:top w:val="single" w:sz="6" w:space="0" w:color="538135" w:themeColor="accent6" w:themeShade="BF"/>
            <w:left w:val="single" w:sz="4" w:space="0" w:color="538135" w:themeColor="accent6" w:themeShade="BF"/>
            <w:bottom w:val="single" w:sz="6" w:space="0" w:color="538135" w:themeColor="accent6" w:themeShade="BF"/>
            <w:right w:val="single" w:sz="4" w:space="0" w:color="538135" w:themeColor="accent6" w:themeShade="BF"/>
          </w:tcBorders>
          <w:shd w:val="clear" w:color="auto" w:fill="auto"/>
          <w:vAlign w:val="center"/>
        </w:tcPr>
        <w:p w14:paraId="61950006" w14:textId="77777777" w:rsidR="004D012B" w:rsidRDefault="004D012B" w:rsidP="004D012B">
          <w:pPr>
            <w:spacing w:after="0"/>
            <w:jc w:val="center"/>
            <w:rPr>
              <w:rFonts w:cs="Arial"/>
              <w:szCs w:val="18"/>
            </w:rPr>
          </w:pPr>
        </w:p>
      </w:tc>
      <w:tc>
        <w:tcPr>
          <w:tcW w:w="6654" w:type="dxa"/>
          <w:tcBorders>
            <w:top w:val="single" w:sz="6" w:space="0" w:color="538135" w:themeColor="accent6" w:themeShade="BF"/>
            <w:left w:val="single" w:sz="4" w:space="0" w:color="538135" w:themeColor="accent6" w:themeShade="BF"/>
            <w:bottom w:val="single" w:sz="6" w:space="0" w:color="538135" w:themeColor="accent6" w:themeShade="BF"/>
            <w:right w:val="single" w:sz="4" w:space="0" w:color="538135" w:themeColor="accent6" w:themeShade="BF"/>
          </w:tcBorders>
          <w:vAlign w:val="center"/>
        </w:tcPr>
        <w:p w14:paraId="2C2ED29A" w14:textId="47AF0E29" w:rsidR="00EC2934" w:rsidRPr="00CF4582" w:rsidRDefault="007C0EFF" w:rsidP="007C0EFF">
          <w:pPr>
            <w:spacing w:after="0"/>
            <w:jc w:val="center"/>
            <w:rPr>
              <w:rFonts w:ascii="Arial" w:hAnsi="Arial" w:cs="Arial"/>
              <w:b/>
              <w:sz w:val="28"/>
              <w:szCs w:val="28"/>
            </w:rPr>
          </w:pPr>
          <w:r>
            <w:rPr>
              <w:rFonts w:ascii="Arial" w:hAnsi="Arial" w:cs="Arial"/>
              <w:b/>
              <w:sz w:val="28"/>
              <w:szCs w:val="28"/>
            </w:rPr>
            <w:t xml:space="preserve">Procédure de modification du Document de Mise en </w:t>
          </w:r>
          <w:r w:rsidR="00596945">
            <w:rPr>
              <w:rFonts w:ascii="Arial" w:hAnsi="Arial" w:cs="Arial"/>
              <w:b/>
              <w:sz w:val="28"/>
              <w:szCs w:val="28"/>
            </w:rPr>
            <w:t>Œuvre</w:t>
          </w:r>
        </w:p>
      </w:tc>
      <w:tc>
        <w:tcPr>
          <w:tcW w:w="2281" w:type="dxa"/>
          <w:vMerge/>
          <w:tcBorders>
            <w:top w:val="single" w:sz="6" w:space="0" w:color="538135" w:themeColor="accent6" w:themeShade="BF"/>
            <w:left w:val="single" w:sz="4" w:space="0" w:color="538135" w:themeColor="accent6" w:themeShade="BF"/>
            <w:bottom w:val="single" w:sz="6" w:space="0" w:color="538135" w:themeColor="accent6" w:themeShade="BF"/>
            <w:right w:val="single" w:sz="4" w:space="0" w:color="538135" w:themeColor="accent6" w:themeShade="BF"/>
          </w:tcBorders>
          <w:vAlign w:val="center"/>
        </w:tcPr>
        <w:p w14:paraId="1B52316B" w14:textId="77777777" w:rsidR="004D012B" w:rsidRPr="00EE5F8C" w:rsidRDefault="004D012B" w:rsidP="004D012B">
          <w:pPr>
            <w:spacing w:after="0"/>
            <w:jc w:val="center"/>
            <w:rPr>
              <w:rFonts w:ascii="Arial" w:hAnsi="Arial" w:cs="Arial"/>
              <w:sz w:val="18"/>
              <w:szCs w:val="18"/>
            </w:rPr>
          </w:pPr>
        </w:p>
      </w:tc>
    </w:tr>
  </w:tbl>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5E975C8"/>
    <w:multiLevelType w:val="hybridMultilevel"/>
    <w:tmpl w:val="AA3EA20E"/>
    <w:lvl w:ilvl="0" w:tplc="6142B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31844"/>
    <w:multiLevelType w:val="hybridMultilevel"/>
    <w:tmpl w:val="3A009A34"/>
    <w:lvl w:ilvl="0" w:tplc="6142B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B401D"/>
    <w:multiLevelType w:val="hybridMultilevel"/>
    <w:tmpl w:val="CBB80DE2"/>
    <w:lvl w:ilvl="0" w:tplc="90B021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0"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066DB5"/>
    <w:multiLevelType w:val="hybridMultilevel"/>
    <w:tmpl w:val="2F2E82F4"/>
    <w:lvl w:ilvl="0" w:tplc="6142B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BD4028F"/>
    <w:multiLevelType w:val="hybridMultilevel"/>
    <w:tmpl w:val="C7AC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15"/>
  </w:num>
  <w:num w:numId="5">
    <w:abstractNumId w:val="6"/>
  </w:num>
  <w:num w:numId="6">
    <w:abstractNumId w:val="7"/>
  </w:num>
  <w:num w:numId="7">
    <w:abstractNumId w:val="0"/>
  </w:num>
  <w:num w:numId="8">
    <w:abstractNumId w:val="1"/>
  </w:num>
  <w:num w:numId="9">
    <w:abstractNumId w:val="11"/>
  </w:num>
  <w:num w:numId="10">
    <w:abstractNumId w:val="18"/>
  </w:num>
  <w:num w:numId="11">
    <w:abstractNumId w:val="22"/>
  </w:num>
  <w:num w:numId="12">
    <w:abstractNumId w:val="8"/>
  </w:num>
  <w:num w:numId="13">
    <w:abstractNumId w:val="2"/>
  </w:num>
  <w:num w:numId="14">
    <w:abstractNumId w:val="27"/>
  </w:num>
  <w:num w:numId="15">
    <w:abstractNumId w:val="20"/>
  </w:num>
  <w:num w:numId="16">
    <w:abstractNumId w:val="24"/>
  </w:num>
  <w:num w:numId="17">
    <w:abstractNumId w:val="5"/>
  </w:num>
  <w:num w:numId="18">
    <w:abstractNumId w:val="14"/>
  </w:num>
  <w:num w:numId="19">
    <w:abstractNumId w:val="16"/>
  </w:num>
  <w:num w:numId="20">
    <w:abstractNumId w:val="17"/>
  </w:num>
  <w:num w:numId="21">
    <w:abstractNumId w:val="26"/>
  </w:num>
  <w:num w:numId="22">
    <w:abstractNumId w:val="28"/>
  </w:num>
  <w:num w:numId="23">
    <w:abstractNumId w:val="12"/>
  </w:num>
  <w:num w:numId="24">
    <w:abstractNumId w:val="4"/>
  </w:num>
  <w:num w:numId="25">
    <w:abstractNumId w:val="19"/>
  </w:num>
  <w:num w:numId="26">
    <w:abstractNumId w:val="23"/>
  </w:num>
  <w:num w:numId="27">
    <w:abstractNumId w:val="13"/>
  </w:num>
  <w:num w:numId="28">
    <w:abstractNumId w:val="10"/>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1136D"/>
    <w:rsid w:val="000352B6"/>
    <w:rsid w:val="00045390"/>
    <w:rsid w:val="00060F29"/>
    <w:rsid w:val="00062E91"/>
    <w:rsid w:val="00066AA1"/>
    <w:rsid w:val="000A027C"/>
    <w:rsid w:val="000A1775"/>
    <w:rsid w:val="000A41ED"/>
    <w:rsid w:val="000B1A34"/>
    <w:rsid w:val="000B2680"/>
    <w:rsid w:val="000C108B"/>
    <w:rsid w:val="000E760E"/>
    <w:rsid w:val="000E7E2D"/>
    <w:rsid w:val="000F3FDE"/>
    <w:rsid w:val="000F4CDC"/>
    <w:rsid w:val="0010294E"/>
    <w:rsid w:val="0011319C"/>
    <w:rsid w:val="00114ED2"/>
    <w:rsid w:val="00131D4A"/>
    <w:rsid w:val="001342F8"/>
    <w:rsid w:val="00150F2A"/>
    <w:rsid w:val="001641A2"/>
    <w:rsid w:val="00172962"/>
    <w:rsid w:val="00184090"/>
    <w:rsid w:val="00190B1D"/>
    <w:rsid w:val="001A2108"/>
    <w:rsid w:val="001A7C17"/>
    <w:rsid w:val="001B0ED6"/>
    <w:rsid w:val="001B41EC"/>
    <w:rsid w:val="001C0CAA"/>
    <w:rsid w:val="001C4243"/>
    <w:rsid w:val="001D02D7"/>
    <w:rsid w:val="001D4892"/>
    <w:rsid w:val="001D643C"/>
    <w:rsid w:val="002228E8"/>
    <w:rsid w:val="00227AE9"/>
    <w:rsid w:val="002344E3"/>
    <w:rsid w:val="00240932"/>
    <w:rsid w:val="00244610"/>
    <w:rsid w:val="00254239"/>
    <w:rsid w:val="00255EFD"/>
    <w:rsid w:val="00257D7A"/>
    <w:rsid w:val="00273699"/>
    <w:rsid w:val="0029278D"/>
    <w:rsid w:val="002956EA"/>
    <w:rsid w:val="002A1DE4"/>
    <w:rsid w:val="002B60FB"/>
    <w:rsid w:val="002C05DB"/>
    <w:rsid w:val="00312AFF"/>
    <w:rsid w:val="00315B26"/>
    <w:rsid w:val="00336CD4"/>
    <w:rsid w:val="00373E03"/>
    <w:rsid w:val="00387B42"/>
    <w:rsid w:val="003B7254"/>
    <w:rsid w:val="003C006C"/>
    <w:rsid w:val="003C4004"/>
    <w:rsid w:val="003C72EC"/>
    <w:rsid w:val="003F7D4A"/>
    <w:rsid w:val="00406C8D"/>
    <w:rsid w:val="004074B0"/>
    <w:rsid w:val="004138A8"/>
    <w:rsid w:val="00424053"/>
    <w:rsid w:val="00452937"/>
    <w:rsid w:val="00483905"/>
    <w:rsid w:val="004B092E"/>
    <w:rsid w:val="004C1703"/>
    <w:rsid w:val="004D012B"/>
    <w:rsid w:val="004D18FB"/>
    <w:rsid w:val="004D3984"/>
    <w:rsid w:val="004E4666"/>
    <w:rsid w:val="004E6450"/>
    <w:rsid w:val="004E76B6"/>
    <w:rsid w:val="004E789F"/>
    <w:rsid w:val="004F48C4"/>
    <w:rsid w:val="00521226"/>
    <w:rsid w:val="0054162B"/>
    <w:rsid w:val="00553E6D"/>
    <w:rsid w:val="00560554"/>
    <w:rsid w:val="005728C9"/>
    <w:rsid w:val="00585EB7"/>
    <w:rsid w:val="00590BBE"/>
    <w:rsid w:val="00596945"/>
    <w:rsid w:val="005B256F"/>
    <w:rsid w:val="005C72E7"/>
    <w:rsid w:val="005D53C9"/>
    <w:rsid w:val="005E0D3C"/>
    <w:rsid w:val="005E105F"/>
    <w:rsid w:val="0061262E"/>
    <w:rsid w:val="00632DEF"/>
    <w:rsid w:val="00635C88"/>
    <w:rsid w:val="00640863"/>
    <w:rsid w:val="0064501E"/>
    <w:rsid w:val="00690CDB"/>
    <w:rsid w:val="006D3139"/>
    <w:rsid w:val="006D4D89"/>
    <w:rsid w:val="006E2576"/>
    <w:rsid w:val="006F188F"/>
    <w:rsid w:val="007039CB"/>
    <w:rsid w:val="007159CB"/>
    <w:rsid w:val="00726526"/>
    <w:rsid w:val="00736B01"/>
    <w:rsid w:val="00740470"/>
    <w:rsid w:val="00754324"/>
    <w:rsid w:val="0075607A"/>
    <w:rsid w:val="00763481"/>
    <w:rsid w:val="007639FA"/>
    <w:rsid w:val="007B10CF"/>
    <w:rsid w:val="007B4D98"/>
    <w:rsid w:val="007B5735"/>
    <w:rsid w:val="007C0EFF"/>
    <w:rsid w:val="00804B0D"/>
    <w:rsid w:val="00805645"/>
    <w:rsid w:val="008428E9"/>
    <w:rsid w:val="00843308"/>
    <w:rsid w:val="00847040"/>
    <w:rsid w:val="00855673"/>
    <w:rsid w:val="008579D6"/>
    <w:rsid w:val="008613F2"/>
    <w:rsid w:val="00873168"/>
    <w:rsid w:val="00880EE0"/>
    <w:rsid w:val="00887883"/>
    <w:rsid w:val="008944F5"/>
    <w:rsid w:val="008E64B8"/>
    <w:rsid w:val="0090063A"/>
    <w:rsid w:val="00923E25"/>
    <w:rsid w:val="00926018"/>
    <w:rsid w:val="00937089"/>
    <w:rsid w:val="00975353"/>
    <w:rsid w:val="009B74E3"/>
    <w:rsid w:val="009C2F34"/>
    <w:rsid w:val="009D01D3"/>
    <w:rsid w:val="009D086C"/>
    <w:rsid w:val="009E1963"/>
    <w:rsid w:val="00A42B2E"/>
    <w:rsid w:val="00A83496"/>
    <w:rsid w:val="00A871EB"/>
    <w:rsid w:val="00A928CF"/>
    <w:rsid w:val="00AA5953"/>
    <w:rsid w:val="00AB5925"/>
    <w:rsid w:val="00AE543F"/>
    <w:rsid w:val="00AF6AB6"/>
    <w:rsid w:val="00B141BC"/>
    <w:rsid w:val="00B20F7B"/>
    <w:rsid w:val="00B25D31"/>
    <w:rsid w:val="00B30B4C"/>
    <w:rsid w:val="00B351D6"/>
    <w:rsid w:val="00B35A1A"/>
    <w:rsid w:val="00B51BCA"/>
    <w:rsid w:val="00B823D5"/>
    <w:rsid w:val="00B83EB5"/>
    <w:rsid w:val="00B9172B"/>
    <w:rsid w:val="00B936B4"/>
    <w:rsid w:val="00BE5CA9"/>
    <w:rsid w:val="00BF65AD"/>
    <w:rsid w:val="00C17115"/>
    <w:rsid w:val="00C21EA6"/>
    <w:rsid w:val="00C43C01"/>
    <w:rsid w:val="00C51C35"/>
    <w:rsid w:val="00C571A7"/>
    <w:rsid w:val="00C71897"/>
    <w:rsid w:val="00C751D0"/>
    <w:rsid w:val="00CB3F56"/>
    <w:rsid w:val="00CD33AE"/>
    <w:rsid w:val="00CF0A7A"/>
    <w:rsid w:val="00CF3378"/>
    <w:rsid w:val="00D10495"/>
    <w:rsid w:val="00D10571"/>
    <w:rsid w:val="00D15B1F"/>
    <w:rsid w:val="00D22DD5"/>
    <w:rsid w:val="00D23799"/>
    <w:rsid w:val="00D3385D"/>
    <w:rsid w:val="00D43C56"/>
    <w:rsid w:val="00D460C3"/>
    <w:rsid w:val="00D7275F"/>
    <w:rsid w:val="00D7501E"/>
    <w:rsid w:val="00D83DD2"/>
    <w:rsid w:val="00DB2AC3"/>
    <w:rsid w:val="00DB7F94"/>
    <w:rsid w:val="00DC030D"/>
    <w:rsid w:val="00DC43DD"/>
    <w:rsid w:val="00DC732A"/>
    <w:rsid w:val="00DD4C44"/>
    <w:rsid w:val="00E35F98"/>
    <w:rsid w:val="00E43B66"/>
    <w:rsid w:val="00E5764A"/>
    <w:rsid w:val="00E747D8"/>
    <w:rsid w:val="00E81ECE"/>
    <w:rsid w:val="00EC17ED"/>
    <w:rsid w:val="00EC2934"/>
    <w:rsid w:val="00ED2E5A"/>
    <w:rsid w:val="00EF6A31"/>
    <w:rsid w:val="00F00D1E"/>
    <w:rsid w:val="00F11138"/>
    <w:rsid w:val="00F16791"/>
    <w:rsid w:val="00F222E0"/>
    <w:rsid w:val="00F23318"/>
    <w:rsid w:val="00F45AC3"/>
    <w:rsid w:val="00F5585C"/>
    <w:rsid w:val="00F80ECC"/>
    <w:rsid w:val="00F84FF3"/>
    <w:rsid w:val="00F90548"/>
    <w:rsid w:val="00FB479C"/>
    <w:rsid w:val="00FC5F39"/>
    <w:rsid w:val="00FC6B6B"/>
    <w:rsid w:val="00FD0597"/>
    <w:rsid w:val="00FD2CC3"/>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E0D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23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character" w:customStyle="1" w:styleId="Titre1Car">
    <w:name w:val="Titre 1 Car"/>
    <w:basedOn w:val="Policepardfaut"/>
    <w:link w:val="Titre1"/>
    <w:uiPriority w:val="9"/>
    <w:rsid w:val="005E0D3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23E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2113</Words>
  <Characters>11623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LOCATELLI Fabien</cp:lastModifiedBy>
  <cp:revision>25</cp:revision>
  <cp:lastPrinted>2018-01-26T14:33:00Z</cp:lastPrinted>
  <dcterms:created xsi:type="dcterms:W3CDTF">2023-05-09T08:08:00Z</dcterms:created>
  <dcterms:modified xsi:type="dcterms:W3CDTF">2023-06-13T08:43:00Z</dcterms:modified>
</cp:coreProperties>
</file>