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1341" w14:textId="6C9C5ECE" w:rsidR="001A7C17" w:rsidRPr="004F208E" w:rsidRDefault="00C72AEB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3C72EC" w:rsidRPr="004F20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ANNEXE</w:t>
      </w:r>
    </w:p>
    <w:p w14:paraId="79A018AF" w14:textId="2EF80181" w:rsidR="003C72EC" w:rsidRPr="004F208E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4E2B320C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du </w:t>
      </w:r>
      <w:r w:rsidR="00386190" w:rsidRPr="00386190">
        <w:rPr>
          <w:rFonts w:ascii="Arial" w:hAnsi="Arial" w:cs="Arial"/>
          <w:b/>
          <w:bCs/>
          <w:i/>
          <w:color w:val="000000" w:themeColor="text1"/>
          <w:sz w:val="18"/>
          <w:szCs w:val="18"/>
          <w:highlight w:val="yellow"/>
        </w:rPr>
        <w:t>10 juillet 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3EB57028" w:rsidR="003C72EC" w:rsidRPr="003C72EC" w:rsidRDefault="003C72EC" w:rsidP="00AE4AF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6F328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5</w:t>
      </w:r>
      <w:r w:rsidR="000E08A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0E08A0" w:rsidRPr="00286756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Une Europe plus </w:t>
      </w:r>
      <w:r w:rsidR="00BA75D3" w:rsidRPr="00BA75D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proche des citoyens par l’encouragement du développement durable et intégré de tous les types de territoires et des initiatives locales</w:t>
      </w:r>
    </w:p>
    <w:p w14:paraId="572D7EF7" w14:textId="1876E380" w:rsidR="003C72EC" w:rsidRPr="003C72EC" w:rsidRDefault="003C72EC" w:rsidP="00AE4AF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</w:t>
      </w:r>
      <w:r w:rsidR="006F328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7</w:t>
      </w:r>
      <w:r w:rsidR="00CA778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:</w:t>
      </w:r>
      <w:r w:rsidR="004F208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6F328D" w:rsidRPr="006F328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Contribution au développement d’une approche intégrée, durable </w:t>
      </w:r>
      <w:r w:rsidR="006F328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et solidaire</w:t>
      </w:r>
    </w:p>
    <w:p w14:paraId="076CA0F3" w14:textId="7B3812B5" w:rsidR="003C72EC" w:rsidRPr="006F328D" w:rsidRDefault="003C72EC" w:rsidP="00AE4AF6">
      <w:pPr>
        <w:pStyle w:val="NormalWeb"/>
        <w:kinsoku w:val="0"/>
        <w:overflowPunct w:val="0"/>
        <w:spacing w:before="0" w:beforeAutospacing="0" w:after="0"/>
        <w:jc w:val="both"/>
        <w:textAlignment w:val="baseline"/>
        <w:rPr>
          <w:rFonts w:ascii="Arial" w:hAnsi="Arial" w:cs="Arial"/>
          <w:b/>
          <w:bCs/>
          <w:i/>
          <w:sz w:val="18"/>
          <w:szCs w:val="18"/>
        </w:rPr>
      </w:pPr>
      <w:r w:rsidRPr="005D3741">
        <w:rPr>
          <w:rFonts w:ascii="Arial" w:hAnsi="Arial" w:cs="Arial"/>
          <w:b/>
          <w:bCs/>
          <w:i/>
          <w:sz w:val="18"/>
          <w:szCs w:val="18"/>
        </w:rPr>
        <w:t xml:space="preserve">Objectif spécifique : </w:t>
      </w:r>
      <w:proofErr w:type="spellStart"/>
      <w:r w:rsidR="006F328D">
        <w:rPr>
          <w:rFonts w:ascii="Arial" w:hAnsi="Arial" w:cs="Arial"/>
          <w:b/>
          <w:bCs/>
          <w:i/>
          <w:sz w:val="18"/>
          <w:szCs w:val="18"/>
        </w:rPr>
        <w:t>OSpé</w:t>
      </w:r>
      <w:proofErr w:type="spellEnd"/>
      <w:r w:rsidR="006F328D">
        <w:rPr>
          <w:rFonts w:ascii="Arial" w:hAnsi="Arial" w:cs="Arial"/>
          <w:b/>
          <w:bCs/>
          <w:i/>
          <w:sz w:val="18"/>
          <w:szCs w:val="18"/>
        </w:rPr>
        <w:t xml:space="preserve"> 5.1</w:t>
      </w:r>
      <w:r w:rsidR="000E08A0" w:rsidRPr="005D374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F328D" w:rsidRPr="006F328D">
        <w:rPr>
          <w:rFonts w:ascii="Arial" w:hAnsi="Arial" w:cs="Arial"/>
          <w:b/>
          <w:bCs/>
          <w:i/>
          <w:sz w:val="18"/>
          <w:szCs w:val="18"/>
        </w:rPr>
        <w:t>Encourager le développement social, économique et environnemental intégré et inclusif, la culture, le patrimoine naturel, le tourisme durable et la sécurité dans les zones urbaines</w:t>
      </w:r>
    </w:p>
    <w:p w14:paraId="5267D679" w14:textId="26645A0F" w:rsidR="00AE4AF6" w:rsidRPr="00AE4AF6" w:rsidRDefault="003C72EC" w:rsidP="00AE4AF6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4F208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Type d’</w:t>
      </w:r>
      <w:r w:rsidR="00AE4AF6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action 3</w:t>
      </w:r>
      <w:r w:rsidR="004F208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- </w:t>
      </w:r>
      <w:r w:rsidR="00AE4AF6" w:rsidRPr="00AE4AF6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Requalification des espaces délaissés ET dégradés au </w:t>
      </w:r>
      <w:r w:rsidR="00AE4AF6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bénéfice </w:t>
      </w:r>
      <w:r w:rsidR="00AE4AF6" w:rsidRPr="00AE4AF6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d’opérations de redynamisation urbaine</w:t>
      </w:r>
    </w:p>
    <w:p w14:paraId="6D674E3C" w14:textId="564B46DF" w:rsidR="003C72EC" w:rsidRPr="00286756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2F314A56" w14:textId="77777777" w:rsidR="003C72EC" w:rsidRPr="004F208E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528"/>
      </w:tblGrid>
      <w:tr w:rsidR="003C72EC" w:rsidRPr="003C72EC" w14:paraId="3ADC493A" w14:textId="77777777" w:rsidTr="00BB613D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5528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7D406A" w:rsidRPr="00BB613D" w14:paraId="48775692" w14:textId="77777777" w:rsidTr="00BB613D">
        <w:tc>
          <w:tcPr>
            <w:tcW w:w="4815" w:type="dxa"/>
          </w:tcPr>
          <w:p w14:paraId="7D1A870D" w14:textId="4CC500A8" w:rsidR="007D406A" w:rsidRPr="005A105E" w:rsidRDefault="00386190" w:rsidP="007D406A">
            <w:pPr>
              <w:pStyle w:val="Corpsdetexte"/>
              <w:jc w:val="both"/>
              <w:rPr>
                <w:rFonts w:ascii="Arial" w:hAnsi="Arial" w:cs="Arial"/>
                <w:i/>
                <w:color w:val="009999"/>
                <w:sz w:val="20"/>
                <w:szCs w:val="20"/>
              </w:rPr>
            </w:pPr>
            <w:r w:rsidRPr="005A105E">
              <w:rPr>
                <w:rFonts w:ascii="Arial" w:hAnsi="Arial" w:cs="Arial"/>
                <w:i/>
                <w:color w:val="629FDB"/>
                <w:sz w:val="20"/>
                <w:szCs w:val="20"/>
              </w:rPr>
              <w:t>Critères de sélection des opérations</w:t>
            </w:r>
          </w:p>
          <w:p w14:paraId="487F1DFD" w14:textId="77777777" w:rsidR="006F328D" w:rsidRPr="005A105E" w:rsidRDefault="006F328D" w:rsidP="007D406A">
            <w:pPr>
              <w:pStyle w:val="Corpsdetexte"/>
              <w:jc w:val="both"/>
              <w:rPr>
                <w:rFonts w:ascii="Arial" w:hAnsi="Arial" w:cs="Arial"/>
                <w:i/>
                <w:color w:val="009999"/>
                <w:sz w:val="20"/>
                <w:szCs w:val="20"/>
              </w:rPr>
            </w:pPr>
          </w:p>
          <w:p w14:paraId="2E6EBECF" w14:textId="58749C58" w:rsidR="007D406A" w:rsidRPr="005A105E" w:rsidRDefault="00386190" w:rsidP="007D406A">
            <w:pPr>
              <w:pStyle w:val="Corpsdetexte"/>
              <w:jc w:val="both"/>
              <w:rPr>
                <w:rFonts w:ascii="Arial" w:hAnsi="Arial" w:cs="Arial"/>
                <w:iCs/>
                <w:color w:val="009A9A"/>
                <w:sz w:val="20"/>
                <w:szCs w:val="20"/>
              </w:rPr>
            </w:pPr>
            <w:r w:rsidRPr="005A105E">
              <w:rPr>
                <w:rFonts w:ascii="Arial" w:hAnsi="Arial" w:cs="Arial"/>
                <w:iCs/>
                <w:sz w:val="20"/>
                <w:szCs w:val="20"/>
              </w:rPr>
              <w:t>Les critères de sélection seront précisés dans chaque appel à projets relatif à cette action.</w:t>
            </w:r>
          </w:p>
          <w:p w14:paraId="4E10FDD8" w14:textId="78D8C0F0" w:rsidR="007D406A" w:rsidRPr="00BB613D" w:rsidRDefault="007D406A" w:rsidP="007D406A">
            <w:pPr>
              <w:pStyle w:val="Corpsdetexte"/>
              <w:jc w:val="both"/>
              <w:rPr>
                <w:rFonts w:ascii="Arial" w:hAnsi="Arial" w:cs="Arial"/>
                <w:i/>
                <w:iCs/>
                <w:color w:val="009A9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C1A1649" w14:textId="70CA4B1F" w:rsidR="00386190" w:rsidRPr="005A105E" w:rsidRDefault="00386190" w:rsidP="00386190">
            <w:pPr>
              <w:pStyle w:val="Corpsdetexte"/>
              <w:jc w:val="both"/>
              <w:rPr>
                <w:rFonts w:ascii="Arial" w:hAnsi="Arial" w:cs="Arial"/>
                <w:i/>
                <w:color w:val="629FDB"/>
                <w:sz w:val="20"/>
                <w:szCs w:val="20"/>
              </w:rPr>
            </w:pPr>
            <w:r w:rsidRPr="005A105E">
              <w:rPr>
                <w:rFonts w:ascii="Arial" w:hAnsi="Arial" w:cs="Arial"/>
                <w:i/>
                <w:color w:val="629FDB"/>
                <w:sz w:val="20"/>
                <w:szCs w:val="20"/>
              </w:rPr>
              <w:t>Critères de sélection des opérations</w:t>
            </w:r>
          </w:p>
          <w:p w14:paraId="1BB0DCD3" w14:textId="77777777" w:rsidR="00BB613D" w:rsidRPr="00BB613D" w:rsidRDefault="00BB613D" w:rsidP="00386190">
            <w:pPr>
              <w:pStyle w:val="Corpsdetexte"/>
              <w:jc w:val="both"/>
              <w:rPr>
                <w:rFonts w:ascii="Arial" w:hAnsi="Arial" w:cs="Arial"/>
                <w:i/>
                <w:color w:val="009999"/>
                <w:sz w:val="18"/>
                <w:szCs w:val="18"/>
              </w:rPr>
            </w:pPr>
          </w:p>
          <w:tbl>
            <w:tblPr>
              <w:tblStyle w:val="Grilledutableau"/>
              <w:tblpPr w:leftFromText="69" w:rightFromText="69" w:vertAnchor="text" w:horzAnchor="page" w:tblpX="123" w:tblpY="24"/>
              <w:tblW w:w="4806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5168"/>
            </w:tblGrid>
            <w:tr w:rsidR="00BB613D" w:rsidRPr="00BB613D" w14:paraId="2437497E" w14:textId="77777777" w:rsidTr="00BB613D">
              <w:trPr>
                <w:trHeight w:val="357"/>
              </w:trPr>
              <w:tc>
                <w:tcPr>
                  <w:tcW w:w="5000" w:type="pct"/>
                  <w:tcBorders>
                    <w:top w:val="double" w:sz="2" w:space="0" w:color="auto"/>
                    <w:right w:val="double" w:sz="2" w:space="0" w:color="auto"/>
                  </w:tcBorders>
                  <w:shd w:val="clear" w:color="auto" w:fill="E4E7E8"/>
                </w:tcPr>
                <w:p w14:paraId="0E8F3662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Contribution du projet à l’amélioration du cadre de vie</w:t>
                  </w:r>
                </w:p>
              </w:tc>
            </w:tr>
            <w:tr w:rsidR="00BB613D" w:rsidRPr="00BB613D" w14:paraId="565C8634" w14:textId="77777777" w:rsidTr="00BB613D">
              <w:trPr>
                <w:trHeight w:val="840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780B1B5F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D25F8FB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Choix des aménagements contribuant à changer l’image du quartier</w:t>
                  </w:r>
                </w:p>
              </w:tc>
            </w:tr>
            <w:tr w:rsidR="00BB613D" w:rsidRPr="00BB613D" w14:paraId="76B7132C" w14:textId="77777777" w:rsidTr="00BB613D">
              <w:trPr>
                <w:trHeight w:val="274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36955C65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B0670ED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Choix des aménagements contribuant à renforcer les liens sociaux</w:t>
                  </w:r>
                </w:p>
              </w:tc>
            </w:tr>
            <w:tr w:rsidR="00BB613D" w:rsidRPr="00BB613D" w14:paraId="1D37286F" w14:textId="77777777" w:rsidTr="00BB613D">
              <w:trPr>
                <w:trHeight w:val="762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6867846E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66505D21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Choix des aménagements contribuant à la reconnexion avec les quartiers et les espaces environnants</w:t>
                  </w:r>
                </w:p>
              </w:tc>
            </w:tr>
            <w:tr w:rsidR="00BB613D" w:rsidRPr="00BB613D" w14:paraId="02B7D9D4" w14:textId="77777777" w:rsidTr="00BB613D">
              <w:trPr>
                <w:trHeight w:val="330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E4E7E8"/>
                </w:tcPr>
                <w:p w14:paraId="6816DA80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Implication des usagers dans la construction du projet </w:t>
                  </w:r>
                </w:p>
              </w:tc>
            </w:tr>
            <w:tr w:rsidR="00BB613D" w:rsidRPr="00BB613D" w14:paraId="17B75630" w14:textId="77777777" w:rsidTr="00BB613D">
              <w:trPr>
                <w:trHeight w:val="175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622C57E8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A353A78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Prise en compte de l’implication des habitants / usagers</w:t>
                  </w:r>
                </w:p>
              </w:tc>
            </w:tr>
            <w:tr w:rsidR="00BB613D" w:rsidRPr="00BB613D" w14:paraId="7AC6CBEE" w14:textId="77777777" w:rsidTr="00BB613D">
              <w:trPr>
                <w:trHeight w:val="175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E4E7E8"/>
                </w:tcPr>
                <w:p w14:paraId="6F72380B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Contribution du projet d’aménagement à la transition écologique</w:t>
                  </w:r>
                </w:p>
              </w:tc>
            </w:tr>
            <w:tr w:rsidR="00BB613D" w:rsidRPr="00BB613D" w14:paraId="431AA929" w14:textId="77777777" w:rsidTr="00BB613D">
              <w:trPr>
                <w:trHeight w:val="766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378A69BD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407504D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Qualité des espaces verts au regard de la transition écologique</w:t>
                  </w:r>
                </w:p>
              </w:tc>
            </w:tr>
            <w:tr w:rsidR="00BB613D" w:rsidRPr="00BB613D" w14:paraId="6F2C9EB2" w14:textId="77777777" w:rsidTr="00BB613D">
              <w:trPr>
                <w:trHeight w:val="832"/>
              </w:trPr>
              <w:tc>
                <w:tcPr>
                  <w:tcW w:w="5000" w:type="pct"/>
                  <w:tcBorders>
                    <w:right w:val="double" w:sz="2" w:space="0" w:color="auto"/>
                  </w:tcBorders>
                  <w:shd w:val="clear" w:color="auto" w:fill="FFFFFF"/>
                </w:tcPr>
                <w:p w14:paraId="70D85891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36CAA83D" w14:textId="77777777" w:rsidR="00BB613D" w:rsidRPr="00386190" w:rsidRDefault="00BB613D" w:rsidP="00386190">
                  <w:pPr>
                    <w:spacing w:line="252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86190">
                    <w:rPr>
                      <w:rFonts w:ascii="Arial" w:eastAsia="Times New Roman" w:hAnsi="Arial" w:cs="Arial"/>
                      <w:sz w:val="20"/>
                      <w:szCs w:val="20"/>
                    </w:rPr>
                    <w:t>Qualité des aménagements au regard de la transition écologique (gestion des eaux pluviales, mobilier urbain, éclairage public)</w:t>
                  </w:r>
                </w:p>
              </w:tc>
            </w:tr>
          </w:tbl>
          <w:p w14:paraId="00F46524" w14:textId="77777777" w:rsidR="007D406A" w:rsidRPr="00BB613D" w:rsidRDefault="007D406A" w:rsidP="007D406A">
            <w:pPr>
              <w:pStyle w:val="Corpsdetexte"/>
              <w:rPr>
                <w:rFonts w:ascii="Arial" w:hAnsi="Arial" w:cs="Arial"/>
                <w:i/>
                <w:iCs/>
                <w:color w:val="009A9A"/>
                <w:sz w:val="20"/>
                <w:szCs w:val="20"/>
              </w:rPr>
            </w:pPr>
          </w:p>
          <w:p w14:paraId="7CE71757" w14:textId="348FDED7" w:rsidR="007D406A" w:rsidRPr="00BB613D" w:rsidRDefault="007D406A" w:rsidP="00386190">
            <w:pPr>
              <w:pStyle w:val="Corpsdetexte"/>
              <w:rPr>
                <w:rFonts w:ascii="Arial" w:hAnsi="Arial" w:cs="Arial"/>
                <w:i/>
                <w:iCs/>
                <w:color w:val="009A9A"/>
                <w:sz w:val="18"/>
                <w:szCs w:val="18"/>
              </w:rPr>
            </w:pPr>
          </w:p>
        </w:tc>
      </w:tr>
    </w:tbl>
    <w:p w14:paraId="7C846635" w14:textId="77777777" w:rsidR="003C72EC" w:rsidRPr="00BB613D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03407ED7"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lastRenderedPageBreak/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0440F38B" w14:textId="77777777" w:rsidR="006D09D7" w:rsidRDefault="00BB613D" w:rsidP="00A02383">
      <w:pPr>
        <w:tabs>
          <w:tab w:val="left" w:pos="1276"/>
          <w:tab w:val="center" w:pos="4762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L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es appels à projets dédiés à cette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action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ne sont pas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ouverts aux territoires ITI ; ils ne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peuvent donc se référer aux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dits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cahiers des charges pour connaitre les critères de sélection. </w:t>
      </w:r>
    </w:p>
    <w:p w14:paraId="7B5E82A2" w14:textId="693BB12B" w:rsidR="003C72EC" w:rsidRPr="00A02383" w:rsidRDefault="006D09D7" w:rsidP="00A02383">
      <w:pPr>
        <w:tabs>
          <w:tab w:val="left" w:pos="1276"/>
          <w:tab w:val="center" w:pos="4762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</w:t>
      </w:r>
      <w:r w:rsidR="00BB613D">
        <w:rPr>
          <w:rFonts w:ascii="Arial" w:hAnsi="Arial" w:cs="Arial"/>
          <w:bCs/>
          <w:color w:val="000000" w:themeColor="text1"/>
          <w:sz w:val="18"/>
          <w:szCs w:val="18"/>
        </w:rPr>
        <w:t>l est proposé d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e préciser </w:t>
      </w:r>
      <w:r w:rsidR="0032112A">
        <w:rPr>
          <w:rFonts w:ascii="Arial" w:hAnsi="Arial" w:cs="Arial"/>
          <w:bCs/>
          <w:color w:val="000000" w:themeColor="text1"/>
          <w:sz w:val="18"/>
          <w:szCs w:val="18"/>
        </w:rPr>
        <w:t xml:space="preserve">au sein de cette fiche-action </w:t>
      </w:r>
      <w:bookmarkStart w:id="0" w:name="_GoBack"/>
      <w:bookmarkEnd w:id="0"/>
      <w:r w:rsidR="0032112A">
        <w:rPr>
          <w:rFonts w:ascii="Arial" w:hAnsi="Arial" w:cs="Arial"/>
          <w:bCs/>
          <w:color w:val="000000" w:themeColor="text1"/>
          <w:sz w:val="18"/>
          <w:szCs w:val="18"/>
        </w:rPr>
        <w:t>l</w:t>
      </w:r>
      <w:r w:rsidR="00BB613D">
        <w:rPr>
          <w:rFonts w:ascii="Arial" w:hAnsi="Arial" w:cs="Arial"/>
          <w:bCs/>
          <w:color w:val="000000" w:themeColor="text1"/>
          <w:sz w:val="18"/>
          <w:szCs w:val="18"/>
        </w:rPr>
        <w:t xml:space="preserve">es critères de sélection </w:t>
      </w:r>
      <w:r w:rsidR="0032112A">
        <w:rPr>
          <w:rFonts w:ascii="Arial" w:hAnsi="Arial" w:cs="Arial"/>
          <w:bCs/>
          <w:color w:val="000000" w:themeColor="text1"/>
          <w:sz w:val="18"/>
          <w:szCs w:val="18"/>
        </w:rPr>
        <w:t>qui s’appliqueront aux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opératio</w:t>
      </w:r>
      <w:r w:rsidR="0032112A">
        <w:rPr>
          <w:rFonts w:ascii="Arial" w:hAnsi="Arial" w:cs="Arial"/>
          <w:bCs/>
          <w:color w:val="000000" w:themeColor="text1"/>
          <w:sz w:val="18"/>
          <w:szCs w:val="18"/>
        </w:rPr>
        <w:t>ns identifiées au titre des ITI.</w:t>
      </w:r>
    </w:p>
    <w:p w14:paraId="71AAF0CC" w14:textId="77777777" w:rsidR="00BB613D" w:rsidRPr="00A02383" w:rsidRDefault="00BB613D">
      <w:pPr>
        <w:tabs>
          <w:tab w:val="left" w:pos="1276"/>
          <w:tab w:val="center" w:pos="4762"/>
        </w:tabs>
        <w:rPr>
          <w:rFonts w:ascii="Arial" w:hAnsi="Arial" w:cs="Arial"/>
          <w:bCs/>
          <w:color w:val="000000" w:themeColor="text1"/>
          <w:sz w:val="18"/>
          <w:szCs w:val="18"/>
        </w:rPr>
      </w:pPr>
    </w:p>
    <w:sectPr w:rsidR="00BB613D" w:rsidRPr="00A02383" w:rsidSect="00BB613D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A0E9" w14:textId="77777777" w:rsidR="00F80ECC" w:rsidRDefault="00F80ECC" w:rsidP="00F80ECC">
      <w:pPr>
        <w:spacing w:after="0" w:line="240" w:lineRule="auto"/>
      </w:pPr>
      <w:r>
        <w:separator/>
      </w:r>
    </w:p>
  </w:endnote>
  <w:endnote w:type="continuationSeparator" w:id="0">
    <w:p w14:paraId="5748D42E" w14:textId="77777777" w:rsidR="00F80ECC" w:rsidRDefault="00F80ECC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panose1 w:val="02000503040000020003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tbl>
    <w:tblPr>
      <w:tblStyle w:val="Grilledutableau"/>
      <w:tblW w:w="0" w:type="auto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Look w:val="04A0" w:firstRow="1" w:lastRow="0" w:firstColumn="1" w:lastColumn="0" w:noHBand="0" w:noVBand="1"/>
    </w:tblPr>
    <w:tblGrid>
      <w:gridCol w:w="1274"/>
      <w:gridCol w:w="1274"/>
      <w:gridCol w:w="1274"/>
      <w:gridCol w:w="1274"/>
      <w:gridCol w:w="1274"/>
      <w:gridCol w:w="1274"/>
      <w:gridCol w:w="1275"/>
      <w:gridCol w:w="1275"/>
    </w:tblGrid>
    <w:tr w:rsidR="004D012B" w14:paraId="7CC24A14" w14:textId="77777777" w:rsidTr="005E21EB">
      <w:tc>
        <w:tcPr>
          <w:tcW w:w="1274" w:type="dxa"/>
          <w:vAlign w:val="center"/>
        </w:tcPr>
        <w:p w14:paraId="2A850781" w14:textId="77777777"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Référence</w:t>
          </w:r>
        </w:p>
      </w:tc>
      <w:tc>
        <w:tcPr>
          <w:tcW w:w="1274" w:type="dxa"/>
          <w:vAlign w:val="center"/>
        </w:tcPr>
        <w:p w14:paraId="4C7D97AF" w14:textId="77C1A885" w:rsidR="004D012B" w:rsidRDefault="004D012B" w:rsidP="004D012B">
          <w:pPr>
            <w:pStyle w:val="Pieddepage"/>
            <w:jc w:val="center"/>
          </w:pPr>
        </w:p>
      </w:tc>
      <w:tc>
        <w:tcPr>
          <w:tcW w:w="1274" w:type="dxa"/>
          <w:vAlign w:val="center"/>
        </w:tcPr>
        <w:p w14:paraId="0930FAC8" w14:textId="77777777"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74" w:type="dxa"/>
          <w:vAlign w:val="center"/>
        </w:tcPr>
        <w:p w14:paraId="371174D7" w14:textId="5B6AF29F" w:rsidR="004D012B" w:rsidRDefault="004D012B" w:rsidP="004D012B">
          <w:pPr>
            <w:pStyle w:val="Pieddepage"/>
            <w:jc w:val="center"/>
          </w:pPr>
        </w:p>
      </w:tc>
      <w:tc>
        <w:tcPr>
          <w:tcW w:w="1274" w:type="dxa"/>
          <w:vAlign w:val="center"/>
        </w:tcPr>
        <w:p w14:paraId="33BC4010" w14:textId="77777777"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274" w:type="dxa"/>
          <w:vAlign w:val="center"/>
        </w:tcPr>
        <w:p w14:paraId="57F26520" w14:textId="30EAA4CA" w:rsidR="004D012B" w:rsidRDefault="004D012B" w:rsidP="004D012B">
          <w:pPr>
            <w:pStyle w:val="Pieddepage"/>
            <w:jc w:val="center"/>
          </w:pPr>
        </w:p>
      </w:tc>
      <w:tc>
        <w:tcPr>
          <w:tcW w:w="1275" w:type="dxa"/>
          <w:vAlign w:val="center"/>
        </w:tcPr>
        <w:p w14:paraId="091E6920" w14:textId="77777777"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Page</w:t>
          </w:r>
        </w:p>
      </w:tc>
      <w:tc>
        <w:tcPr>
          <w:tcW w:w="1275" w:type="dxa"/>
          <w:vAlign w:val="center"/>
        </w:tcPr>
        <w:p w14:paraId="6EB3A4B3" w14:textId="45C145F9" w:rsidR="004D012B" w:rsidRPr="00131D4A" w:rsidRDefault="004D012B" w:rsidP="004D012B">
          <w:pPr>
            <w:pStyle w:val="Pieddepage"/>
            <w:jc w:val="center"/>
            <w:rPr>
              <w:b/>
            </w:rPr>
          </w:pPr>
          <w:r w:rsidRPr="00131D4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D4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A105E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31D4A">
            <w:rPr>
              <w:rFonts w:ascii="Arial" w:hAnsi="Arial" w:cs="Arial"/>
              <w:b/>
              <w:sz w:val="18"/>
              <w:szCs w:val="18"/>
            </w:rPr>
            <w:t xml:space="preserve"> sur 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D4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A105E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736D" w14:textId="77777777" w:rsidR="00F80ECC" w:rsidRDefault="00F80ECC" w:rsidP="00F80ECC">
      <w:pPr>
        <w:spacing w:after="0" w:line="240" w:lineRule="auto"/>
      </w:pPr>
      <w:r>
        <w:separator/>
      </w:r>
    </w:p>
  </w:footnote>
  <w:footnote w:type="continuationSeparator" w:id="0">
    <w:p w14:paraId="4152167A" w14:textId="77777777" w:rsidR="00F80ECC" w:rsidRDefault="00F80ECC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3" w:type="dxa"/>
      <w:jc w:val="center"/>
      <w:tblBorders>
        <w:top w:val="single" w:sz="4" w:space="0" w:color="0A3083"/>
        <w:left w:val="single" w:sz="4" w:space="0" w:color="0A3083"/>
        <w:bottom w:val="single" w:sz="4" w:space="0" w:color="0A3083"/>
        <w:right w:val="single" w:sz="4" w:space="0" w:color="0A3083"/>
        <w:insideH w:val="single" w:sz="4" w:space="0" w:color="0A3083"/>
        <w:insideV w:val="single" w:sz="4" w:space="0" w:color="0A3083"/>
      </w:tblBorders>
      <w:tblLayout w:type="fixed"/>
      <w:tblLook w:val="04A0" w:firstRow="1" w:lastRow="0" w:firstColumn="1" w:lastColumn="0" w:noHBand="0" w:noVBand="1"/>
    </w:tblPr>
    <w:tblGrid>
      <w:gridCol w:w="1418"/>
      <w:gridCol w:w="6654"/>
      <w:gridCol w:w="2281"/>
    </w:tblGrid>
    <w:tr w:rsidR="004D012B" w:rsidRPr="00BB4BE9" w14:paraId="5F0F1B3E" w14:textId="77777777" w:rsidTr="005E21EB">
      <w:trPr>
        <w:trHeight w:val="312"/>
        <w:jc w:val="center"/>
      </w:trPr>
      <w:tc>
        <w:tcPr>
          <w:tcW w:w="1418" w:type="dxa"/>
          <w:vMerge w:val="restart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shd w:val="clear" w:color="auto" w:fill="auto"/>
          <w:vAlign w:val="center"/>
        </w:tcPr>
        <w:p w14:paraId="61D1820C" w14:textId="77777777" w:rsidR="004D012B" w:rsidRPr="0057068F" w:rsidRDefault="004D012B" w:rsidP="004D012B">
          <w:pPr>
            <w:spacing w:after="0"/>
            <w:jc w:val="center"/>
            <w:rPr>
              <w:rFonts w:cs="Arial"/>
              <w:szCs w:val="18"/>
            </w:rPr>
          </w:pPr>
          <w:r>
            <w:rPr>
              <w:rFonts w:cs="Arial"/>
              <w:noProof/>
              <w:szCs w:val="18"/>
              <w:lang w:eastAsia="fr-FR"/>
            </w:rPr>
            <w:drawing>
              <wp:inline distT="0" distB="0" distL="0" distR="0" wp14:anchorId="6B2795FB" wp14:editId="68B1B94A">
                <wp:extent cx="762000" cy="762000"/>
                <wp:effectExtent l="0" t="0" r="0" b="0"/>
                <wp:docPr id="7" name="Image 7" descr="Logo_NPdC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PdC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vAlign w:val="center"/>
        </w:tcPr>
        <w:p w14:paraId="3D76FC12" w14:textId="1C671504" w:rsidR="004D012B" w:rsidRPr="003A2061" w:rsidRDefault="00C51C35" w:rsidP="007C0EFF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Guide des procédures P</w:t>
          </w:r>
          <w:r w:rsidR="007C0EFF">
            <w:rPr>
              <w:rFonts w:ascii="Arial" w:hAnsi="Arial" w:cs="Arial"/>
              <w:b/>
              <w:sz w:val="28"/>
              <w:szCs w:val="28"/>
            </w:rPr>
            <w:t>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21-27</w:t>
          </w:r>
        </w:p>
      </w:tc>
      <w:tc>
        <w:tcPr>
          <w:tcW w:w="2281" w:type="dxa"/>
          <w:vMerge w:val="restart"/>
          <w:tcBorders>
            <w:top w:val="single" w:sz="6" w:space="0" w:color="538135" w:themeColor="accent6" w:themeShade="BF"/>
            <w:left w:val="single" w:sz="6" w:space="0" w:color="538135" w:themeColor="accent6" w:themeShade="BF"/>
            <w:bottom w:val="single" w:sz="6" w:space="0" w:color="538135" w:themeColor="accent6" w:themeShade="BF"/>
            <w:right w:val="single" w:sz="6" w:space="0" w:color="538135" w:themeColor="accent6" w:themeShade="BF"/>
          </w:tcBorders>
          <w:vAlign w:val="center"/>
        </w:tcPr>
        <w:p w14:paraId="18B12618" w14:textId="1C2F7E4C" w:rsidR="004D012B" w:rsidRPr="00EE5F8C" w:rsidRDefault="007C0EFF" w:rsidP="004D012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fr-FR"/>
            </w:rPr>
            <w:drawing>
              <wp:inline distT="0" distB="0" distL="0" distR="0" wp14:anchorId="3A250618" wp14:editId="74A6658E">
                <wp:extent cx="1048915" cy="817419"/>
                <wp:effectExtent l="0" t="0" r="0" b="1905"/>
                <wp:docPr id="1" name="Image 1" descr="C:\Users\mmolenda\AppData\Local\Microsoft\Windows\INetCache\Content.Word\Logo UE 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molenda\AppData\Local\Microsoft\Windows\INetCache\Content.Word\Logo UE 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774" cy="82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12B" w:rsidRPr="00BB4BE9" w14:paraId="3B3E96AF" w14:textId="77777777" w:rsidTr="005E21EB">
      <w:trPr>
        <w:trHeight w:val="956"/>
        <w:jc w:val="center"/>
      </w:trPr>
      <w:tc>
        <w:tcPr>
          <w:tcW w:w="1418" w:type="dxa"/>
          <w:vMerge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shd w:val="clear" w:color="auto" w:fill="auto"/>
          <w:vAlign w:val="center"/>
        </w:tcPr>
        <w:p w14:paraId="61950006" w14:textId="77777777" w:rsidR="004D012B" w:rsidRDefault="004D012B" w:rsidP="004D012B">
          <w:pPr>
            <w:spacing w:after="0"/>
            <w:jc w:val="center"/>
            <w:rPr>
              <w:rFonts w:cs="Arial"/>
              <w:szCs w:val="18"/>
            </w:rPr>
          </w:pPr>
        </w:p>
      </w:tc>
      <w:tc>
        <w:tcPr>
          <w:tcW w:w="6654" w:type="dxa"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vAlign w:val="center"/>
        </w:tcPr>
        <w:p w14:paraId="2C2ED29A" w14:textId="0D25CA53" w:rsidR="00EC2934" w:rsidRPr="00CF4582" w:rsidRDefault="007C0EFF" w:rsidP="007C0EFF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Procédure de modification du Document de Mise en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Oeuvre</w:t>
          </w:r>
          <w:proofErr w:type="spellEnd"/>
        </w:p>
      </w:tc>
      <w:tc>
        <w:tcPr>
          <w:tcW w:w="2281" w:type="dxa"/>
          <w:vMerge/>
          <w:tcBorders>
            <w:top w:val="single" w:sz="6" w:space="0" w:color="538135" w:themeColor="accent6" w:themeShade="BF"/>
            <w:left w:val="single" w:sz="4" w:space="0" w:color="538135" w:themeColor="accent6" w:themeShade="BF"/>
            <w:bottom w:val="single" w:sz="6" w:space="0" w:color="538135" w:themeColor="accent6" w:themeShade="BF"/>
            <w:right w:val="single" w:sz="4" w:space="0" w:color="538135" w:themeColor="accent6" w:themeShade="BF"/>
          </w:tcBorders>
          <w:vAlign w:val="center"/>
        </w:tcPr>
        <w:p w14:paraId="1B52316B" w14:textId="77777777" w:rsidR="004D012B" w:rsidRPr="00EE5F8C" w:rsidRDefault="004D012B" w:rsidP="004D012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7BEC"/>
    <w:multiLevelType w:val="hybridMultilevel"/>
    <w:tmpl w:val="34FCF594"/>
    <w:lvl w:ilvl="0" w:tplc="32ECD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3288"/>
    <w:multiLevelType w:val="hybridMultilevel"/>
    <w:tmpl w:val="C23C0C3A"/>
    <w:lvl w:ilvl="0" w:tplc="D032AD1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6"/>
  </w:num>
  <w:num w:numId="11">
    <w:abstractNumId w:val="19"/>
  </w:num>
  <w:num w:numId="12">
    <w:abstractNumId w:val="7"/>
  </w:num>
  <w:num w:numId="13">
    <w:abstractNumId w:val="2"/>
  </w:num>
  <w:num w:numId="14">
    <w:abstractNumId w:val="23"/>
  </w:num>
  <w:num w:numId="15">
    <w:abstractNumId w:val="18"/>
  </w:num>
  <w:num w:numId="16">
    <w:abstractNumId w:val="20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22"/>
  </w:num>
  <w:num w:numId="22">
    <w:abstractNumId w:val="24"/>
  </w:num>
  <w:num w:numId="23">
    <w:abstractNumId w:val="10"/>
  </w:num>
  <w:num w:numId="24">
    <w:abstractNumId w:val="3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08A0"/>
    <w:rsid w:val="000E760E"/>
    <w:rsid w:val="000E7E2D"/>
    <w:rsid w:val="000F4CDC"/>
    <w:rsid w:val="00102306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C6715"/>
    <w:rsid w:val="001D4892"/>
    <w:rsid w:val="001D643C"/>
    <w:rsid w:val="00227AE9"/>
    <w:rsid w:val="00240932"/>
    <w:rsid w:val="00244610"/>
    <w:rsid w:val="00254239"/>
    <w:rsid w:val="00255EFD"/>
    <w:rsid w:val="00257D6F"/>
    <w:rsid w:val="00257D7A"/>
    <w:rsid w:val="00273699"/>
    <w:rsid w:val="00286756"/>
    <w:rsid w:val="0029278D"/>
    <w:rsid w:val="002956EA"/>
    <w:rsid w:val="002C05DB"/>
    <w:rsid w:val="00315B26"/>
    <w:rsid w:val="0032112A"/>
    <w:rsid w:val="00336CD4"/>
    <w:rsid w:val="003518DC"/>
    <w:rsid w:val="0035436B"/>
    <w:rsid w:val="00373E03"/>
    <w:rsid w:val="00386190"/>
    <w:rsid w:val="00387B42"/>
    <w:rsid w:val="003B7254"/>
    <w:rsid w:val="003C4004"/>
    <w:rsid w:val="003C72EC"/>
    <w:rsid w:val="003F7D4A"/>
    <w:rsid w:val="00406C8D"/>
    <w:rsid w:val="00424053"/>
    <w:rsid w:val="00486562"/>
    <w:rsid w:val="004D012B"/>
    <w:rsid w:val="004D18FB"/>
    <w:rsid w:val="004D3984"/>
    <w:rsid w:val="004E4666"/>
    <w:rsid w:val="004E6450"/>
    <w:rsid w:val="004E76B6"/>
    <w:rsid w:val="004E789F"/>
    <w:rsid w:val="004F208E"/>
    <w:rsid w:val="00521226"/>
    <w:rsid w:val="0054162B"/>
    <w:rsid w:val="00553E6D"/>
    <w:rsid w:val="00560554"/>
    <w:rsid w:val="005728C9"/>
    <w:rsid w:val="0057332F"/>
    <w:rsid w:val="00590BBE"/>
    <w:rsid w:val="005A105E"/>
    <w:rsid w:val="005B256F"/>
    <w:rsid w:val="005D3741"/>
    <w:rsid w:val="005E105F"/>
    <w:rsid w:val="0061262E"/>
    <w:rsid w:val="00632DEF"/>
    <w:rsid w:val="00640863"/>
    <w:rsid w:val="0064501E"/>
    <w:rsid w:val="006D09D7"/>
    <w:rsid w:val="006D3139"/>
    <w:rsid w:val="006D6AAE"/>
    <w:rsid w:val="006E2576"/>
    <w:rsid w:val="006F328D"/>
    <w:rsid w:val="006F43E7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73F4C"/>
    <w:rsid w:val="007B10CF"/>
    <w:rsid w:val="007B5735"/>
    <w:rsid w:val="007C0EFF"/>
    <w:rsid w:val="007D406A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4E5D"/>
    <w:rsid w:val="00926018"/>
    <w:rsid w:val="00937089"/>
    <w:rsid w:val="009445A2"/>
    <w:rsid w:val="00975353"/>
    <w:rsid w:val="009B74E3"/>
    <w:rsid w:val="009C2F34"/>
    <w:rsid w:val="009D01D3"/>
    <w:rsid w:val="009D086C"/>
    <w:rsid w:val="009E1963"/>
    <w:rsid w:val="00A02383"/>
    <w:rsid w:val="00A42B2E"/>
    <w:rsid w:val="00A83496"/>
    <w:rsid w:val="00A871EB"/>
    <w:rsid w:val="00A928CF"/>
    <w:rsid w:val="00AB5925"/>
    <w:rsid w:val="00AE4AF6"/>
    <w:rsid w:val="00AE543F"/>
    <w:rsid w:val="00B141BC"/>
    <w:rsid w:val="00B20F7B"/>
    <w:rsid w:val="00B25D31"/>
    <w:rsid w:val="00B30B4C"/>
    <w:rsid w:val="00B351D6"/>
    <w:rsid w:val="00B35A1A"/>
    <w:rsid w:val="00B4010A"/>
    <w:rsid w:val="00B4419C"/>
    <w:rsid w:val="00B46661"/>
    <w:rsid w:val="00B51BCA"/>
    <w:rsid w:val="00B83EB5"/>
    <w:rsid w:val="00B936B4"/>
    <w:rsid w:val="00BA75D3"/>
    <w:rsid w:val="00BB4CD8"/>
    <w:rsid w:val="00BB613D"/>
    <w:rsid w:val="00BE5CA9"/>
    <w:rsid w:val="00C17115"/>
    <w:rsid w:val="00C43C01"/>
    <w:rsid w:val="00C51C35"/>
    <w:rsid w:val="00C571A7"/>
    <w:rsid w:val="00C71897"/>
    <w:rsid w:val="00C72AEB"/>
    <w:rsid w:val="00C96957"/>
    <w:rsid w:val="00CA7789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84BFF"/>
    <w:rsid w:val="00DB2AC3"/>
    <w:rsid w:val="00DC030D"/>
    <w:rsid w:val="00DC43DD"/>
    <w:rsid w:val="00DC732A"/>
    <w:rsid w:val="00DD4C44"/>
    <w:rsid w:val="00E03B1E"/>
    <w:rsid w:val="00E35F98"/>
    <w:rsid w:val="00E80FF9"/>
    <w:rsid w:val="00E81ECE"/>
    <w:rsid w:val="00EC17ED"/>
    <w:rsid w:val="00EC2934"/>
    <w:rsid w:val="00F00D1E"/>
    <w:rsid w:val="00F11138"/>
    <w:rsid w:val="00F16791"/>
    <w:rsid w:val="00F222E0"/>
    <w:rsid w:val="00F3219C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0108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40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4010A"/>
    <w:rPr>
      <w:rFonts w:ascii="Calibri" w:eastAsia="Calibri" w:hAnsi="Calibri" w:cs="Calibri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rsid w:val="007D406A"/>
    <w:pPr>
      <w:tabs>
        <w:tab w:val="center" w:pos="4535"/>
        <w:tab w:val="right" w:pos="9071"/>
        <w:tab w:val="right" w:pos="9921"/>
      </w:tabs>
      <w:spacing w:before="360" w:after="0" w:line="252" w:lineRule="auto"/>
      <w:ind w:left="-850" w:right="-850"/>
    </w:pPr>
    <w:rPr>
      <w:rFonts w:eastAsiaTheme="minorEastAsia"/>
      <w:u w:val="single"/>
    </w:rPr>
  </w:style>
  <w:style w:type="character" w:customStyle="1" w:styleId="FooterCoverPageChar">
    <w:name w:val="Footer Cover Page Char"/>
    <w:basedOn w:val="Policepardfaut"/>
    <w:link w:val="FooterCoverPage"/>
    <w:rsid w:val="007D406A"/>
    <w:rPr>
      <w:rFonts w:eastAsiaTheme="minorEastAsi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DUBOIS Audrey</cp:lastModifiedBy>
  <cp:revision>3</cp:revision>
  <cp:lastPrinted>2018-01-26T14:33:00Z</cp:lastPrinted>
  <dcterms:created xsi:type="dcterms:W3CDTF">2023-05-11T14:00:00Z</dcterms:created>
  <dcterms:modified xsi:type="dcterms:W3CDTF">2023-05-11T14:00:00Z</dcterms:modified>
</cp:coreProperties>
</file>